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0EC77" w14:textId="77777777" w:rsidR="00F50D70" w:rsidRPr="00BE4F47" w:rsidRDefault="002A1CE1" w:rsidP="008E113B">
      <w:pPr>
        <w:spacing w:line="360" w:lineRule="auto"/>
        <w:ind w:left="0"/>
        <w:outlineLvl w:val="9"/>
        <w:rPr>
          <w:rFonts w:ascii="Aptos" w:hAnsi="Aptos" w:cs="Arial"/>
          <w:b/>
          <w:sz w:val="40"/>
        </w:rPr>
      </w:pPr>
      <w:r>
        <w:rPr>
          <w:rFonts w:ascii="Aptos" w:hAnsi="Aptos"/>
          <w:noProof/>
        </w:rPr>
        <w:drawing>
          <wp:inline distT="0" distB="0" distL="0" distR="0" wp14:anchorId="29CEB848" wp14:editId="28EA24B1">
            <wp:extent cx="2225040" cy="133350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8">
                      <a:extLst>
                        <a:ext uri="{28A0092B-C50C-407E-A947-70E740481C1C}">
                          <a14:useLocalDpi xmlns:a14="http://schemas.microsoft.com/office/drawing/2010/main" val="0"/>
                        </a:ext>
                      </a:extLst>
                    </a:blip>
                    <a:srcRect l="-11" t="-18" r="-11" b="-18"/>
                    <a:stretch>
                      <a:fillRect/>
                    </a:stretch>
                  </pic:blipFill>
                  <pic:spPr bwMode="auto">
                    <a:xfrm>
                      <a:off x="0" y="0"/>
                      <a:ext cx="2225040" cy="1333500"/>
                    </a:xfrm>
                    <a:prstGeom prst="rect">
                      <a:avLst/>
                    </a:prstGeom>
                    <a:noFill/>
                    <a:ln>
                      <a:noFill/>
                    </a:ln>
                  </pic:spPr>
                </pic:pic>
              </a:graphicData>
            </a:graphic>
          </wp:inline>
        </w:drawing>
      </w:r>
      <w:r w:rsidR="00273A91" w:rsidRPr="00BE4F47">
        <w:rPr>
          <w:rFonts w:ascii="Aptos" w:eastAsia="Times" w:hAnsi="Aptos"/>
          <w:b/>
          <w:sz w:val="40"/>
        </w:rPr>
        <w:t xml:space="preserve"> </w:t>
      </w:r>
    </w:p>
    <w:p w14:paraId="720C4C7F" w14:textId="77777777" w:rsidR="00F50D70" w:rsidRPr="00BE4F47" w:rsidRDefault="00F50D70" w:rsidP="008E113B">
      <w:pPr>
        <w:spacing w:line="360" w:lineRule="auto"/>
        <w:ind w:left="0"/>
        <w:outlineLvl w:val="9"/>
        <w:rPr>
          <w:rFonts w:ascii="Aptos" w:hAnsi="Aptos" w:cs="Arial"/>
          <w:b/>
          <w:sz w:val="40"/>
        </w:rPr>
      </w:pPr>
    </w:p>
    <w:p w14:paraId="5CDF97F9" w14:textId="77777777" w:rsidR="00F50D70" w:rsidRPr="00BE4F47" w:rsidRDefault="00000000" w:rsidP="008E113B">
      <w:pPr>
        <w:pBdr>
          <w:bottom w:val="single" w:sz="6" w:space="1" w:color="000000"/>
        </w:pBdr>
        <w:spacing w:line="360" w:lineRule="auto"/>
        <w:ind w:left="0" w:right="-77"/>
        <w:jc w:val="right"/>
        <w:outlineLvl w:val="9"/>
        <w:rPr>
          <w:rFonts w:ascii="Aptos" w:hAnsi="Aptos" w:cs="Arial"/>
          <w:b/>
          <w:sz w:val="24"/>
          <w:szCs w:val="24"/>
        </w:rPr>
      </w:pPr>
      <w:r w:rsidRPr="00BE4F47">
        <w:rPr>
          <w:rFonts w:ascii="Aptos" w:eastAsia="Calibri" w:hAnsi="Aptos" w:cs="Calibri"/>
          <w:b/>
          <w:color w:val="1A1A19"/>
          <w:sz w:val="20"/>
          <w:szCs w:val="20"/>
        </w:rPr>
        <w:t>MODULE D’INGÉNIERIE</w:t>
      </w:r>
    </w:p>
    <w:p w14:paraId="08D624C5" w14:textId="77777777" w:rsidR="00F50D70" w:rsidRPr="00BE4F47" w:rsidRDefault="00000000" w:rsidP="008E113B">
      <w:pPr>
        <w:pBdr>
          <w:bottom w:val="single" w:sz="6" w:space="1" w:color="000000"/>
        </w:pBdr>
        <w:spacing w:line="360" w:lineRule="auto"/>
        <w:ind w:left="0" w:right="-77"/>
        <w:jc w:val="right"/>
        <w:outlineLvl w:val="9"/>
        <w:rPr>
          <w:rFonts w:ascii="Aptos" w:hAnsi="Aptos" w:cs="Arial"/>
          <w:b/>
          <w:sz w:val="24"/>
          <w:szCs w:val="24"/>
        </w:rPr>
      </w:pPr>
      <w:r w:rsidRPr="00BE4F47">
        <w:rPr>
          <w:rFonts w:ascii="Aptos" w:eastAsia="Calibri" w:hAnsi="Aptos" w:cs="Calibri"/>
          <w:b/>
          <w:color w:val="1A1A19"/>
          <w:sz w:val="20"/>
          <w:szCs w:val="20"/>
        </w:rPr>
        <w:t>GÉNIE INFORMATIQUE</w:t>
      </w:r>
    </w:p>
    <w:p w14:paraId="1A4D4FF8" w14:textId="77777777" w:rsidR="00F50D70" w:rsidRPr="00BE4F47" w:rsidRDefault="00000000" w:rsidP="008E113B">
      <w:pPr>
        <w:pBdr>
          <w:bottom w:val="single" w:sz="6" w:space="1" w:color="000000"/>
        </w:pBdr>
        <w:spacing w:line="360" w:lineRule="auto"/>
        <w:ind w:left="0" w:right="-77"/>
        <w:jc w:val="right"/>
        <w:outlineLvl w:val="9"/>
        <w:rPr>
          <w:rFonts w:ascii="Aptos" w:hAnsi="Aptos" w:cs="Arial"/>
        </w:rPr>
      </w:pPr>
      <w:r w:rsidRPr="00BE4F47">
        <w:rPr>
          <w:rFonts w:ascii="Aptos" w:eastAsia="Calibri" w:hAnsi="Aptos" w:cs="Calibri"/>
          <w:b/>
          <w:color w:val="1A1A19"/>
          <w:sz w:val="20"/>
          <w:szCs w:val="20"/>
        </w:rPr>
        <w:t>6GEN</w:t>
      </w:r>
      <w:proofErr w:type="gramStart"/>
      <w:r w:rsidRPr="00BE4F47">
        <w:rPr>
          <w:rFonts w:ascii="Aptos" w:eastAsia="Calibri" w:hAnsi="Aptos" w:cs="Calibri"/>
          <w:b/>
          <w:color w:val="1A1A19"/>
          <w:sz w:val="20"/>
          <w:szCs w:val="20"/>
        </w:rPr>
        <w:t>135  ·</w:t>
      </w:r>
      <w:proofErr w:type="gramEnd"/>
      <w:r w:rsidRPr="00BE4F47">
        <w:rPr>
          <w:rFonts w:ascii="Aptos" w:eastAsia="Calibri" w:hAnsi="Aptos" w:cs="Calibri"/>
          <w:b/>
          <w:color w:val="1A1A19"/>
          <w:sz w:val="20"/>
          <w:szCs w:val="20"/>
        </w:rPr>
        <w:t xml:space="preserve">  INGÉNIERIE : MÉTHODES ET PRATIQUE II</w:t>
      </w:r>
    </w:p>
    <w:p w14:paraId="23018BA0" w14:textId="77777777" w:rsidR="00F50D70" w:rsidRPr="00BE4F47" w:rsidRDefault="00F50D70" w:rsidP="008E113B">
      <w:pPr>
        <w:spacing w:line="360" w:lineRule="auto"/>
        <w:outlineLvl w:val="9"/>
        <w:rPr>
          <w:rFonts w:ascii="Aptos" w:hAnsi="Aptos" w:cs="Arial"/>
        </w:rPr>
      </w:pPr>
    </w:p>
    <w:p w14:paraId="0D564B40" w14:textId="77777777" w:rsidR="00F50D70" w:rsidRPr="00BE4F47" w:rsidRDefault="00000000" w:rsidP="008E113B">
      <w:pPr>
        <w:pStyle w:val="Heading"/>
        <w:pBdr>
          <w:bottom w:val="single" w:sz="4" w:space="24" w:color="000000"/>
        </w:pBdr>
        <w:spacing w:after="0" w:line="360" w:lineRule="auto"/>
        <w:jc w:val="right"/>
        <w:rPr>
          <w:rFonts w:ascii="Aptos" w:hAnsi="Aptos"/>
        </w:rPr>
      </w:pPr>
      <w:r w:rsidRPr="00BE4F47">
        <w:rPr>
          <w:rFonts w:ascii="Aptos" w:hAnsi="Aptos"/>
        </w:rPr>
        <w:t>Plan de projet</w:t>
      </w:r>
    </w:p>
    <w:p w14:paraId="42918CB9" w14:textId="77777777" w:rsidR="00F50D70" w:rsidRPr="00BE4F47" w:rsidRDefault="00F50D70" w:rsidP="008E113B">
      <w:pPr>
        <w:spacing w:line="360" w:lineRule="auto"/>
        <w:outlineLvl w:val="9"/>
        <w:rPr>
          <w:rFonts w:ascii="Aptos" w:hAnsi="Aptos"/>
        </w:rPr>
      </w:pPr>
    </w:p>
    <w:p w14:paraId="64D07111" w14:textId="77777777" w:rsidR="00F50D70" w:rsidRPr="00BE4F47" w:rsidRDefault="00F50D70" w:rsidP="008E113B">
      <w:pPr>
        <w:spacing w:line="360" w:lineRule="auto"/>
        <w:ind w:left="0"/>
        <w:outlineLvl w:val="9"/>
        <w:rPr>
          <w:rFonts w:ascii="Aptos" w:hAnsi="Aptos"/>
        </w:rPr>
      </w:pPr>
    </w:p>
    <w:p w14:paraId="2B8E8D8A" w14:textId="77777777" w:rsidR="00F50D70" w:rsidRPr="00BE4F47" w:rsidRDefault="00000000" w:rsidP="008E113B">
      <w:pPr>
        <w:pStyle w:val="Heading"/>
        <w:spacing w:after="0" w:line="360" w:lineRule="auto"/>
        <w:jc w:val="center"/>
        <w:rPr>
          <w:rFonts w:ascii="Aptos" w:hAnsi="Aptos" w:cs="Arial"/>
          <w:b/>
          <w:sz w:val="28"/>
          <w:szCs w:val="28"/>
        </w:rPr>
      </w:pPr>
      <w:r w:rsidRPr="00BE4F47">
        <w:rPr>
          <w:rFonts w:ascii="Aptos" w:hAnsi="Aptos" w:cs="Arial"/>
          <w:b/>
          <w:sz w:val="28"/>
          <w:szCs w:val="28"/>
        </w:rPr>
        <w:t xml:space="preserve">Projet : </w:t>
      </w:r>
    </w:p>
    <w:p w14:paraId="16D8C459" w14:textId="77777777" w:rsidR="00F50D70" w:rsidRPr="00BE4F47" w:rsidRDefault="00000000" w:rsidP="008E113B">
      <w:pPr>
        <w:pStyle w:val="Heading"/>
        <w:spacing w:after="0" w:line="360" w:lineRule="auto"/>
        <w:jc w:val="center"/>
        <w:rPr>
          <w:rFonts w:ascii="Aptos" w:hAnsi="Aptos" w:cs="Arial"/>
          <w:b/>
          <w:sz w:val="28"/>
          <w:szCs w:val="28"/>
        </w:rPr>
      </w:pPr>
      <w:r w:rsidRPr="00BE4F47">
        <w:rPr>
          <w:rFonts w:ascii="Aptos" w:hAnsi="Aptos" w:cs="Arial"/>
          <w:b/>
          <w:sz w:val="28"/>
          <w:szCs w:val="28"/>
        </w:rPr>
        <w:t xml:space="preserve">Jumeau numérique de surveillance d’une boucle </w:t>
      </w:r>
      <w:proofErr w:type="spellStart"/>
      <w:r w:rsidRPr="00BE4F47">
        <w:rPr>
          <w:rFonts w:ascii="Aptos" w:hAnsi="Aptos" w:cs="Arial"/>
          <w:b/>
          <w:sz w:val="28"/>
          <w:szCs w:val="28"/>
        </w:rPr>
        <w:t>thermohydraulique</w:t>
      </w:r>
      <w:proofErr w:type="spellEnd"/>
    </w:p>
    <w:p w14:paraId="14F13C50" w14:textId="77777777" w:rsidR="00F50D70" w:rsidRPr="00BE4F47" w:rsidRDefault="00F50D70" w:rsidP="008E113B">
      <w:pPr>
        <w:spacing w:line="360" w:lineRule="auto"/>
        <w:outlineLvl w:val="9"/>
        <w:rPr>
          <w:rFonts w:ascii="Aptos" w:hAnsi="Aptos" w:cs="Arial"/>
          <w:b/>
          <w:sz w:val="28"/>
          <w:szCs w:val="28"/>
        </w:rPr>
      </w:pPr>
    </w:p>
    <w:p w14:paraId="05A38276" w14:textId="77777777" w:rsidR="00F50D70" w:rsidRPr="00BE4F47" w:rsidRDefault="00F50D70" w:rsidP="008E113B">
      <w:pPr>
        <w:spacing w:line="360" w:lineRule="auto"/>
        <w:outlineLvl w:val="9"/>
        <w:rPr>
          <w:rFonts w:ascii="Aptos" w:hAnsi="Aptos"/>
        </w:rPr>
      </w:pPr>
    </w:p>
    <w:p w14:paraId="6CD0A196" w14:textId="77777777" w:rsidR="00F50D70" w:rsidRPr="00BE4F47" w:rsidRDefault="00F50D70" w:rsidP="008E113B">
      <w:pPr>
        <w:spacing w:line="360" w:lineRule="auto"/>
        <w:outlineLvl w:val="9"/>
        <w:rPr>
          <w:rFonts w:ascii="Aptos" w:hAnsi="Aptos"/>
        </w:rPr>
      </w:pPr>
    </w:p>
    <w:p w14:paraId="1AD3E497" w14:textId="77777777" w:rsidR="00F50D70" w:rsidRPr="00BE4F47" w:rsidRDefault="00000000" w:rsidP="008E113B">
      <w:pPr>
        <w:spacing w:line="360" w:lineRule="auto"/>
        <w:ind w:left="0"/>
        <w:jc w:val="center"/>
        <w:outlineLvl w:val="9"/>
        <w:rPr>
          <w:rFonts w:ascii="Aptos" w:hAnsi="Aptos"/>
          <w:sz w:val="24"/>
          <w:szCs w:val="24"/>
        </w:rPr>
      </w:pPr>
      <w:r w:rsidRPr="00BE4F47">
        <w:rPr>
          <w:rFonts w:ascii="Aptos" w:eastAsia="Calibri" w:hAnsi="Aptos" w:cs="Calibri"/>
          <w:color w:val="1A1A19"/>
          <w:sz w:val="20"/>
          <w:szCs w:val="20"/>
        </w:rPr>
        <w:t>Préparé par</w:t>
      </w:r>
    </w:p>
    <w:p w14:paraId="4DF53A50" w14:textId="77777777" w:rsidR="00F50D70" w:rsidRPr="00BE4F47" w:rsidRDefault="00F50D70" w:rsidP="008E113B">
      <w:pPr>
        <w:spacing w:line="360" w:lineRule="auto"/>
        <w:ind w:left="0"/>
        <w:outlineLvl w:val="9"/>
        <w:rPr>
          <w:rFonts w:ascii="Aptos" w:hAnsi="Aptos"/>
          <w:sz w:val="24"/>
          <w:szCs w:val="24"/>
        </w:rPr>
      </w:pPr>
    </w:p>
    <w:p w14:paraId="53CAF783" w14:textId="77777777" w:rsidR="00F50D70" w:rsidRPr="00BE4F47" w:rsidRDefault="00000000" w:rsidP="008E113B">
      <w:pPr>
        <w:spacing w:line="360" w:lineRule="auto"/>
        <w:ind w:left="0"/>
        <w:jc w:val="center"/>
        <w:outlineLvl w:val="9"/>
        <w:rPr>
          <w:rFonts w:ascii="Aptos" w:hAnsi="Aptos"/>
        </w:rPr>
      </w:pPr>
      <w:r w:rsidRPr="00BE4F47">
        <w:rPr>
          <w:rFonts w:ascii="Aptos" w:eastAsia="Calibri" w:hAnsi="Aptos" w:cs="Calibri"/>
          <w:color w:val="1A1A19"/>
          <w:sz w:val="20"/>
          <w:szCs w:val="20"/>
        </w:rPr>
        <w:t xml:space="preserve">Christian Kévin </w:t>
      </w:r>
      <w:r w:rsidR="00170BF3" w:rsidRPr="00BE4F47">
        <w:rPr>
          <w:rFonts w:ascii="Aptos" w:eastAsia="Calibri" w:hAnsi="Aptos" w:cs="Calibri"/>
          <w:color w:val="1A1A19"/>
          <w:sz w:val="20"/>
          <w:szCs w:val="20"/>
        </w:rPr>
        <w:t>Sawadogo , Abdoul</w:t>
      </w:r>
      <w:r w:rsidRPr="00BE4F47">
        <w:rPr>
          <w:rFonts w:ascii="Aptos" w:eastAsia="Calibri" w:hAnsi="Aptos" w:cs="Calibri"/>
          <w:color w:val="1A1A19"/>
          <w:sz w:val="20"/>
          <w:szCs w:val="20"/>
        </w:rPr>
        <w:t xml:space="preserve"> Raouf Kabré</w:t>
      </w:r>
      <w:r w:rsidR="00170BF3" w:rsidRPr="00BE4F47">
        <w:rPr>
          <w:rFonts w:ascii="Aptos" w:eastAsia="Calibri" w:hAnsi="Aptos" w:cs="Calibri"/>
          <w:color w:val="1A1A19"/>
          <w:sz w:val="20"/>
          <w:szCs w:val="20"/>
        </w:rPr>
        <w:t>,</w:t>
      </w:r>
      <w:r w:rsidRPr="00BE4F47">
        <w:rPr>
          <w:rFonts w:ascii="Aptos" w:eastAsia="Calibri" w:hAnsi="Aptos" w:cs="Calibri"/>
          <w:color w:val="1A1A19"/>
          <w:sz w:val="20"/>
          <w:szCs w:val="20"/>
        </w:rPr>
        <w:t xml:space="preserve">  Rayane Arèmou Akorede Alimi </w:t>
      </w:r>
      <w:r w:rsidR="00170BF3" w:rsidRPr="00BE4F47">
        <w:rPr>
          <w:rFonts w:ascii="Aptos" w:eastAsia="Calibri" w:hAnsi="Aptos" w:cs="Calibri"/>
          <w:color w:val="1A1A19"/>
          <w:sz w:val="20"/>
          <w:szCs w:val="20"/>
        </w:rPr>
        <w:t xml:space="preserve">, </w:t>
      </w:r>
      <w:r w:rsidRPr="00BE4F47">
        <w:rPr>
          <w:rFonts w:ascii="Aptos" w:eastAsia="Calibri" w:hAnsi="Aptos" w:cs="Calibri"/>
          <w:color w:val="1A1A19"/>
          <w:sz w:val="20"/>
          <w:szCs w:val="20"/>
        </w:rPr>
        <w:t xml:space="preserve">Ibrahim Diallo </w:t>
      </w:r>
      <w:r w:rsidR="00170BF3" w:rsidRPr="00BE4F47">
        <w:rPr>
          <w:rFonts w:ascii="Aptos" w:eastAsia="Calibri" w:hAnsi="Aptos" w:cs="Calibri"/>
          <w:color w:val="1A1A19"/>
          <w:sz w:val="20"/>
          <w:szCs w:val="20"/>
        </w:rPr>
        <w:t>,</w:t>
      </w:r>
      <w:r w:rsidRPr="00BE4F47">
        <w:rPr>
          <w:rFonts w:ascii="Aptos" w:eastAsia="Calibri" w:hAnsi="Aptos" w:cs="Calibri"/>
          <w:color w:val="1A1A19"/>
          <w:sz w:val="20"/>
          <w:szCs w:val="20"/>
        </w:rPr>
        <w:t xml:space="preserve"> Aboubacar Sidiki Yansané</w:t>
      </w:r>
      <w:r w:rsidR="00170BF3" w:rsidRPr="00BE4F47">
        <w:rPr>
          <w:rFonts w:ascii="Aptos" w:eastAsia="Calibri" w:hAnsi="Aptos" w:cs="Calibri"/>
          <w:color w:val="1A1A19"/>
          <w:sz w:val="20"/>
          <w:szCs w:val="20"/>
        </w:rPr>
        <w:t xml:space="preserve">, </w:t>
      </w:r>
      <w:proofErr w:type="spellStart"/>
      <w:r w:rsidRPr="00BE4F47">
        <w:rPr>
          <w:rFonts w:ascii="Aptos" w:eastAsia="Calibri" w:hAnsi="Aptos" w:cs="Calibri"/>
          <w:color w:val="1A1A19"/>
          <w:sz w:val="20"/>
          <w:szCs w:val="20"/>
        </w:rPr>
        <w:t>Djasra</w:t>
      </w:r>
      <w:proofErr w:type="spellEnd"/>
      <w:r w:rsidRPr="00BE4F47">
        <w:rPr>
          <w:rFonts w:ascii="Aptos" w:eastAsia="Calibri" w:hAnsi="Aptos" w:cs="Calibri"/>
          <w:color w:val="1A1A19"/>
          <w:sz w:val="20"/>
          <w:szCs w:val="20"/>
        </w:rPr>
        <w:t xml:space="preserve"> Wilson Thoroum</w:t>
      </w:r>
      <w:r w:rsidR="00170BF3" w:rsidRPr="00BE4F47">
        <w:rPr>
          <w:rFonts w:ascii="Aptos" w:eastAsia="Calibri" w:hAnsi="Aptos" w:cs="Calibri"/>
          <w:color w:val="1A1A19"/>
          <w:sz w:val="20"/>
          <w:szCs w:val="20"/>
        </w:rPr>
        <w:t xml:space="preserve">, </w:t>
      </w:r>
      <w:r w:rsidRPr="00BE4F47">
        <w:rPr>
          <w:rFonts w:ascii="Aptos" w:eastAsia="Calibri" w:hAnsi="Aptos" w:cs="Calibri"/>
          <w:color w:val="1A1A19"/>
          <w:sz w:val="20"/>
          <w:szCs w:val="20"/>
        </w:rPr>
        <w:t xml:space="preserve">Jérémie </w:t>
      </w:r>
      <w:r w:rsidR="00170BF3" w:rsidRPr="00BE4F47">
        <w:rPr>
          <w:rFonts w:ascii="Aptos" w:eastAsia="Calibri" w:hAnsi="Aptos" w:cs="Calibri"/>
          <w:color w:val="1A1A19"/>
          <w:sz w:val="20"/>
          <w:szCs w:val="20"/>
        </w:rPr>
        <w:t>Arno Tchawo Soppewe</w:t>
      </w:r>
      <w:r w:rsidRPr="00BE4F47">
        <w:rPr>
          <w:rFonts w:ascii="Aptos" w:eastAsia="Calibri" w:hAnsi="Aptos" w:cs="Calibri"/>
          <w:color w:val="1A1A19"/>
          <w:sz w:val="20"/>
          <w:szCs w:val="20"/>
        </w:rPr>
        <w:t xml:space="preserve"> </w:t>
      </w:r>
      <w:r w:rsidR="00170BF3" w:rsidRPr="00BE4F47">
        <w:rPr>
          <w:rFonts w:ascii="Aptos" w:eastAsia="Calibri" w:hAnsi="Aptos" w:cs="Calibri"/>
          <w:color w:val="1A1A19"/>
          <w:sz w:val="20"/>
          <w:szCs w:val="20"/>
        </w:rPr>
        <w:t>et</w:t>
      </w:r>
    </w:p>
    <w:p w14:paraId="2C863E5F" w14:textId="77777777" w:rsidR="00F50D70" w:rsidRPr="00BE4F47" w:rsidRDefault="00F50D70" w:rsidP="008E113B">
      <w:pPr>
        <w:spacing w:line="360" w:lineRule="auto"/>
        <w:ind w:left="0"/>
        <w:outlineLvl w:val="9"/>
        <w:rPr>
          <w:rFonts w:ascii="Aptos" w:hAnsi="Aptos"/>
        </w:rPr>
      </w:pPr>
    </w:p>
    <w:p w14:paraId="35139DED" w14:textId="77777777" w:rsidR="00F50D70" w:rsidRPr="00BE4F47" w:rsidRDefault="00F50D70" w:rsidP="008E113B">
      <w:pPr>
        <w:spacing w:line="360" w:lineRule="auto"/>
        <w:ind w:left="0"/>
        <w:outlineLvl w:val="9"/>
        <w:rPr>
          <w:rFonts w:ascii="Aptos" w:hAnsi="Aptos"/>
        </w:rPr>
      </w:pPr>
    </w:p>
    <w:p w14:paraId="4C9E57A7" w14:textId="77777777" w:rsidR="00F50D70" w:rsidRPr="00BE4F47" w:rsidRDefault="00F50D70" w:rsidP="008E113B">
      <w:pPr>
        <w:spacing w:line="360" w:lineRule="auto"/>
        <w:ind w:left="0"/>
        <w:outlineLvl w:val="9"/>
        <w:rPr>
          <w:rFonts w:ascii="Aptos" w:hAnsi="Aptos"/>
        </w:rPr>
      </w:pPr>
    </w:p>
    <w:p w14:paraId="7195713D" w14:textId="77777777" w:rsidR="00F50D70" w:rsidRPr="00BE4F47" w:rsidRDefault="00000000" w:rsidP="008E113B">
      <w:pPr>
        <w:spacing w:line="360" w:lineRule="auto"/>
        <w:ind w:left="0"/>
        <w:jc w:val="center"/>
        <w:outlineLvl w:val="9"/>
        <w:rPr>
          <w:rFonts w:ascii="Aptos" w:hAnsi="Aptos"/>
        </w:rPr>
      </w:pPr>
      <w:r w:rsidRPr="00BE4F47">
        <w:rPr>
          <w:rFonts w:ascii="Aptos" w:eastAsia="Calibri" w:hAnsi="Aptos" w:cs="Calibri"/>
          <w:color w:val="1A1A19"/>
          <w:sz w:val="20"/>
          <w:szCs w:val="20"/>
        </w:rPr>
        <w:t>Pour</w:t>
      </w:r>
    </w:p>
    <w:p w14:paraId="0D262D9F" w14:textId="77777777" w:rsidR="00F50D70" w:rsidRPr="00BE4F47" w:rsidRDefault="00F50D70" w:rsidP="008E113B">
      <w:pPr>
        <w:spacing w:line="360" w:lineRule="auto"/>
        <w:ind w:left="0"/>
        <w:jc w:val="center"/>
        <w:outlineLvl w:val="9"/>
        <w:rPr>
          <w:rFonts w:ascii="Aptos" w:hAnsi="Aptos"/>
        </w:rPr>
      </w:pPr>
    </w:p>
    <w:p w14:paraId="0CB0D500" w14:textId="77777777" w:rsidR="00F50D70" w:rsidRPr="00BE4F47" w:rsidRDefault="00000000" w:rsidP="008E113B">
      <w:pPr>
        <w:spacing w:line="360" w:lineRule="auto"/>
        <w:ind w:left="0"/>
        <w:jc w:val="center"/>
        <w:outlineLvl w:val="9"/>
        <w:rPr>
          <w:rFonts w:ascii="Aptos" w:hAnsi="Aptos"/>
        </w:rPr>
      </w:pPr>
      <w:r w:rsidRPr="00BE4F47">
        <w:rPr>
          <w:rFonts w:ascii="Aptos" w:eastAsia="Calibri" w:hAnsi="Aptos" w:cs="Calibri"/>
          <w:color w:val="1A1A19"/>
          <w:sz w:val="20"/>
          <w:szCs w:val="20"/>
        </w:rPr>
        <w:t>(PROMOTEUR)</w:t>
      </w:r>
    </w:p>
    <w:p w14:paraId="76E8293A" w14:textId="77777777" w:rsidR="00F50D70" w:rsidRPr="00BE4F47" w:rsidRDefault="00000000" w:rsidP="008E113B">
      <w:pPr>
        <w:spacing w:line="360" w:lineRule="auto"/>
        <w:ind w:left="0"/>
        <w:jc w:val="center"/>
        <w:outlineLvl w:val="9"/>
        <w:rPr>
          <w:rFonts w:ascii="Aptos" w:hAnsi="Aptos"/>
        </w:rPr>
      </w:pPr>
      <w:r w:rsidRPr="00BE4F47">
        <w:rPr>
          <w:rFonts w:ascii="Aptos" w:eastAsia="Calibri" w:hAnsi="Aptos" w:cs="Calibri"/>
          <w:color w:val="1A1A19"/>
          <w:sz w:val="20"/>
          <w:szCs w:val="20"/>
        </w:rPr>
        <w:t>[ NOM DU REPRÉSENTANT DU CLIENT À COMPLÉTER ]</w:t>
      </w:r>
    </w:p>
    <w:p w14:paraId="43829A2B" w14:textId="77777777" w:rsidR="00F50D70" w:rsidRPr="00BE4F47" w:rsidRDefault="00000000" w:rsidP="008E113B">
      <w:pPr>
        <w:spacing w:line="360" w:lineRule="auto"/>
        <w:ind w:left="0"/>
        <w:jc w:val="center"/>
        <w:outlineLvl w:val="9"/>
        <w:rPr>
          <w:rFonts w:ascii="Aptos" w:hAnsi="Aptos"/>
        </w:rPr>
      </w:pPr>
      <w:r w:rsidRPr="00BE4F47">
        <w:rPr>
          <w:rFonts w:ascii="Aptos" w:eastAsia="Calibri" w:hAnsi="Aptos" w:cs="Calibri"/>
          <w:color w:val="1A1A19"/>
          <w:sz w:val="20"/>
          <w:szCs w:val="20"/>
        </w:rPr>
        <w:lastRenderedPageBreak/>
        <w:t>HYDRO-QUÉBEC  (client fictif du scénario de cours)</w:t>
      </w:r>
    </w:p>
    <w:p w14:paraId="04614675" w14:textId="77777777" w:rsidR="00F50D70" w:rsidRPr="00BE4F47" w:rsidRDefault="00F50D70" w:rsidP="008E113B">
      <w:pPr>
        <w:spacing w:line="360" w:lineRule="auto"/>
        <w:ind w:left="0"/>
        <w:jc w:val="center"/>
        <w:outlineLvl w:val="9"/>
        <w:rPr>
          <w:rFonts w:ascii="Aptos" w:hAnsi="Aptos"/>
        </w:rPr>
      </w:pPr>
    </w:p>
    <w:p w14:paraId="22D89A06" w14:textId="77777777" w:rsidR="00F50D70" w:rsidRPr="00BE4F47" w:rsidRDefault="00F50D70" w:rsidP="008E113B">
      <w:pPr>
        <w:spacing w:line="360" w:lineRule="auto"/>
        <w:ind w:left="0"/>
        <w:jc w:val="center"/>
        <w:outlineLvl w:val="9"/>
        <w:rPr>
          <w:rFonts w:ascii="Aptos" w:hAnsi="Aptos"/>
        </w:rPr>
      </w:pPr>
    </w:p>
    <w:p w14:paraId="6A998F66" w14:textId="77777777" w:rsidR="00F50D70" w:rsidRPr="00BE4F47" w:rsidRDefault="00000000" w:rsidP="008E113B">
      <w:pPr>
        <w:spacing w:line="360" w:lineRule="auto"/>
        <w:ind w:left="0"/>
        <w:jc w:val="center"/>
        <w:outlineLvl w:val="9"/>
        <w:rPr>
          <w:rFonts w:ascii="Aptos" w:hAnsi="Aptos"/>
        </w:rPr>
      </w:pPr>
      <w:r w:rsidRPr="00BE4F47">
        <w:rPr>
          <w:rFonts w:ascii="Aptos" w:eastAsia="Calibri" w:hAnsi="Aptos" w:cs="Calibri"/>
          <w:color w:val="1A1A19"/>
          <w:sz w:val="20"/>
          <w:szCs w:val="20"/>
        </w:rPr>
        <w:t>20 septembre 2026</w:t>
      </w:r>
    </w:p>
    <w:p w14:paraId="201F373D" w14:textId="77777777" w:rsidR="00F50D70" w:rsidRPr="00BE4F47" w:rsidRDefault="00F50D70" w:rsidP="008E113B">
      <w:pPr>
        <w:spacing w:line="360" w:lineRule="auto"/>
        <w:ind w:left="0"/>
        <w:outlineLvl w:val="9"/>
        <w:rPr>
          <w:rFonts w:ascii="Aptos" w:hAnsi="Aptos"/>
        </w:rPr>
      </w:pPr>
    </w:p>
    <w:p w14:paraId="6896EA50" w14:textId="77777777" w:rsidR="00F50D70" w:rsidRPr="00BE4F47" w:rsidRDefault="00F50D70" w:rsidP="008E113B">
      <w:pPr>
        <w:spacing w:line="360" w:lineRule="auto"/>
        <w:ind w:left="0"/>
        <w:jc w:val="center"/>
        <w:outlineLvl w:val="9"/>
        <w:rPr>
          <w:rFonts w:ascii="Aptos" w:hAnsi="Aptos"/>
        </w:rPr>
      </w:pPr>
    </w:p>
    <w:p w14:paraId="00A7E006" w14:textId="77777777" w:rsidR="00F50D70" w:rsidRPr="00BE4F47" w:rsidRDefault="00F50D70" w:rsidP="008E113B">
      <w:pPr>
        <w:spacing w:line="360" w:lineRule="auto"/>
        <w:ind w:left="0"/>
        <w:jc w:val="center"/>
        <w:outlineLvl w:val="9"/>
        <w:rPr>
          <w:rFonts w:ascii="Aptos" w:hAnsi="Aptos"/>
        </w:rPr>
      </w:pPr>
    </w:p>
    <w:p w14:paraId="4349FB4E" w14:textId="77777777" w:rsidR="00F50D70" w:rsidRPr="00BE4F47" w:rsidRDefault="00F50D70" w:rsidP="008E113B">
      <w:pPr>
        <w:spacing w:line="360" w:lineRule="auto"/>
        <w:ind w:left="0"/>
        <w:jc w:val="center"/>
        <w:outlineLvl w:val="9"/>
        <w:rPr>
          <w:rFonts w:ascii="Aptos" w:hAnsi="Aptos"/>
        </w:rPr>
      </w:pPr>
    </w:p>
    <w:p w14:paraId="083AB0DD" w14:textId="77777777" w:rsidR="00F50D70" w:rsidRPr="00BE4F47" w:rsidRDefault="00F50D70" w:rsidP="008E113B">
      <w:pPr>
        <w:tabs>
          <w:tab w:val="left" w:pos="5670"/>
        </w:tabs>
        <w:spacing w:line="360" w:lineRule="auto"/>
        <w:ind w:left="0"/>
        <w:outlineLvl w:val="9"/>
        <w:rPr>
          <w:rFonts w:ascii="Aptos" w:hAnsi="Aptos"/>
        </w:rPr>
      </w:pPr>
    </w:p>
    <w:p w14:paraId="4E9FBED7" w14:textId="77777777" w:rsidR="00F50D70" w:rsidRPr="00BE4F47" w:rsidRDefault="00000000" w:rsidP="008E113B">
      <w:pPr>
        <w:tabs>
          <w:tab w:val="left" w:pos="5670"/>
        </w:tabs>
        <w:spacing w:line="360" w:lineRule="auto"/>
        <w:ind w:left="0"/>
        <w:outlineLvl w:val="9"/>
        <w:rPr>
          <w:rFonts w:ascii="Aptos" w:hAnsi="Aptos"/>
        </w:rPr>
      </w:pPr>
      <w:r w:rsidRPr="00BE4F47">
        <w:rPr>
          <w:rFonts w:ascii="Aptos" w:eastAsia="Calibri" w:hAnsi="Aptos" w:cs="Calibri"/>
          <w:color w:val="1A1A19"/>
          <w:sz w:val="20"/>
          <w:szCs w:val="20"/>
        </w:rPr>
        <w:t xml:space="preserve">CONSEILLER :  Martin Otis, </w:t>
      </w:r>
      <w:proofErr w:type="spellStart"/>
      <w:r w:rsidRPr="00BE4F47">
        <w:rPr>
          <w:rFonts w:ascii="Aptos" w:eastAsia="Calibri" w:hAnsi="Aptos" w:cs="Calibri"/>
          <w:color w:val="1A1A19"/>
          <w:sz w:val="20"/>
          <w:szCs w:val="20"/>
        </w:rPr>
        <w:t>ing</w:t>
      </w:r>
      <w:proofErr w:type="spellEnd"/>
      <w:r w:rsidRPr="00BE4F47">
        <w:rPr>
          <w:rFonts w:ascii="Aptos" w:eastAsia="Calibri" w:hAnsi="Aptos" w:cs="Calibri"/>
          <w:color w:val="1A1A19"/>
          <w:sz w:val="20"/>
          <w:szCs w:val="20"/>
        </w:rPr>
        <w:t>.</w:t>
      </w:r>
    </w:p>
    <w:p w14:paraId="61690C8E" w14:textId="77777777" w:rsidR="00F50D70" w:rsidRPr="00BE4F47" w:rsidRDefault="00F50D70" w:rsidP="008E113B">
      <w:pPr>
        <w:tabs>
          <w:tab w:val="left" w:pos="5670"/>
        </w:tabs>
        <w:spacing w:line="360" w:lineRule="auto"/>
        <w:ind w:left="0"/>
        <w:outlineLvl w:val="9"/>
        <w:rPr>
          <w:rFonts w:ascii="Aptos" w:hAnsi="Aptos"/>
        </w:rPr>
      </w:pPr>
    </w:p>
    <w:p w14:paraId="1613843F" w14:textId="77777777" w:rsidR="00F50D70" w:rsidRPr="00BE4F47" w:rsidRDefault="00F50D70" w:rsidP="008E113B">
      <w:pPr>
        <w:tabs>
          <w:tab w:val="left" w:pos="5670"/>
        </w:tabs>
        <w:spacing w:line="360" w:lineRule="auto"/>
        <w:ind w:left="0"/>
        <w:outlineLvl w:val="9"/>
        <w:rPr>
          <w:rFonts w:ascii="Aptos" w:hAnsi="Aptos"/>
        </w:rPr>
      </w:pPr>
    </w:p>
    <w:p w14:paraId="05C52481" w14:textId="77777777" w:rsidR="00F50D70" w:rsidRPr="00BE4F47" w:rsidRDefault="00F50D70" w:rsidP="008E113B">
      <w:pPr>
        <w:spacing w:line="360" w:lineRule="auto"/>
        <w:ind w:left="0"/>
        <w:outlineLvl w:val="9"/>
        <w:rPr>
          <w:rFonts w:ascii="Aptos" w:hAnsi="Aptos"/>
        </w:rPr>
      </w:pPr>
    </w:p>
    <w:p w14:paraId="77162481" w14:textId="77777777" w:rsidR="00F50D70" w:rsidRPr="00BE4F47" w:rsidRDefault="00F50D70" w:rsidP="008E113B">
      <w:pPr>
        <w:spacing w:line="360" w:lineRule="auto"/>
        <w:outlineLvl w:val="9"/>
        <w:rPr>
          <w:rFonts w:ascii="Aptos" w:hAnsi="Aptos"/>
        </w:rPr>
      </w:pPr>
    </w:p>
    <w:p w14:paraId="2783592F" w14:textId="77777777" w:rsidR="00F50D70" w:rsidRPr="00BE4F47" w:rsidRDefault="00F50D70" w:rsidP="008E113B">
      <w:pPr>
        <w:spacing w:line="360" w:lineRule="auto"/>
        <w:outlineLvl w:val="9"/>
        <w:rPr>
          <w:rFonts w:ascii="Aptos" w:hAnsi="Aptos"/>
        </w:rPr>
      </w:pPr>
    </w:p>
    <w:p w14:paraId="75011E56" w14:textId="77777777" w:rsidR="00F50D70" w:rsidRPr="00BE4F47" w:rsidRDefault="00F50D70" w:rsidP="008E113B">
      <w:pPr>
        <w:spacing w:line="360" w:lineRule="auto"/>
        <w:outlineLvl w:val="9"/>
        <w:rPr>
          <w:rFonts w:ascii="Aptos" w:hAnsi="Aptos"/>
        </w:rPr>
      </w:pPr>
    </w:p>
    <w:p w14:paraId="46F5C746" w14:textId="77777777" w:rsidR="00F50D70" w:rsidRPr="00BE4F47" w:rsidRDefault="00F50D70" w:rsidP="008E113B">
      <w:pPr>
        <w:spacing w:line="360" w:lineRule="auto"/>
        <w:outlineLvl w:val="9"/>
        <w:rPr>
          <w:rFonts w:ascii="Aptos" w:hAnsi="Aptos"/>
        </w:rPr>
      </w:pPr>
    </w:p>
    <w:tbl>
      <w:tblPr>
        <w:tblW w:w="7020" w:type="dxa"/>
        <w:tblInd w:w="648" w:type="dxa"/>
        <w:tblLayout w:type="fixed"/>
        <w:tblLook w:val="04A0" w:firstRow="1" w:lastRow="0" w:firstColumn="1" w:lastColumn="0" w:noHBand="0" w:noVBand="1"/>
      </w:tblPr>
      <w:tblGrid>
        <w:gridCol w:w="2154"/>
        <w:gridCol w:w="4866"/>
      </w:tblGrid>
      <w:tr w:rsidR="00F50D70" w:rsidRPr="00BE4F47" w14:paraId="0AA2A24C" w14:textId="77777777">
        <w:tc>
          <w:tcPr>
            <w:tcW w:w="7020" w:type="dxa"/>
            <w:gridSpan w:val="2"/>
            <w:tcBorders>
              <w:top w:val="single" w:sz="6" w:space="0" w:color="000000"/>
              <w:left w:val="single" w:sz="6" w:space="0" w:color="000000"/>
              <w:bottom w:val="single" w:sz="4" w:space="0" w:color="000000"/>
              <w:right w:val="single" w:sz="6" w:space="0" w:color="000000"/>
            </w:tcBorders>
          </w:tcPr>
          <w:p w14:paraId="5DEA8FFC" w14:textId="77777777" w:rsidR="00F50D70" w:rsidRPr="00BE4F47" w:rsidRDefault="00000000" w:rsidP="008E113B">
            <w:pPr>
              <w:pStyle w:val="Enttedetableau"/>
              <w:spacing w:before="20" w:after="20"/>
              <w:rPr>
                <w:rFonts w:ascii="Aptos" w:hAnsi="Aptos"/>
              </w:rPr>
            </w:pPr>
            <w:r w:rsidRPr="00BE4F47">
              <w:rPr>
                <w:rFonts w:ascii="Aptos" w:hAnsi="Aptos" w:cs="Arial"/>
                <w:b/>
                <w:sz w:val="20"/>
              </w:rPr>
              <w:t>Approbation de la proposition de services pour diffusion</w:t>
            </w:r>
          </w:p>
        </w:tc>
      </w:tr>
      <w:tr w:rsidR="00F50D70" w:rsidRPr="00BE4F47" w14:paraId="45FF45FF" w14:textId="77777777">
        <w:tc>
          <w:tcPr>
            <w:tcW w:w="2154" w:type="dxa"/>
            <w:tcBorders>
              <w:left w:val="single" w:sz="6" w:space="0" w:color="000000"/>
            </w:tcBorders>
          </w:tcPr>
          <w:p w14:paraId="1C38F8BB" w14:textId="77777777" w:rsidR="00F50D70" w:rsidRPr="00BE4F47" w:rsidRDefault="00000000" w:rsidP="008E113B">
            <w:pPr>
              <w:pStyle w:val="Textedetableau"/>
              <w:spacing w:before="20" w:after="20"/>
              <w:rPr>
                <w:rFonts w:ascii="Aptos" w:hAnsi="Aptos"/>
              </w:rPr>
            </w:pPr>
            <w:r w:rsidRPr="00BE4F47">
              <w:rPr>
                <w:rFonts w:ascii="Aptos" w:hAnsi="Aptos"/>
                <w:sz w:val="20"/>
              </w:rPr>
              <w:t>Nom du conseiller</w:t>
            </w:r>
          </w:p>
        </w:tc>
        <w:tc>
          <w:tcPr>
            <w:tcW w:w="4866" w:type="dxa"/>
            <w:tcBorders>
              <w:right w:val="single" w:sz="6" w:space="0" w:color="000000"/>
            </w:tcBorders>
          </w:tcPr>
          <w:p w14:paraId="50AADD79" w14:textId="77777777" w:rsidR="00F50D70" w:rsidRPr="00BE4F47" w:rsidRDefault="00F50D70" w:rsidP="008E113B">
            <w:pPr>
              <w:pStyle w:val="Textedetableau"/>
              <w:snapToGrid w:val="0"/>
              <w:spacing w:before="20" w:after="20"/>
              <w:rPr>
                <w:rFonts w:ascii="Aptos" w:hAnsi="Aptos"/>
                <w:sz w:val="20"/>
              </w:rPr>
            </w:pPr>
          </w:p>
        </w:tc>
      </w:tr>
      <w:tr w:rsidR="00F50D70" w:rsidRPr="00BE4F47" w14:paraId="1AD1F6E8" w14:textId="77777777">
        <w:tc>
          <w:tcPr>
            <w:tcW w:w="2154" w:type="dxa"/>
            <w:tcBorders>
              <w:left w:val="single" w:sz="6" w:space="0" w:color="000000"/>
            </w:tcBorders>
          </w:tcPr>
          <w:p w14:paraId="6D2D15B6" w14:textId="77777777" w:rsidR="00F50D70" w:rsidRPr="00BE4F47" w:rsidRDefault="00000000" w:rsidP="008E113B">
            <w:pPr>
              <w:pStyle w:val="Textedetableau"/>
              <w:spacing w:before="20" w:after="20"/>
              <w:rPr>
                <w:rFonts w:ascii="Aptos" w:hAnsi="Aptos"/>
                <w:sz w:val="20"/>
              </w:rPr>
            </w:pPr>
            <w:r w:rsidRPr="00BE4F47">
              <w:rPr>
                <w:rFonts w:ascii="Aptos" w:hAnsi="Aptos"/>
                <w:sz w:val="20"/>
              </w:rPr>
              <w:t>Date</w:t>
            </w:r>
          </w:p>
        </w:tc>
        <w:tc>
          <w:tcPr>
            <w:tcW w:w="4866" w:type="dxa"/>
            <w:tcBorders>
              <w:right w:val="single" w:sz="6" w:space="0" w:color="000000"/>
            </w:tcBorders>
          </w:tcPr>
          <w:p w14:paraId="75A6CB4B" w14:textId="77777777" w:rsidR="00F50D70" w:rsidRPr="00BE4F47" w:rsidRDefault="00F50D70" w:rsidP="008E113B">
            <w:pPr>
              <w:pStyle w:val="Textedetableau"/>
              <w:snapToGrid w:val="0"/>
              <w:spacing w:before="20" w:after="20"/>
              <w:rPr>
                <w:rFonts w:ascii="Aptos" w:hAnsi="Aptos"/>
                <w:sz w:val="20"/>
              </w:rPr>
            </w:pPr>
          </w:p>
        </w:tc>
      </w:tr>
      <w:tr w:rsidR="00F50D70" w:rsidRPr="00BE4F47" w14:paraId="5A813CBB" w14:textId="77777777">
        <w:tc>
          <w:tcPr>
            <w:tcW w:w="2154" w:type="dxa"/>
            <w:tcBorders>
              <w:left w:val="single" w:sz="6" w:space="0" w:color="000000"/>
              <w:bottom w:val="single" w:sz="4" w:space="0" w:color="000000"/>
            </w:tcBorders>
          </w:tcPr>
          <w:p w14:paraId="03F9E319" w14:textId="77777777" w:rsidR="00F50D70" w:rsidRPr="00BE4F47" w:rsidRDefault="00000000" w:rsidP="008E113B">
            <w:pPr>
              <w:pStyle w:val="Textedetableau"/>
              <w:spacing w:before="20" w:after="20"/>
              <w:rPr>
                <w:rFonts w:ascii="Aptos" w:hAnsi="Aptos"/>
                <w:sz w:val="20"/>
              </w:rPr>
            </w:pPr>
            <w:r w:rsidRPr="00BE4F47">
              <w:rPr>
                <w:rFonts w:ascii="Aptos" w:hAnsi="Aptos"/>
                <w:sz w:val="20"/>
              </w:rPr>
              <w:t>Signature</w:t>
            </w:r>
          </w:p>
        </w:tc>
        <w:tc>
          <w:tcPr>
            <w:tcW w:w="4866" w:type="dxa"/>
            <w:tcBorders>
              <w:bottom w:val="single" w:sz="4" w:space="0" w:color="000000"/>
              <w:right w:val="single" w:sz="6" w:space="0" w:color="000000"/>
            </w:tcBorders>
          </w:tcPr>
          <w:p w14:paraId="2489EE21" w14:textId="77777777" w:rsidR="00F50D70" w:rsidRPr="00BE4F47" w:rsidRDefault="00F50D70" w:rsidP="008E113B">
            <w:pPr>
              <w:pStyle w:val="Textedetableau"/>
              <w:snapToGrid w:val="0"/>
              <w:spacing w:before="20" w:after="20"/>
              <w:rPr>
                <w:rFonts w:ascii="Aptos" w:hAnsi="Aptos"/>
                <w:sz w:val="20"/>
              </w:rPr>
            </w:pPr>
          </w:p>
        </w:tc>
      </w:tr>
    </w:tbl>
    <w:p w14:paraId="2B03BC7C" w14:textId="77777777" w:rsidR="00F50D70" w:rsidRPr="00BE4F47" w:rsidRDefault="00F50D70" w:rsidP="008E113B">
      <w:pPr>
        <w:spacing w:line="360" w:lineRule="auto"/>
        <w:outlineLvl w:val="9"/>
        <w:rPr>
          <w:rFonts w:ascii="Aptos" w:hAnsi="Aptos"/>
        </w:rPr>
      </w:pPr>
    </w:p>
    <w:p w14:paraId="49629FC3" w14:textId="77777777" w:rsidR="00F50D70" w:rsidRPr="00BE4F47" w:rsidRDefault="00F50D70" w:rsidP="008E113B">
      <w:pPr>
        <w:spacing w:line="360" w:lineRule="auto"/>
        <w:ind w:left="0"/>
        <w:outlineLvl w:val="9"/>
        <w:rPr>
          <w:rFonts w:ascii="Aptos" w:hAnsi="Aptos"/>
        </w:rPr>
      </w:pPr>
    </w:p>
    <w:p w14:paraId="6797D6F3" w14:textId="77777777" w:rsidR="00F50D70" w:rsidRPr="00BE4F47" w:rsidRDefault="00F50D70" w:rsidP="008E113B">
      <w:pPr>
        <w:spacing w:line="360" w:lineRule="auto"/>
        <w:ind w:left="0"/>
        <w:outlineLvl w:val="9"/>
        <w:rPr>
          <w:rFonts w:ascii="Aptos" w:eastAsia="DengXian Light" w:hAnsi="Aptos"/>
          <w:b/>
          <w:bCs/>
          <w:color w:val="2F5496"/>
          <w:sz w:val="32"/>
          <w:szCs w:val="32"/>
          <w:lang w:eastAsia="en-US"/>
        </w:rPr>
      </w:pPr>
    </w:p>
    <w:p w14:paraId="471E23AF" w14:textId="77777777" w:rsidR="00F50D70" w:rsidRPr="00BE4F47" w:rsidRDefault="00000000" w:rsidP="008E113B">
      <w:pPr>
        <w:spacing w:line="360" w:lineRule="auto"/>
        <w:ind w:left="0"/>
        <w:outlineLvl w:val="9"/>
        <w:rPr>
          <w:rFonts w:ascii="Aptos" w:eastAsia="DengXian Light" w:hAnsi="Aptos"/>
          <w:bCs/>
          <w:color w:val="2F5496"/>
          <w:sz w:val="32"/>
          <w:szCs w:val="32"/>
          <w:lang w:eastAsia="en-US"/>
        </w:rPr>
      </w:pPr>
      <w:r w:rsidRPr="00BE4F47">
        <w:rPr>
          <w:rFonts w:ascii="Aptos" w:eastAsia="Calibri" w:hAnsi="Aptos" w:cs="Calibri"/>
          <w:bCs/>
          <w:color w:val="1A1A19"/>
          <w:sz w:val="20"/>
          <w:szCs w:val="20"/>
          <w:lang w:eastAsia="en-US"/>
        </w:rPr>
        <w:t>Historique des révisions</w:t>
      </w:r>
    </w:p>
    <w:tbl>
      <w:tblPr>
        <w:tblW w:w="9054" w:type="dxa"/>
        <w:tblLayout w:type="fixed"/>
        <w:tblLook w:val="04A0" w:firstRow="1" w:lastRow="0" w:firstColumn="1" w:lastColumn="0" w:noHBand="0" w:noVBand="1"/>
      </w:tblPr>
      <w:tblGrid>
        <w:gridCol w:w="2249"/>
        <w:gridCol w:w="2263"/>
        <w:gridCol w:w="2282"/>
        <w:gridCol w:w="2260"/>
      </w:tblGrid>
      <w:tr w:rsidR="00F50D70" w:rsidRPr="00BE4F47" w14:paraId="7F0B08DC" w14:textId="77777777">
        <w:tc>
          <w:tcPr>
            <w:tcW w:w="2249" w:type="dxa"/>
            <w:tcBorders>
              <w:top w:val="single" w:sz="4" w:space="0" w:color="000000"/>
              <w:left w:val="single" w:sz="4" w:space="0" w:color="000000"/>
              <w:bottom w:val="single" w:sz="4" w:space="0" w:color="000000"/>
              <w:right w:val="single" w:sz="4" w:space="0" w:color="000000"/>
            </w:tcBorders>
            <w:shd w:val="clear" w:color="auto" w:fill="C5E0B3"/>
          </w:tcPr>
          <w:p w14:paraId="6A4BD0A1" w14:textId="77777777" w:rsidR="00F50D70" w:rsidRPr="00BE4F47" w:rsidRDefault="00000000" w:rsidP="008E113B">
            <w:pPr>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Date</w:t>
            </w:r>
          </w:p>
        </w:tc>
        <w:tc>
          <w:tcPr>
            <w:tcW w:w="2263" w:type="dxa"/>
            <w:tcBorders>
              <w:top w:val="single" w:sz="4" w:space="0" w:color="000000"/>
              <w:left w:val="single" w:sz="4" w:space="0" w:color="000000"/>
              <w:bottom w:val="single" w:sz="4" w:space="0" w:color="000000"/>
              <w:right w:val="single" w:sz="4" w:space="0" w:color="000000"/>
            </w:tcBorders>
            <w:shd w:val="clear" w:color="auto" w:fill="C5E0B3"/>
          </w:tcPr>
          <w:p w14:paraId="798FAB71" w14:textId="77777777" w:rsidR="00F50D70" w:rsidRPr="00BE4F47" w:rsidRDefault="00000000" w:rsidP="008E113B">
            <w:pPr>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Version</w:t>
            </w:r>
          </w:p>
        </w:tc>
        <w:tc>
          <w:tcPr>
            <w:tcW w:w="2282" w:type="dxa"/>
            <w:tcBorders>
              <w:top w:val="single" w:sz="4" w:space="0" w:color="000000"/>
              <w:left w:val="single" w:sz="4" w:space="0" w:color="000000"/>
              <w:bottom w:val="single" w:sz="4" w:space="0" w:color="000000"/>
              <w:right w:val="single" w:sz="4" w:space="0" w:color="000000"/>
            </w:tcBorders>
            <w:shd w:val="clear" w:color="auto" w:fill="C5E0B3"/>
          </w:tcPr>
          <w:p w14:paraId="17B11107" w14:textId="77777777" w:rsidR="00F50D70" w:rsidRPr="00BE4F47" w:rsidRDefault="00000000" w:rsidP="008E113B">
            <w:pPr>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Description</w:t>
            </w:r>
          </w:p>
        </w:tc>
        <w:tc>
          <w:tcPr>
            <w:tcW w:w="2260" w:type="dxa"/>
            <w:tcBorders>
              <w:top w:val="single" w:sz="4" w:space="0" w:color="000000"/>
              <w:left w:val="single" w:sz="4" w:space="0" w:color="000000"/>
              <w:bottom w:val="single" w:sz="4" w:space="0" w:color="000000"/>
              <w:right w:val="single" w:sz="4" w:space="0" w:color="000000"/>
            </w:tcBorders>
            <w:shd w:val="clear" w:color="auto" w:fill="C5E0B3"/>
          </w:tcPr>
          <w:p w14:paraId="7EE7007F" w14:textId="77777777" w:rsidR="00F50D70" w:rsidRPr="00BE4F47" w:rsidRDefault="00000000" w:rsidP="008E113B">
            <w:pPr>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Auteur</w:t>
            </w:r>
          </w:p>
        </w:tc>
      </w:tr>
      <w:tr w:rsidR="00F50D70" w:rsidRPr="00BE4F47" w14:paraId="622E64D5" w14:textId="77777777">
        <w:tc>
          <w:tcPr>
            <w:tcW w:w="2249" w:type="dxa"/>
            <w:tcBorders>
              <w:top w:val="single" w:sz="4" w:space="0" w:color="000000"/>
              <w:left w:val="single" w:sz="4" w:space="0" w:color="000000"/>
              <w:bottom w:val="single" w:sz="4" w:space="0" w:color="000000"/>
              <w:right w:val="single" w:sz="4" w:space="0" w:color="000000"/>
            </w:tcBorders>
          </w:tcPr>
          <w:p w14:paraId="655FE285" w14:textId="77777777" w:rsidR="00F50D70" w:rsidRPr="00BE4F47" w:rsidRDefault="00000000" w:rsidP="008E113B">
            <w:pPr>
              <w:snapToGrid w:val="0"/>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20 septembre 2026</w:t>
            </w:r>
          </w:p>
        </w:tc>
        <w:tc>
          <w:tcPr>
            <w:tcW w:w="2263" w:type="dxa"/>
            <w:tcBorders>
              <w:top w:val="single" w:sz="4" w:space="0" w:color="000000"/>
              <w:left w:val="single" w:sz="4" w:space="0" w:color="000000"/>
              <w:bottom w:val="single" w:sz="4" w:space="0" w:color="000000"/>
              <w:right w:val="single" w:sz="4" w:space="0" w:color="000000"/>
            </w:tcBorders>
          </w:tcPr>
          <w:p w14:paraId="2A81F93C"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1.0</w:t>
            </w:r>
          </w:p>
        </w:tc>
        <w:tc>
          <w:tcPr>
            <w:tcW w:w="2282" w:type="dxa"/>
            <w:tcBorders>
              <w:top w:val="single" w:sz="4" w:space="0" w:color="000000"/>
              <w:left w:val="single" w:sz="4" w:space="0" w:color="000000"/>
              <w:bottom w:val="single" w:sz="4" w:space="0" w:color="000000"/>
              <w:right w:val="single" w:sz="4" w:space="0" w:color="000000"/>
            </w:tcBorders>
          </w:tcPr>
          <w:p w14:paraId="5743425F"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Première version consolidée remise au jalon J0.</w:t>
            </w:r>
          </w:p>
        </w:tc>
        <w:tc>
          <w:tcPr>
            <w:tcW w:w="2260" w:type="dxa"/>
            <w:tcBorders>
              <w:top w:val="single" w:sz="4" w:space="0" w:color="000000"/>
              <w:left w:val="single" w:sz="4" w:space="0" w:color="000000"/>
              <w:bottom w:val="single" w:sz="4" w:space="0" w:color="000000"/>
              <w:right w:val="single" w:sz="4" w:space="0" w:color="000000"/>
            </w:tcBorders>
          </w:tcPr>
          <w:p w14:paraId="4A560C9B"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Christian Kévin Sawadogo</w:t>
            </w:r>
          </w:p>
        </w:tc>
      </w:tr>
      <w:tr w:rsidR="00F50D70" w:rsidRPr="00BE4F47" w14:paraId="08383951" w14:textId="77777777">
        <w:tc>
          <w:tcPr>
            <w:tcW w:w="2249" w:type="dxa"/>
            <w:tcBorders>
              <w:top w:val="single" w:sz="4" w:space="0" w:color="000000"/>
              <w:left w:val="single" w:sz="4" w:space="0" w:color="000000"/>
              <w:bottom w:val="single" w:sz="4" w:space="0" w:color="000000"/>
              <w:right w:val="single" w:sz="4" w:space="0" w:color="000000"/>
            </w:tcBorders>
          </w:tcPr>
          <w:p w14:paraId="28DF2702" w14:textId="77777777" w:rsidR="00F50D70" w:rsidRPr="00BE4F47" w:rsidRDefault="00000000" w:rsidP="008E113B">
            <w:pPr>
              <w:snapToGrid w:val="0"/>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 DATE ]</w:t>
            </w:r>
          </w:p>
        </w:tc>
        <w:tc>
          <w:tcPr>
            <w:tcW w:w="2263" w:type="dxa"/>
            <w:tcBorders>
              <w:top w:val="single" w:sz="4" w:space="0" w:color="000000"/>
              <w:left w:val="single" w:sz="4" w:space="0" w:color="000000"/>
              <w:bottom w:val="single" w:sz="4" w:space="0" w:color="000000"/>
              <w:right w:val="single" w:sz="4" w:space="0" w:color="000000"/>
            </w:tcBorders>
          </w:tcPr>
          <w:p w14:paraId="13E83339"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1.1</w:t>
            </w:r>
          </w:p>
        </w:tc>
        <w:tc>
          <w:tcPr>
            <w:tcW w:w="2282" w:type="dxa"/>
            <w:tcBorders>
              <w:top w:val="single" w:sz="4" w:space="0" w:color="000000"/>
              <w:left w:val="single" w:sz="4" w:space="0" w:color="000000"/>
              <w:bottom w:val="single" w:sz="4" w:space="0" w:color="000000"/>
              <w:right w:val="single" w:sz="4" w:space="0" w:color="000000"/>
            </w:tcBorders>
          </w:tcPr>
          <w:p w14:paraId="4E01CDB9"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 DESCRIPTION DE LA RÉVISION ]</w:t>
            </w:r>
          </w:p>
        </w:tc>
        <w:tc>
          <w:tcPr>
            <w:tcW w:w="2260" w:type="dxa"/>
            <w:tcBorders>
              <w:top w:val="single" w:sz="4" w:space="0" w:color="000000"/>
              <w:left w:val="single" w:sz="4" w:space="0" w:color="000000"/>
              <w:bottom w:val="single" w:sz="4" w:space="0" w:color="000000"/>
              <w:right w:val="single" w:sz="4" w:space="0" w:color="000000"/>
            </w:tcBorders>
          </w:tcPr>
          <w:p w14:paraId="363E1F01"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 AUTEUR ]</w:t>
            </w:r>
          </w:p>
        </w:tc>
      </w:tr>
    </w:tbl>
    <w:p w14:paraId="6FFB84A2" w14:textId="77777777" w:rsidR="00F50D70" w:rsidRPr="00BE4F47" w:rsidRDefault="00F50D70" w:rsidP="008E113B">
      <w:pPr>
        <w:keepNext/>
        <w:keepLines/>
        <w:spacing w:before="240" w:line="360" w:lineRule="auto"/>
        <w:ind w:left="0"/>
        <w:jc w:val="left"/>
        <w:outlineLvl w:val="0"/>
        <w:rPr>
          <w:rFonts w:ascii="Aptos" w:eastAsia="DengXian Light" w:hAnsi="Aptos" w:cs="Times New Roman"/>
          <w:color w:val="2F5496"/>
          <w:sz w:val="32"/>
          <w:szCs w:val="32"/>
          <w:lang w:eastAsia="en-US"/>
        </w:rPr>
      </w:pPr>
    </w:p>
    <w:p w14:paraId="1F1C1B23" w14:textId="77777777" w:rsidR="00F50D70" w:rsidRPr="00BE4F47" w:rsidRDefault="00000000" w:rsidP="008E113B">
      <w:pPr>
        <w:spacing w:line="360" w:lineRule="auto"/>
        <w:ind w:left="0"/>
        <w:outlineLvl w:val="9"/>
        <w:rPr>
          <w:rFonts w:ascii="Aptos" w:eastAsia="DengXian Light" w:hAnsi="Aptos"/>
          <w:bCs/>
          <w:color w:val="2F5496"/>
          <w:sz w:val="32"/>
          <w:szCs w:val="32"/>
          <w:lang w:eastAsia="en-US"/>
        </w:rPr>
      </w:pPr>
      <w:bookmarkStart w:id="0" w:name="__RefHeading___Toc240715052"/>
      <w:bookmarkEnd w:id="0"/>
      <w:r w:rsidRPr="00BE4F47">
        <w:rPr>
          <w:rFonts w:ascii="Aptos" w:eastAsia="Calibri" w:hAnsi="Aptos" w:cs="Calibri"/>
          <w:bCs/>
          <w:color w:val="1A1A19"/>
          <w:sz w:val="20"/>
          <w:szCs w:val="20"/>
          <w:lang w:eastAsia="en-US"/>
        </w:rPr>
        <w:t>Définitions</w:t>
      </w:r>
    </w:p>
    <w:tbl>
      <w:tblPr>
        <w:tblW w:w="9054" w:type="dxa"/>
        <w:tblLayout w:type="fixed"/>
        <w:tblLook w:val="04A0" w:firstRow="1" w:lastRow="0" w:firstColumn="1" w:lastColumn="0" w:noHBand="0" w:noVBand="1"/>
      </w:tblPr>
      <w:tblGrid>
        <w:gridCol w:w="1797"/>
        <w:gridCol w:w="7257"/>
      </w:tblGrid>
      <w:tr w:rsidR="00F50D70" w:rsidRPr="00BE4F47" w14:paraId="45B04663" w14:textId="77777777">
        <w:tc>
          <w:tcPr>
            <w:tcW w:w="1797" w:type="dxa"/>
            <w:tcBorders>
              <w:top w:val="single" w:sz="4" w:space="0" w:color="000000"/>
              <w:left w:val="single" w:sz="4" w:space="0" w:color="000000"/>
              <w:bottom w:val="single" w:sz="4" w:space="0" w:color="000000"/>
              <w:right w:val="single" w:sz="4" w:space="0" w:color="000000"/>
            </w:tcBorders>
            <w:shd w:val="clear" w:color="auto" w:fill="C5E0B3"/>
          </w:tcPr>
          <w:p w14:paraId="1449D0EE" w14:textId="77777777" w:rsidR="00F50D70" w:rsidRPr="00BE4F47" w:rsidRDefault="00000000" w:rsidP="008E113B">
            <w:pPr>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Terme</w:t>
            </w:r>
          </w:p>
        </w:tc>
        <w:tc>
          <w:tcPr>
            <w:tcW w:w="7257" w:type="dxa"/>
            <w:tcBorders>
              <w:top w:val="single" w:sz="4" w:space="0" w:color="000000"/>
              <w:left w:val="single" w:sz="4" w:space="0" w:color="000000"/>
              <w:bottom w:val="single" w:sz="4" w:space="0" w:color="000000"/>
              <w:right w:val="single" w:sz="4" w:space="0" w:color="000000"/>
            </w:tcBorders>
            <w:shd w:val="clear" w:color="auto" w:fill="C5E0B3"/>
          </w:tcPr>
          <w:p w14:paraId="6EE0EB50" w14:textId="77777777" w:rsidR="00F50D70" w:rsidRPr="00BE4F47" w:rsidRDefault="00000000" w:rsidP="008E113B">
            <w:pPr>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Définition</w:t>
            </w:r>
          </w:p>
        </w:tc>
      </w:tr>
      <w:tr w:rsidR="00F50D70" w:rsidRPr="00BE4F47" w14:paraId="61FB179C" w14:textId="77777777">
        <w:tc>
          <w:tcPr>
            <w:tcW w:w="1797" w:type="dxa"/>
            <w:tcBorders>
              <w:top w:val="single" w:sz="4" w:space="0" w:color="000000"/>
              <w:left w:val="single" w:sz="4" w:space="0" w:color="000000"/>
              <w:bottom w:val="single" w:sz="4" w:space="0" w:color="000000"/>
              <w:right w:val="single" w:sz="4" w:space="0" w:color="000000"/>
            </w:tcBorders>
          </w:tcPr>
          <w:p w14:paraId="16891437"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Jumeau numérique</w:t>
            </w:r>
          </w:p>
        </w:tc>
        <w:tc>
          <w:tcPr>
            <w:tcW w:w="7257" w:type="dxa"/>
            <w:tcBorders>
              <w:top w:val="single" w:sz="4" w:space="0" w:color="000000"/>
              <w:left w:val="single" w:sz="4" w:space="0" w:color="000000"/>
              <w:bottom w:val="single" w:sz="4" w:space="0" w:color="000000"/>
              <w:right w:val="single" w:sz="4" w:space="0" w:color="000000"/>
            </w:tcBorders>
          </w:tcPr>
          <w:p w14:paraId="23D94A10"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Modèle numérique d’un système réel, alimenté par les données de ce système, qui reproduit son comportement et permet de l’étudier sans agir sur lui.</w:t>
            </w:r>
          </w:p>
        </w:tc>
      </w:tr>
      <w:tr w:rsidR="00F50D70" w:rsidRPr="00BE4F47" w14:paraId="491260C4" w14:textId="77777777">
        <w:tc>
          <w:tcPr>
            <w:tcW w:w="1797" w:type="dxa"/>
            <w:tcBorders>
              <w:top w:val="single" w:sz="4" w:space="0" w:color="000000"/>
              <w:left w:val="single" w:sz="4" w:space="0" w:color="000000"/>
              <w:bottom w:val="single" w:sz="4" w:space="0" w:color="000000"/>
              <w:right w:val="single" w:sz="4" w:space="0" w:color="000000"/>
            </w:tcBorders>
          </w:tcPr>
          <w:p w14:paraId="78C5A6AB"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lastRenderedPageBreak/>
              <w:t xml:space="preserve">Boucle </w:t>
            </w:r>
            <w:proofErr w:type="spellStart"/>
            <w:r w:rsidRPr="00BE4F47">
              <w:rPr>
                <w:rFonts w:ascii="Aptos" w:eastAsia="Calibri" w:hAnsi="Aptos" w:cs="Times New Roman"/>
                <w:lang w:eastAsia="en-US"/>
              </w:rPr>
              <w:t>thermohydraulique</w:t>
            </w:r>
            <w:proofErr w:type="spellEnd"/>
          </w:p>
        </w:tc>
        <w:tc>
          <w:tcPr>
            <w:tcW w:w="7257" w:type="dxa"/>
            <w:tcBorders>
              <w:top w:val="single" w:sz="4" w:space="0" w:color="000000"/>
              <w:left w:val="single" w:sz="4" w:space="0" w:color="000000"/>
              <w:bottom w:val="single" w:sz="4" w:space="0" w:color="000000"/>
              <w:right w:val="single" w:sz="4" w:space="0" w:color="000000"/>
            </w:tcBorders>
          </w:tcPr>
          <w:p w14:paraId="5197D6A5"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Circuit fermé où un fluide transporte de la chaleur. Ici, une version simplifiée d’un système de refroidissement, décrite à la section 1.</w:t>
            </w:r>
          </w:p>
        </w:tc>
      </w:tr>
      <w:tr w:rsidR="00F50D70" w:rsidRPr="00BE4F47" w14:paraId="6EE3BD0F" w14:textId="77777777">
        <w:tc>
          <w:tcPr>
            <w:tcW w:w="1797" w:type="dxa"/>
            <w:tcBorders>
              <w:top w:val="single" w:sz="4" w:space="0" w:color="000000"/>
              <w:left w:val="single" w:sz="4" w:space="0" w:color="000000"/>
              <w:bottom w:val="single" w:sz="4" w:space="0" w:color="000000"/>
              <w:right w:val="single" w:sz="4" w:space="0" w:color="000000"/>
            </w:tcBorders>
          </w:tcPr>
          <w:p w14:paraId="61171D76"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GEMMA</w:t>
            </w:r>
          </w:p>
        </w:tc>
        <w:tc>
          <w:tcPr>
            <w:tcW w:w="7257" w:type="dxa"/>
            <w:tcBorders>
              <w:top w:val="single" w:sz="4" w:space="0" w:color="000000"/>
              <w:left w:val="single" w:sz="4" w:space="0" w:color="000000"/>
              <w:bottom w:val="single" w:sz="4" w:space="0" w:color="000000"/>
              <w:right w:val="single" w:sz="4" w:space="0" w:color="000000"/>
            </w:tcBorders>
          </w:tcPr>
          <w:p w14:paraId="4ED2250A"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Guide d’étude des modes de marche et d’arrêt. Logigramme qui recense les états de fonctionnement, d’arrêt et de défaillance d’un système.</w:t>
            </w:r>
          </w:p>
        </w:tc>
      </w:tr>
      <w:tr w:rsidR="00F50D70" w:rsidRPr="00BE4F47" w14:paraId="3630838A" w14:textId="77777777">
        <w:tc>
          <w:tcPr>
            <w:tcW w:w="1797" w:type="dxa"/>
            <w:tcBorders>
              <w:top w:val="single" w:sz="4" w:space="0" w:color="000000"/>
              <w:left w:val="single" w:sz="4" w:space="0" w:color="000000"/>
              <w:bottom w:val="single" w:sz="4" w:space="0" w:color="000000"/>
              <w:right w:val="single" w:sz="4" w:space="0" w:color="000000"/>
            </w:tcBorders>
          </w:tcPr>
          <w:p w14:paraId="31D8CCC8"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Jalon</w:t>
            </w:r>
          </w:p>
        </w:tc>
        <w:tc>
          <w:tcPr>
            <w:tcW w:w="7257" w:type="dxa"/>
            <w:tcBorders>
              <w:top w:val="single" w:sz="4" w:space="0" w:color="000000"/>
              <w:left w:val="single" w:sz="4" w:space="0" w:color="000000"/>
              <w:bottom w:val="single" w:sz="4" w:space="0" w:color="000000"/>
              <w:right w:val="single" w:sz="4" w:space="0" w:color="000000"/>
            </w:tcBorders>
          </w:tcPr>
          <w:p w14:paraId="6534D086"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Point de contrôle assorti d’un livrable identifié. Il est franchi ou il ne l’est pas, sans état intermédiaire.</w:t>
            </w:r>
          </w:p>
        </w:tc>
      </w:tr>
      <w:tr w:rsidR="00F50D70" w:rsidRPr="00BE4F47" w14:paraId="288F99C9" w14:textId="77777777">
        <w:tc>
          <w:tcPr>
            <w:tcW w:w="1797" w:type="dxa"/>
            <w:tcBorders>
              <w:top w:val="single" w:sz="4" w:space="0" w:color="000000"/>
              <w:left w:val="single" w:sz="4" w:space="0" w:color="000000"/>
              <w:bottom w:val="single" w:sz="4" w:space="0" w:color="000000"/>
              <w:right w:val="single" w:sz="4" w:space="0" w:color="000000"/>
            </w:tcBorders>
          </w:tcPr>
          <w:p w14:paraId="7E331D52"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Lot de travail</w:t>
            </w:r>
          </w:p>
        </w:tc>
        <w:tc>
          <w:tcPr>
            <w:tcW w:w="7257" w:type="dxa"/>
            <w:tcBorders>
              <w:top w:val="single" w:sz="4" w:space="0" w:color="000000"/>
              <w:left w:val="single" w:sz="4" w:space="0" w:color="000000"/>
              <w:bottom w:val="single" w:sz="4" w:space="0" w:color="000000"/>
              <w:right w:val="single" w:sz="4" w:space="0" w:color="000000"/>
            </w:tcBorders>
          </w:tcPr>
          <w:p w14:paraId="09F8CAFA"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Bloc de travail délimité dans la structure de découpage, avec son effort et son responsable. Les lots du projet sont L1 à L9, définis à la section 8.</w:t>
            </w:r>
          </w:p>
        </w:tc>
      </w:tr>
      <w:tr w:rsidR="00F50D70" w:rsidRPr="00BE4F47" w14:paraId="4AE2BD95" w14:textId="77777777">
        <w:tc>
          <w:tcPr>
            <w:tcW w:w="1797" w:type="dxa"/>
            <w:tcBorders>
              <w:top w:val="single" w:sz="4" w:space="0" w:color="000000"/>
              <w:left w:val="single" w:sz="4" w:space="0" w:color="000000"/>
              <w:bottom w:val="single" w:sz="4" w:space="0" w:color="000000"/>
              <w:right w:val="single" w:sz="4" w:space="0" w:color="000000"/>
            </w:tcBorders>
          </w:tcPr>
          <w:p w14:paraId="280B7A01"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Classe d’estimation</w:t>
            </w:r>
          </w:p>
        </w:tc>
        <w:tc>
          <w:tcPr>
            <w:tcW w:w="7257" w:type="dxa"/>
            <w:tcBorders>
              <w:top w:val="single" w:sz="4" w:space="0" w:color="000000"/>
              <w:left w:val="single" w:sz="4" w:space="0" w:color="000000"/>
              <w:bottom w:val="single" w:sz="4" w:space="0" w:color="000000"/>
              <w:right w:val="single" w:sz="4" w:space="0" w:color="000000"/>
            </w:tcBorders>
          </w:tcPr>
          <w:p w14:paraId="5B5444DD"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Niveau de précision d’une estimation de coûts, selon la part du projet déjà définie au moment de l’estimer. La classe 5 est la moins précise.</w:t>
            </w:r>
          </w:p>
        </w:tc>
      </w:tr>
      <w:tr w:rsidR="00F50D70" w:rsidRPr="00BE4F47" w14:paraId="41E8979F" w14:textId="77777777">
        <w:tc>
          <w:tcPr>
            <w:tcW w:w="1797" w:type="dxa"/>
            <w:tcBorders>
              <w:top w:val="single" w:sz="4" w:space="0" w:color="000000"/>
              <w:left w:val="single" w:sz="4" w:space="0" w:color="000000"/>
              <w:bottom w:val="single" w:sz="4" w:space="0" w:color="000000"/>
              <w:right w:val="single" w:sz="4" w:space="0" w:color="000000"/>
            </w:tcBorders>
          </w:tcPr>
          <w:p w14:paraId="778FDB29"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Coût de revient</w:t>
            </w:r>
          </w:p>
        </w:tc>
        <w:tc>
          <w:tcPr>
            <w:tcW w:w="7257" w:type="dxa"/>
            <w:tcBorders>
              <w:top w:val="single" w:sz="4" w:space="0" w:color="000000"/>
              <w:left w:val="single" w:sz="4" w:space="0" w:color="000000"/>
              <w:bottom w:val="single" w:sz="4" w:space="0" w:color="000000"/>
              <w:right w:val="single" w:sz="4" w:space="0" w:color="000000"/>
            </w:tcBorders>
          </w:tcPr>
          <w:p w14:paraId="64D7B285"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Ce qu’une heure de travail coûte à l’équipe. À distinguer du prix facturé au client, qui comprend en plus la marge.</w:t>
            </w:r>
          </w:p>
        </w:tc>
      </w:tr>
      <w:tr w:rsidR="00F50D70" w:rsidRPr="00BE4F47" w14:paraId="20EB5BC4" w14:textId="77777777">
        <w:tc>
          <w:tcPr>
            <w:tcW w:w="1797" w:type="dxa"/>
            <w:tcBorders>
              <w:top w:val="single" w:sz="4" w:space="0" w:color="000000"/>
              <w:left w:val="single" w:sz="4" w:space="0" w:color="000000"/>
              <w:bottom w:val="single" w:sz="4" w:space="0" w:color="000000"/>
              <w:right w:val="single" w:sz="4" w:space="0" w:color="000000"/>
            </w:tcBorders>
          </w:tcPr>
          <w:p w14:paraId="130D798B"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Valeur acquise</w:t>
            </w:r>
          </w:p>
        </w:tc>
        <w:tc>
          <w:tcPr>
            <w:tcW w:w="7257" w:type="dxa"/>
            <w:tcBorders>
              <w:top w:val="single" w:sz="4" w:space="0" w:color="000000"/>
              <w:left w:val="single" w:sz="4" w:space="0" w:color="000000"/>
              <w:bottom w:val="single" w:sz="4" w:space="0" w:color="000000"/>
              <w:right w:val="single" w:sz="4" w:space="0" w:color="000000"/>
            </w:tcBorders>
          </w:tcPr>
          <w:p w14:paraId="06FC879E"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Valeur du travail réellement réalisé à une date donnée, exprimée en dollars, comparée à ce qui était prévu.</w:t>
            </w:r>
          </w:p>
        </w:tc>
      </w:tr>
      <w:tr w:rsidR="00F50D70" w:rsidRPr="00BE4F47" w14:paraId="0B95FB63" w14:textId="77777777">
        <w:tc>
          <w:tcPr>
            <w:tcW w:w="1797" w:type="dxa"/>
            <w:tcBorders>
              <w:top w:val="single" w:sz="4" w:space="0" w:color="000000"/>
              <w:left w:val="single" w:sz="4" w:space="0" w:color="000000"/>
              <w:bottom w:val="single" w:sz="4" w:space="0" w:color="000000"/>
              <w:right w:val="single" w:sz="4" w:space="0" w:color="000000"/>
            </w:tcBorders>
          </w:tcPr>
          <w:p w14:paraId="002C3DDB"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vérifiable</w:t>
            </w:r>
          </w:p>
        </w:tc>
        <w:tc>
          <w:tcPr>
            <w:tcW w:w="7257" w:type="dxa"/>
            <w:tcBorders>
              <w:top w:val="single" w:sz="4" w:space="0" w:color="000000"/>
              <w:left w:val="single" w:sz="4" w:space="0" w:color="000000"/>
              <w:bottom w:val="single" w:sz="4" w:space="0" w:color="000000"/>
              <w:right w:val="single" w:sz="4" w:space="0" w:color="000000"/>
            </w:tcBorders>
          </w:tcPr>
          <w:p w14:paraId="3C4DB142"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 xml:space="preserve">Exigence formulée </w:t>
            </w:r>
            <w:proofErr w:type="gramStart"/>
            <w:r w:rsidRPr="00BE4F47">
              <w:rPr>
                <w:rFonts w:ascii="Aptos" w:eastAsia="Calibri" w:hAnsi="Aptos" w:cs="Times New Roman"/>
                <w:lang w:eastAsia="en-US"/>
              </w:rPr>
              <w:t>de façon à ce</w:t>
            </w:r>
            <w:proofErr w:type="gramEnd"/>
            <w:r w:rsidRPr="00BE4F47">
              <w:rPr>
                <w:rFonts w:ascii="Aptos" w:eastAsia="Calibri" w:hAnsi="Aptos" w:cs="Times New Roman"/>
                <w:lang w:eastAsia="en-US"/>
              </w:rPr>
              <w:t xml:space="preserve"> qu’un essai ou une inspection puisse établir si elle est satisfaite ou non.</w:t>
            </w:r>
          </w:p>
        </w:tc>
      </w:tr>
    </w:tbl>
    <w:p w14:paraId="13D9AEA1" w14:textId="77777777" w:rsidR="00F50D70" w:rsidRPr="00BE4F47" w:rsidRDefault="00F50D70" w:rsidP="008E113B">
      <w:pPr>
        <w:keepNext/>
        <w:keepLines/>
        <w:spacing w:before="240" w:line="360" w:lineRule="auto"/>
        <w:ind w:left="0"/>
        <w:jc w:val="left"/>
        <w:outlineLvl w:val="0"/>
        <w:rPr>
          <w:rFonts w:ascii="Aptos" w:eastAsia="DengXian Light" w:hAnsi="Aptos" w:cs="Times New Roman"/>
          <w:color w:val="2F5496"/>
          <w:sz w:val="32"/>
          <w:szCs w:val="32"/>
          <w:lang w:eastAsia="en-US"/>
        </w:rPr>
      </w:pPr>
    </w:p>
    <w:p w14:paraId="210D09AB" w14:textId="77777777" w:rsidR="00F50D70" w:rsidRPr="00BE4F47" w:rsidRDefault="00000000" w:rsidP="008E113B">
      <w:pPr>
        <w:spacing w:line="360" w:lineRule="auto"/>
        <w:ind w:left="0"/>
        <w:outlineLvl w:val="9"/>
        <w:rPr>
          <w:rFonts w:ascii="Aptos" w:eastAsia="DengXian Light" w:hAnsi="Aptos"/>
          <w:bCs/>
          <w:color w:val="2F5496"/>
          <w:sz w:val="32"/>
          <w:szCs w:val="32"/>
          <w:lang w:eastAsia="en-US"/>
        </w:rPr>
      </w:pPr>
      <w:bookmarkStart w:id="1" w:name="__RefHeading___Toc240715053"/>
      <w:bookmarkEnd w:id="1"/>
      <w:r w:rsidRPr="00BE4F47">
        <w:rPr>
          <w:rFonts w:ascii="Aptos" w:eastAsia="Calibri" w:hAnsi="Aptos" w:cs="Calibri"/>
          <w:bCs/>
          <w:color w:val="1A1A19"/>
          <w:sz w:val="20"/>
          <w:szCs w:val="20"/>
          <w:lang w:eastAsia="en-US"/>
        </w:rPr>
        <w:t>Abréviations/acronymes</w:t>
      </w:r>
    </w:p>
    <w:tbl>
      <w:tblPr>
        <w:tblW w:w="9054" w:type="dxa"/>
        <w:tblLayout w:type="fixed"/>
        <w:tblLook w:val="04A0" w:firstRow="1" w:lastRow="0" w:firstColumn="1" w:lastColumn="0" w:noHBand="0" w:noVBand="1"/>
      </w:tblPr>
      <w:tblGrid>
        <w:gridCol w:w="1813"/>
        <w:gridCol w:w="7241"/>
      </w:tblGrid>
      <w:tr w:rsidR="00F50D70" w:rsidRPr="00BE4F47" w14:paraId="689B249C" w14:textId="77777777">
        <w:tc>
          <w:tcPr>
            <w:tcW w:w="1813" w:type="dxa"/>
            <w:tcBorders>
              <w:top w:val="single" w:sz="4" w:space="0" w:color="000000"/>
              <w:left w:val="single" w:sz="4" w:space="0" w:color="000000"/>
              <w:bottom w:val="single" w:sz="4" w:space="0" w:color="000000"/>
              <w:right w:val="single" w:sz="4" w:space="0" w:color="000000"/>
            </w:tcBorders>
            <w:shd w:val="clear" w:color="auto" w:fill="C5E0B3"/>
          </w:tcPr>
          <w:p w14:paraId="0C389AEC" w14:textId="77777777" w:rsidR="00F50D70" w:rsidRPr="00BE4F47" w:rsidRDefault="00000000" w:rsidP="008E113B">
            <w:pPr>
              <w:spacing w:before="20" w:after="20"/>
              <w:ind w:left="0"/>
              <w:jc w:val="left"/>
              <w:outlineLvl w:val="9"/>
              <w:rPr>
                <w:rFonts w:ascii="Aptos" w:eastAsia="Calibri" w:hAnsi="Aptos" w:cs="Times New Roman"/>
                <w:lang w:eastAsia="en-US"/>
              </w:rPr>
            </w:pPr>
            <w:proofErr w:type="spellStart"/>
            <w:r w:rsidRPr="00BE4F47">
              <w:rPr>
                <w:rFonts w:ascii="Aptos" w:eastAsia="Calibri" w:hAnsi="Aptos" w:cs="Times New Roman"/>
                <w:lang w:eastAsia="en-US"/>
              </w:rPr>
              <w:t>Abré</w:t>
            </w:r>
            <w:proofErr w:type="spellEnd"/>
            <w:r w:rsidRPr="00BE4F47">
              <w:rPr>
                <w:rFonts w:ascii="Aptos" w:eastAsia="Calibri" w:hAnsi="Aptos" w:cs="Times New Roman"/>
                <w:lang w:eastAsia="en-US"/>
              </w:rPr>
              <w:t>./Acro.</w:t>
            </w:r>
          </w:p>
        </w:tc>
        <w:tc>
          <w:tcPr>
            <w:tcW w:w="7241" w:type="dxa"/>
            <w:tcBorders>
              <w:top w:val="single" w:sz="4" w:space="0" w:color="000000"/>
              <w:left w:val="single" w:sz="4" w:space="0" w:color="000000"/>
              <w:bottom w:val="single" w:sz="4" w:space="0" w:color="000000"/>
              <w:right w:val="single" w:sz="4" w:space="0" w:color="000000"/>
            </w:tcBorders>
            <w:shd w:val="clear" w:color="auto" w:fill="C5E0B3"/>
          </w:tcPr>
          <w:p w14:paraId="729C133E" w14:textId="77777777" w:rsidR="00F50D70" w:rsidRPr="00BE4F47" w:rsidRDefault="00000000" w:rsidP="008E113B">
            <w:pPr>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Définition</w:t>
            </w:r>
          </w:p>
        </w:tc>
      </w:tr>
      <w:tr w:rsidR="00F50D70" w:rsidRPr="005A1D5D" w14:paraId="1331B0C0" w14:textId="77777777">
        <w:tc>
          <w:tcPr>
            <w:tcW w:w="1813" w:type="dxa"/>
            <w:tcBorders>
              <w:top w:val="single" w:sz="4" w:space="0" w:color="000000"/>
              <w:left w:val="single" w:sz="4" w:space="0" w:color="000000"/>
              <w:bottom w:val="single" w:sz="4" w:space="0" w:color="000000"/>
              <w:right w:val="single" w:sz="4" w:space="0" w:color="000000"/>
            </w:tcBorders>
          </w:tcPr>
          <w:p w14:paraId="22D874E0"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AACE</w:t>
            </w:r>
          </w:p>
        </w:tc>
        <w:tc>
          <w:tcPr>
            <w:tcW w:w="7241" w:type="dxa"/>
            <w:tcBorders>
              <w:top w:val="single" w:sz="4" w:space="0" w:color="000000"/>
              <w:left w:val="single" w:sz="4" w:space="0" w:color="000000"/>
              <w:bottom w:val="single" w:sz="4" w:space="0" w:color="000000"/>
              <w:right w:val="single" w:sz="4" w:space="0" w:color="000000"/>
            </w:tcBorders>
          </w:tcPr>
          <w:p w14:paraId="6508870B" w14:textId="77777777" w:rsidR="00F50D70" w:rsidRPr="00BE4F47" w:rsidRDefault="00000000" w:rsidP="008E113B">
            <w:pPr>
              <w:snapToGrid w:val="0"/>
              <w:spacing w:before="20" w:after="20"/>
              <w:ind w:left="0"/>
              <w:jc w:val="left"/>
              <w:outlineLvl w:val="9"/>
              <w:rPr>
                <w:rFonts w:ascii="Aptos" w:eastAsia="Calibri" w:hAnsi="Aptos" w:cs="Times New Roman"/>
                <w:lang w:val="en-CA" w:eastAsia="en-US"/>
              </w:rPr>
            </w:pPr>
            <w:r w:rsidRPr="00BE4F47">
              <w:rPr>
                <w:rFonts w:ascii="Aptos" w:eastAsia="Calibri" w:hAnsi="Aptos" w:cs="Times New Roman"/>
                <w:lang w:val="en-CA" w:eastAsia="en-US"/>
              </w:rPr>
              <w:t>Association for the Advancement of Cost Engineering</w:t>
            </w:r>
          </w:p>
        </w:tc>
      </w:tr>
      <w:tr w:rsidR="00F50D70" w:rsidRPr="00BE4F47" w14:paraId="65D4A874" w14:textId="77777777">
        <w:tc>
          <w:tcPr>
            <w:tcW w:w="1813" w:type="dxa"/>
            <w:tcBorders>
              <w:top w:val="single" w:sz="4" w:space="0" w:color="000000"/>
              <w:left w:val="single" w:sz="4" w:space="0" w:color="000000"/>
              <w:bottom w:val="single" w:sz="4" w:space="0" w:color="000000"/>
              <w:right w:val="single" w:sz="4" w:space="0" w:color="000000"/>
            </w:tcBorders>
          </w:tcPr>
          <w:p w14:paraId="745683F9"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AFG</w:t>
            </w:r>
          </w:p>
        </w:tc>
        <w:tc>
          <w:tcPr>
            <w:tcW w:w="7241" w:type="dxa"/>
            <w:tcBorders>
              <w:top w:val="single" w:sz="4" w:space="0" w:color="000000"/>
              <w:left w:val="single" w:sz="4" w:space="0" w:color="000000"/>
              <w:bottom w:val="single" w:sz="4" w:space="0" w:color="000000"/>
              <w:right w:val="single" w:sz="4" w:space="0" w:color="000000"/>
            </w:tcBorders>
          </w:tcPr>
          <w:p w14:paraId="3611D993"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Association des firmes de génie-conseil du Québec</w:t>
            </w:r>
          </w:p>
        </w:tc>
      </w:tr>
      <w:tr w:rsidR="00F50D70" w:rsidRPr="00BE4F47" w14:paraId="3FF59581" w14:textId="77777777">
        <w:tc>
          <w:tcPr>
            <w:tcW w:w="1813" w:type="dxa"/>
            <w:tcBorders>
              <w:top w:val="single" w:sz="4" w:space="0" w:color="000000"/>
              <w:left w:val="single" w:sz="4" w:space="0" w:color="000000"/>
              <w:bottom w:val="single" w:sz="4" w:space="0" w:color="000000"/>
              <w:right w:val="single" w:sz="4" w:space="0" w:color="000000"/>
            </w:tcBorders>
          </w:tcPr>
          <w:p w14:paraId="2A4F51FE"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AIEA</w:t>
            </w:r>
          </w:p>
        </w:tc>
        <w:tc>
          <w:tcPr>
            <w:tcW w:w="7241" w:type="dxa"/>
            <w:tcBorders>
              <w:top w:val="single" w:sz="4" w:space="0" w:color="000000"/>
              <w:left w:val="single" w:sz="4" w:space="0" w:color="000000"/>
              <w:bottom w:val="single" w:sz="4" w:space="0" w:color="000000"/>
              <w:right w:val="single" w:sz="4" w:space="0" w:color="000000"/>
            </w:tcBorders>
          </w:tcPr>
          <w:p w14:paraId="40094DAC"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Agence internationale de l’énergie atomique</w:t>
            </w:r>
          </w:p>
        </w:tc>
      </w:tr>
      <w:tr w:rsidR="00F50D70" w:rsidRPr="005A1D5D" w14:paraId="10F717E2" w14:textId="77777777">
        <w:tc>
          <w:tcPr>
            <w:tcW w:w="1813" w:type="dxa"/>
            <w:tcBorders>
              <w:top w:val="single" w:sz="4" w:space="0" w:color="000000"/>
              <w:left w:val="single" w:sz="4" w:space="0" w:color="000000"/>
              <w:bottom w:val="single" w:sz="4" w:space="0" w:color="000000"/>
              <w:right w:val="single" w:sz="4" w:space="0" w:color="000000"/>
            </w:tcBorders>
          </w:tcPr>
          <w:p w14:paraId="4B753D6B"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ASME</w:t>
            </w:r>
          </w:p>
        </w:tc>
        <w:tc>
          <w:tcPr>
            <w:tcW w:w="7241" w:type="dxa"/>
            <w:tcBorders>
              <w:top w:val="single" w:sz="4" w:space="0" w:color="000000"/>
              <w:left w:val="single" w:sz="4" w:space="0" w:color="000000"/>
              <w:bottom w:val="single" w:sz="4" w:space="0" w:color="000000"/>
              <w:right w:val="single" w:sz="4" w:space="0" w:color="000000"/>
            </w:tcBorders>
          </w:tcPr>
          <w:p w14:paraId="6BC21D9E" w14:textId="77777777" w:rsidR="00F50D70" w:rsidRPr="00BE4F47" w:rsidRDefault="00000000" w:rsidP="008E113B">
            <w:pPr>
              <w:snapToGrid w:val="0"/>
              <w:spacing w:before="20" w:after="20"/>
              <w:ind w:left="0"/>
              <w:jc w:val="left"/>
              <w:outlineLvl w:val="9"/>
              <w:rPr>
                <w:rFonts w:ascii="Aptos" w:eastAsia="Calibri" w:hAnsi="Aptos" w:cs="Times New Roman"/>
                <w:lang w:val="en-CA" w:eastAsia="en-US"/>
              </w:rPr>
            </w:pPr>
            <w:r w:rsidRPr="00BE4F47">
              <w:rPr>
                <w:rFonts w:ascii="Aptos" w:eastAsia="Calibri" w:hAnsi="Aptos" w:cs="Times New Roman"/>
                <w:lang w:val="en-CA" w:eastAsia="en-US"/>
              </w:rPr>
              <w:t>American Society of Mechanical Engineers</w:t>
            </w:r>
          </w:p>
        </w:tc>
      </w:tr>
      <w:tr w:rsidR="00F50D70" w:rsidRPr="00BE4F47" w14:paraId="2CA5935E" w14:textId="77777777">
        <w:tc>
          <w:tcPr>
            <w:tcW w:w="1813" w:type="dxa"/>
            <w:tcBorders>
              <w:top w:val="single" w:sz="4" w:space="0" w:color="000000"/>
              <w:left w:val="single" w:sz="4" w:space="0" w:color="000000"/>
              <w:bottom w:val="single" w:sz="4" w:space="0" w:color="000000"/>
              <w:right w:val="single" w:sz="4" w:space="0" w:color="000000"/>
            </w:tcBorders>
          </w:tcPr>
          <w:p w14:paraId="725BF8B7"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CCSN</w:t>
            </w:r>
          </w:p>
        </w:tc>
        <w:tc>
          <w:tcPr>
            <w:tcW w:w="7241" w:type="dxa"/>
            <w:tcBorders>
              <w:top w:val="single" w:sz="4" w:space="0" w:color="000000"/>
              <w:left w:val="single" w:sz="4" w:space="0" w:color="000000"/>
              <w:bottom w:val="single" w:sz="4" w:space="0" w:color="000000"/>
              <w:right w:val="single" w:sz="4" w:space="0" w:color="000000"/>
            </w:tcBorders>
          </w:tcPr>
          <w:p w14:paraId="4D61667C"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Commission canadienne de sûreté nucléaire</w:t>
            </w:r>
          </w:p>
        </w:tc>
      </w:tr>
      <w:tr w:rsidR="00F50D70" w:rsidRPr="00BE4F47" w14:paraId="6F8100DC" w14:textId="77777777">
        <w:tc>
          <w:tcPr>
            <w:tcW w:w="1813" w:type="dxa"/>
            <w:tcBorders>
              <w:top w:val="single" w:sz="4" w:space="0" w:color="000000"/>
              <w:left w:val="single" w:sz="4" w:space="0" w:color="000000"/>
              <w:bottom w:val="single" w:sz="4" w:space="0" w:color="000000"/>
              <w:right w:val="single" w:sz="4" w:space="0" w:color="000000"/>
            </w:tcBorders>
          </w:tcPr>
          <w:p w14:paraId="67133B56"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CSA</w:t>
            </w:r>
          </w:p>
        </w:tc>
        <w:tc>
          <w:tcPr>
            <w:tcW w:w="7241" w:type="dxa"/>
            <w:tcBorders>
              <w:top w:val="single" w:sz="4" w:space="0" w:color="000000"/>
              <w:left w:val="single" w:sz="4" w:space="0" w:color="000000"/>
              <w:bottom w:val="single" w:sz="4" w:space="0" w:color="000000"/>
              <w:right w:val="single" w:sz="4" w:space="0" w:color="000000"/>
            </w:tcBorders>
          </w:tcPr>
          <w:p w14:paraId="67D8494D"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Groupe CSA, Association canadienne de normalisation</w:t>
            </w:r>
          </w:p>
        </w:tc>
      </w:tr>
      <w:tr w:rsidR="00F50D70" w:rsidRPr="00BE4F47" w14:paraId="7FB7B89E" w14:textId="77777777">
        <w:tc>
          <w:tcPr>
            <w:tcW w:w="1813" w:type="dxa"/>
            <w:tcBorders>
              <w:top w:val="single" w:sz="4" w:space="0" w:color="000000"/>
              <w:left w:val="single" w:sz="4" w:space="0" w:color="000000"/>
              <w:bottom w:val="single" w:sz="4" w:space="0" w:color="000000"/>
              <w:right w:val="single" w:sz="4" w:space="0" w:color="000000"/>
            </w:tcBorders>
          </w:tcPr>
          <w:p w14:paraId="430AFBB9"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EX-C</w:t>
            </w:r>
          </w:p>
        </w:tc>
        <w:tc>
          <w:tcPr>
            <w:tcW w:w="7241" w:type="dxa"/>
            <w:tcBorders>
              <w:top w:val="single" w:sz="4" w:space="0" w:color="000000"/>
              <w:left w:val="single" w:sz="4" w:space="0" w:color="000000"/>
              <w:bottom w:val="single" w:sz="4" w:space="0" w:color="000000"/>
              <w:right w:val="single" w:sz="4" w:space="0" w:color="000000"/>
            </w:tcBorders>
          </w:tcPr>
          <w:p w14:paraId="1767AF2B"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de périmètre ou de contrainte (registre de la section 1)</w:t>
            </w:r>
          </w:p>
        </w:tc>
      </w:tr>
      <w:tr w:rsidR="00F50D70" w:rsidRPr="00BE4F47" w14:paraId="5C4B6D61" w14:textId="77777777">
        <w:tc>
          <w:tcPr>
            <w:tcW w:w="1813" w:type="dxa"/>
            <w:tcBorders>
              <w:top w:val="single" w:sz="4" w:space="0" w:color="000000"/>
              <w:left w:val="single" w:sz="4" w:space="0" w:color="000000"/>
              <w:bottom w:val="single" w:sz="4" w:space="0" w:color="000000"/>
              <w:right w:val="single" w:sz="4" w:space="0" w:color="000000"/>
            </w:tcBorders>
          </w:tcPr>
          <w:p w14:paraId="463287D9"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EX-F</w:t>
            </w:r>
          </w:p>
        </w:tc>
        <w:tc>
          <w:tcPr>
            <w:tcW w:w="7241" w:type="dxa"/>
            <w:tcBorders>
              <w:top w:val="single" w:sz="4" w:space="0" w:color="000000"/>
              <w:left w:val="single" w:sz="4" w:space="0" w:color="000000"/>
              <w:bottom w:val="single" w:sz="4" w:space="0" w:color="000000"/>
              <w:right w:val="single" w:sz="4" w:space="0" w:color="000000"/>
            </w:tcBorders>
          </w:tcPr>
          <w:p w14:paraId="1B9272D1"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fonctionnelle (registre de la section 1)</w:t>
            </w:r>
          </w:p>
        </w:tc>
      </w:tr>
      <w:tr w:rsidR="00F50D70" w:rsidRPr="00BE4F47" w14:paraId="5F876B23" w14:textId="77777777">
        <w:tc>
          <w:tcPr>
            <w:tcW w:w="1813" w:type="dxa"/>
            <w:tcBorders>
              <w:top w:val="single" w:sz="4" w:space="0" w:color="000000"/>
              <w:left w:val="single" w:sz="4" w:space="0" w:color="000000"/>
              <w:bottom w:val="single" w:sz="4" w:space="0" w:color="000000"/>
              <w:right w:val="single" w:sz="4" w:space="0" w:color="000000"/>
            </w:tcBorders>
          </w:tcPr>
          <w:p w14:paraId="54AFF795"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EX-Q</w:t>
            </w:r>
          </w:p>
        </w:tc>
        <w:tc>
          <w:tcPr>
            <w:tcW w:w="7241" w:type="dxa"/>
            <w:tcBorders>
              <w:top w:val="single" w:sz="4" w:space="0" w:color="000000"/>
              <w:left w:val="single" w:sz="4" w:space="0" w:color="000000"/>
              <w:bottom w:val="single" w:sz="4" w:space="0" w:color="000000"/>
              <w:right w:val="single" w:sz="4" w:space="0" w:color="000000"/>
            </w:tcBorders>
          </w:tcPr>
          <w:p w14:paraId="7DB9E4B2"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de qualité (registre de la section 1)</w:t>
            </w:r>
          </w:p>
        </w:tc>
      </w:tr>
      <w:tr w:rsidR="00F50D70" w:rsidRPr="00BE4F47" w14:paraId="614DBF06" w14:textId="77777777">
        <w:tc>
          <w:tcPr>
            <w:tcW w:w="1813" w:type="dxa"/>
            <w:tcBorders>
              <w:top w:val="single" w:sz="4" w:space="0" w:color="000000"/>
              <w:left w:val="single" w:sz="4" w:space="0" w:color="000000"/>
              <w:bottom w:val="single" w:sz="4" w:space="0" w:color="000000"/>
              <w:right w:val="single" w:sz="4" w:space="0" w:color="000000"/>
            </w:tcBorders>
          </w:tcPr>
          <w:p w14:paraId="6925FBE6"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GEMMA</w:t>
            </w:r>
          </w:p>
        </w:tc>
        <w:tc>
          <w:tcPr>
            <w:tcW w:w="7241" w:type="dxa"/>
            <w:tcBorders>
              <w:top w:val="single" w:sz="4" w:space="0" w:color="000000"/>
              <w:left w:val="single" w:sz="4" w:space="0" w:color="000000"/>
              <w:bottom w:val="single" w:sz="4" w:space="0" w:color="000000"/>
              <w:right w:val="single" w:sz="4" w:space="0" w:color="000000"/>
            </w:tcBorders>
          </w:tcPr>
          <w:p w14:paraId="713D8CC1"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Guide d’étude des modes de marche et d’arrêt</w:t>
            </w:r>
          </w:p>
        </w:tc>
      </w:tr>
      <w:tr w:rsidR="00F50D70" w:rsidRPr="00BE4F47" w14:paraId="3D43FE15" w14:textId="77777777">
        <w:tc>
          <w:tcPr>
            <w:tcW w:w="1813" w:type="dxa"/>
            <w:tcBorders>
              <w:top w:val="single" w:sz="4" w:space="0" w:color="000000"/>
              <w:left w:val="single" w:sz="4" w:space="0" w:color="000000"/>
              <w:bottom w:val="single" w:sz="4" w:space="0" w:color="000000"/>
              <w:right w:val="single" w:sz="4" w:space="0" w:color="000000"/>
            </w:tcBorders>
          </w:tcPr>
          <w:p w14:paraId="7EA62D35"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IEC</w:t>
            </w:r>
          </w:p>
        </w:tc>
        <w:tc>
          <w:tcPr>
            <w:tcW w:w="7241" w:type="dxa"/>
            <w:tcBorders>
              <w:top w:val="single" w:sz="4" w:space="0" w:color="000000"/>
              <w:left w:val="single" w:sz="4" w:space="0" w:color="000000"/>
              <w:bottom w:val="single" w:sz="4" w:space="0" w:color="000000"/>
              <w:right w:val="single" w:sz="4" w:space="0" w:color="000000"/>
            </w:tcBorders>
          </w:tcPr>
          <w:p w14:paraId="482136E6"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 xml:space="preserve">International </w:t>
            </w:r>
            <w:proofErr w:type="spellStart"/>
            <w:r w:rsidRPr="00BE4F47">
              <w:rPr>
                <w:rFonts w:ascii="Aptos" w:eastAsia="Calibri" w:hAnsi="Aptos" w:cs="Times New Roman"/>
                <w:lang w:eastAsia="en-US"/>
              </w:rPr>
              <w:t>Electrotechnical</w:t>
            </w:r>
            <w:proofErr w:type="spellEnd"/>
            <w:r w:rsidRPr="00BE4F47">
              <w:rPr>
                <w:rFonts w:ascii="Aptos" w:eastAsia="Calibri" w:hAnsi="Aptos" w:cs="Times New Roman"/>
                <w:lang w:eastAsia="en-US"/>
              </w:rPr>
              <w:t xml:space="preserve"> Commission</w:t>
            </w:r>
          </w:p>
        </w:tc>
      </w:tr>
      <w:tr w:rsidR="00F50D70" w:rsidRPr="005A1D5D" w14:paraId="2E343864" w14:textId="77777777">
        <w:tc>
          <w:tcPr>
            <w:tcW w:w="1813" w:type="dxa"/>
            <w:tcBorders>
              <w:top w:val="single" w:sz="4" w:space="0" w:color="000000"/>
              <w:left w:val="single" w:sz="4" w:space="0" w:color="000000"/>
              <w:bottom w:val="single" w:sz="4" w:space="0" w:color="000000"/>
              <w:right w:val="single" w:sz="4" w:space="0" w:color="000000"/>
            </w:tcBorders>
          </w:tcPr>
          <w:p w14:paraId="74772E03"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IEEE</w:t>
            </w:r>
          </w:p>
        </w:tc>
        <w:tc>
          <w:tcPr>
            <w:tcW w:w="7241" w:type="dxa"/>
            <w:tcBorders>
              <w:top w:val="single" w:sz="4" w:space="0" w:color="000000"/>
              <w:left w:val="single" w:sz="4" w:space="0" w:color="000000"/>
              <w:bottom w:val="single" w:sz="4" w:space="0" w:color="000000"/>
              <w:right w:val="single" w:sz="4" w:space="0" w:color="000000"/>
            </w:tcBorders>
          </w:tcPr>
          <w:p w14:paraId="1B2D26BF" w14:textId="77777777" w:rsidR="00F50D70" w:rsidRPr="00BE4F47" w:rsidRDefault="00000000" w:rsidP="008E113B">
            <w:pPr>
              <w:snapToGrid w:val="0"/>
              <w:spacing w:before="20" w:after="20"/>
              <w:ind w:left="0"/>
              <w:jc w:val="left"/>
              <w:outlineLvl w:val="9"/>
              <w:rPr>
                <w:rFonts w:ascii="Aptos" w:eastAsia="Calibri" w:hAnsi="Aptos" w:cs="Times New Roman"/>
                <w:lang w:val="en-CA" w:eastAsia="en-US"/>
              </w:rPr>
            </w:pPr>
            <w:r w:rsidRPr="00BE4F47">
              <w:rPr>
                <w:rFonts w:ascii="Aptos" w:eastAsia="Calibri" w:hAnsi="Aptos" w:cs="Times New Roman"/>
                <w:lang w:val="en-CA" w:eastAsia="en-US"/>
              </w:rPr>
              <w:t>Institute of Electrical and Electronics Engineers</w:t>
            </w:r>
          </w:p>
        </w:tc>
      </w:tr>
      <w:tr w:rsidR="00F50D70" w:rsidRPr="00BE4F47" w14:paraId="749FE795" w14:textId="77777777">
        <w:tc>
          <w:tcPr>
            <w:tcW w:w="1813" w:type="dxa"/>
            <w:tcBorders>
              <w:top w:val="single" w:sz="4" w:space="0" w:color="000000"/>
              <w:left w:val="single" w:sz="4" w:space="0" w:color="000000"/>
              <w:bottom w:val="single" w:sz="4" w:space="0" w:color="000000"/>
              <w:right w:val="single" w:sz="4" w:space="0" w:color="000000"/>
            </w:tcBorders>
          </w:tcPr>
          <w:p w14:paraId="2464275A"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IHM</w:t>
            </w:r>
          </w:p>
        </w:tc>
        <w:tc>
          <w:tcPr>
            <w:tcW w:w="7241" w:type="dxa"/>
            <w:tcBorders>
              <w:top w:val="single" w:sz="4" w:space="0" w:color="000000"/>
              <w:left w:val="single" w:sz="4" w:space="0" w:color="000000"/>
              <w:bottom w:val="single" w:sz="4" w:space="0" w:color="000000"/>
              <w:right w:val="single" w:sz="4" w:space="0" w:color="000000"/>
            </w:tcBorders>
          </w:tcPr>
          <w:p w14:paraId="31466510"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Interface homme-machine</w:t>
            </w:r>
          </w:p>
        </w:tc>
      </w:tr>
      <w:tr w:rsidR="00F50D70" w:rsidRPr="00BE4F47" w14:paraId="2FE55E33" w14:textId="77777777">
        <w:tc>
          <w:tcPr>
            <w:tcW w:w="1813" w:type="dxa"/>
            <w:tcBorders>
              <w:top w:val="single" w:sz="4" w:space="0" w:color="000000"/>
              <w:left w:val="single" w:sz="4" w:space="0" w:color="000000"/>
              <w:bottom w:val="single" w:sz="4" w:space="0" w:color="000000"/>
              <w:right w:val="single" w:sz="4" w:space="0" w:color="000000"/>
            </w:tcBorders>
          </w:tcPr>
          <w:p w14:paraId="358437FD"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ISO</w:t>
            </w:r>
          </w:p>
        </w:tc>
        <w:tc>
          <w:tcPr>
            <w:tcW w:w="7241" w:type="dxa"/>
            <w:tcBorders>
              <w:top w:val="single" w:sz="4" w:space="0" w:color="000000"/>
              <w:left w:val="single" w:sz="4" w:space="0" w:color="000000"/>
              <w:bottom w:val="single" w:sz="4" w:space="0" w:color="000000"/>
              <w:right w:val="single" w:sz="4" w:space="0" w:color="000000"/>
            </w:tcBorders>
          </w:tcPr>
          <w:p w14:paraId="2C64BE4D"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Organisation internationale de normalisation</w:t>
            </w:r>
          </w:p>
        </w:tc>
      </w:tr>
      <w:tr w:rsidR="00F50D70" w:rsidRPr="00BE4F47" w14:paraId="778E3D3B" w14:textId="77777777">
        <w:tc>
          <w:tcPr>
            <w:tcW w:w="1813" w:type="dxa"/>
            <w:tcBorders>
              <w:top w:val="single" w:sz="4" w:space="0" w:color="000000"/>
              <w:left w:val="single" w:sz="4" w:space="0" w:color="000000"/>
              <w:bottom w:val="single" w:sz="4" w:space="0" w:color="000000"/>
              <w:right w:val="single" w:sz="4" w:space="0" w:color="000000"/>
            </w:tcBorders>
          </w:tcPr>
          <w:p w14:paraId="0D5B9649"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LFS</w:t>
            </w:r>
          </w:p>
        </w:tc>
        <w:tc>
          <w:tcPr>
            <w:tcW w:w="7241" w:type="dxa"/>
            <w:tcBorders>
              <w:top w:val="single" w:sz="4" w:space="0" w:color="000000"/>
              <w:left w:val="single" w:sz="4" w:space="0" w:color="000000"/>
              <w:bottom w:val="single" w:sz="4" w:space="0" w:color="000000"/>
              <w:right w:val="single" w:sz="4" w:space="0" w:color="000000"/>
            </w:tcBorders>
          </w:tcPr>
          <w:p w14:paraId="0DA11423"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Large File Storage, extension de Git pour les fichiers volumineux</w:t>
            </w:r>
          </w:p>
        </w:tc>
      </w:tr>
      <w:tr w:rsidR="00F50D70" w:rsidRPr="00BE4F47" w14:paraId="72B3059D" w14:textId="77777777">
        <w:tc>
          <w:tcPr>
            <w:tcW w:w="1813" w:type="dxa"/>
            <w:tcBorders>
              <w:top w:val="single" w:sz="4" w:space="0" w:color="000000"/>
              <w:left w:val="single" w:sz="4" w:space="0" w:color="000000"/>
              <w:bottom w:val="single" w:sz="4" w:space="0" w:color="000000"/>
              <w:right w:val="single" w:sz="4" w:space="0" w:color="000000"/>
            </w:tcBorders>
          </w:tcPr>
          <w:p w14:paraId="26CFFB51"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OIQ</w:t>
            </w:r>
          </w:p>
        </w:tc>
        <w:tc>
          <w:tcPr>
            <w:tcW w:w="7241" w:type="dxa"/>
            <w:tcBorders>
              <w:top w:val="single" w:sz="4" w:space="0" w:color="000000"/>
              <w:left w:val="single" w:sz="4" w:space="0" w:color="000000"/>
              <w:bottom w:val="single" w:sz="4" w:space="0" w:color="000000"/>
              <w:right w:val="single" w:sz="4" w:space="0" w:color="000000"/>
            </w:tcBorders>
          </w:tcPr>
          <w:p w14:paraId="13E92812"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Ordre des ingénieurs du Québec</w:t>
            </w:r>
          </w:p>
        </w:tc>
      </w:tr>
      <w:tr w:rsidR="00F50D70" w:rsidRPr="00BE4F47" w14:paraId="49D4916C" w14:textId="77777777">
        <w:tc>
          <w:tcPr>
            <w:tcW w:w="1813" w:type="dxa"/>
            <w:tcBorders>
              <w:top w:val="single" w:sz="4" w:space="0" w:color="000000"/>
              <w:left w:val="single" w:sz="4" w:space="0" w:color="000000"/>
              <w:bottom w:val="single" w:sz="4" w:space="0" w:color="000000"/>
              <w:right w:val="single" w:sz="4" w:space="0" w:color="000000"/>
            </w:tcBorders>
          </w:tcPr>
          <w:p w14:paraId="58EB5863"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RACI</w:t>
            </w:r>
          </w:p>
        </w:tc>
        <w:tc>
          <w:tcPr>
            <w:tcW w:w="7241" w:type="dxa"/>
            <w:tcBorders>
              <w:top w:val="single" w:sz="4" w:space="0" w:color="000000"/>
              <w:left w:val="single" w:sz="4" w:space="0" w:color="000000"/>
              <w:bottom w:val="single" w:sz="4" w:space="0" w:color="000000"/>
              <w:right w:val="single" w:sz="4" w:space="0" w:color="000000"/>
            </w:tcBorders>
          </w:tcPr>
          <w:p w14:paraId="57AAADA6"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Responsable, Approbateur, Consulté, Informé</w:t>
            </w:r>
          </w:p>
        </w:tc>
      </w:tr>
      <w:tr w:rsidR="00F50D70" w:rsidRPr="00BE4F47" w14:paraId="11ECCED0" w14:textId="77777777">
        <w:tc>
          <w:tcPr>
            <w:tcW w:w="1813" w:type="dxa"/>
            <w:tcBorders>
              <w:top w:val="single" w:sz="4" w:space="0" w:color="000000"/>
              <w:left w:val="single" w:sz="4" w:space="0" w:color="000000"/>
              <w:bottom w:val="single" w:sz="4" w:space="0" w:color="000000"/>
              <w:right w:val="single" w:sz="4" w:space="0" w:color="000000"/>
            </w:tcBorders>
          </w:tcPr>
          <w:p w14:paraId="7ADBA716"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RBS</w:t>
            </w:r>
          </w:p>
        </w:tc>
        <w:tc>
          <w:tcPr>
            <w:tcW w:w="7241" w:type="dxa"/>
            <w:tcBorders>
              <w:top w:val="single" w:sz="4" w:space="0" w:color="000000"/>
              <w:left w:val="single" w:sz="4" w:space="0" w:color="000000"/>
              <w:bottom w:val="single" w:sz="4" w:space="0" w:color="000000"/>
              <w:right w:val="single" w:sz="4" w:space="0" w:color="000000"/>
            </w:tcBorders>
          </w:tcPr>
          <w:p w14:paraId="57A5E270"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Structure de découpage des risques</w:t>
            </w:r>
          </w:p>
        </w:tc>
      </w:tr>
      <w:tr w:rsidR="00F50D70" w:rsidRPr="00BE4F47" w14:paraId="7F17D3B5" w14:textId="77777777">
        <w:tc>
          <w:tcPr>
            <w:tcW w:w="1813" w:type="dxa"/>
            <w:tcBorders>
              <w:top w:val="single" w:sz="4" w:space="0" w:color="000000"/>
              <w:left w:val="single" w:sz="4" w:space="0" w:color="000000"/>
              <w:bottom w:val="single" w:sz="4" w:space="0" w:color="000000"/>
              <w:right w:val="single" w:sz="4" w:space="0" w:color="000000"/>
            </w:tcBorders>
          </w:tcPr>
          <w:p w14:paraId="44C6B929"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REGDOC</w:t>
            </w:r>
          </w:p>
        </w:tc>
        <w:tc>
          <w:tcPr>
            <w:tcW w:w="7241" w:type="dxa"/>
            <w:tcBorders>
              <w:top w:val="single" w:sz="4" w:space="0" w:color="000000"/>
              <w:left w:val="single" w:sz="4" w:space="0" w:color="000000"/>
              <w:bottom w:val="single" w:sz="4" w:space="0" w:color="000000"/>
              <w:right w:val="single" w:sz="4" w:space="0" w:color="000000"/>
            </w:tcBorders>
          </w:tcPr>
          <w:p w14:paraId="16BA2B32"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Document d’application de la réglementation de la CCSN</w:t>
            </w:r>
          </w:p>
        </w:tc>
      </w:tr>
      <w:tr w:rsidR="00F50D70" w:rsidRPr="00BE4F47" w14:paraId="1B0C26FD" w14:textId="77777777">
        <w:tc>
          <w:tcPr>
            <w:tcW w:w="1813" w:type="dxa"/>
            <w:tcBorders>
              <w:top w:val="single" w:sz="4" w:space="0" w:color="000000"/>
              <w:left w:val="single" w:sz="4" w:space="0" w:color="000000"/>
              <w:bottom w:val="single" w:sz="4" w:space="0" w:color="000000"/>
              <w:right w:val="single" w:sz="4" w:space="0" w:color="000000"/>
            </w:tcBorders>
          </w:tcPr>
          <w:p w14:paraId="5021CFF2"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RP, RT</w:t>
            </w:r>
          </w:p>
        </w:tc>
        <w:tc>
          <w:tcPr>
            <w:tcW w:w="7241" w:type="dxa"/>
            <w:tcBorders>
              <w:top w:val="single" w:sz="4" w:space="0" w:color="000000"/>
              <w:left w:val="single" w:sz="4" w:space="0" w:color="000000"/>
              <w:bottom w:val="single" w:sz="4" w:space="0" w:color="000000"/>
              <w:right w:val="single" w:sz="4" w:space="0" w:color="000000"/>
            </w:tcBorders>
          </w:tcPr>
          <w:p w14:paraId="3C33673B"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Risque de projet, risque de produit (registres de la section 7)</w:t>
            </w:r>
          </w:p>
        </w:tc>
      </w:tr>
      <w:tr w:rsidR="00F50D70" w:rsidRPr="00BE4F47" w14:paraId="40D345F7" w14:textId="77777777">
        <w:tc>
          <w:tcPr>
            <w:tcW w:w="1813" w:type="dxa"/>
            <w:tcBorders>
              <w:top w:val="single" w:sz="4" w:space="0" w:color="000000"/>
              <w:left w:val="single" w:sz="4" w:space="0" w:color="000000"/>
              <w:bottom w:val="single" w:sz="4" w:space="0" w:color="000000"/>
              <w:right w:val="single" w:sz="4" w:space="0" w:color="000000"/>
            </w:tcBorders>
          </w:tcPr>
          <w:p w14:paraId="3C40889C"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SDP</w:t>
            </w:r>
          </w:p>
        </w:tc>
        <w:tc>
          <w:tcPr>
            <w:tcW w:w="7241" w:type="dxa"/>
            <w:tcBorders>
              <w:top w:val="single" w:sz="4" w:space="0" w:color="000000"/>
              <w:left w:val="single" w:sz="4" w:space="0" w:color="000000"/>
              <w:bottom w:val="single" w:sz="4" w:space="0" w:color="000000"/>
              <w:right w:val="single" w:sz="4" w:space="0" w:color="000000"/>
            </w:tcBorders>
          </w:tcPr>
          <w:p w14:paraId="12C59434"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Structure de découpage du projet</w:t>
            </w:r>
          </w:p>
        </w:tc>
      </w:tr>
      <w:tr w:rsidR="00F50D70" w:rsidRPr="00BE4F47" w14:paraId="5FF0012B" w14:textId="77777777">
        <w:tc>
          <w:tcPr>
            <w:tcW w:w="1813" w:type="dxa"/>
            <w:tcBorders>
              <w:top w:val="single" w:sz="4" w:space="0" w:color="000000"/>
              <w:left w:val="single" w:sz="4" w:space="0" w:color="000000"/>
              <w:bottom w:val="single" w:sz="4" w:space="0" w:color="000000"/>
              <w:right w:val="single" w:sz="4" w:space="0" w:color="000000"/>
            </w:tcBorders>
          </w:tcPr>
          <w:p w14:paraId="042FDB9E"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UQAC</w:t>
            </w:r>
          </w:p>
        </w:tc>
        <w:tc>
          <w:tcPr>
            <w:tcW w:w="7241" w:type="dxa"/>
            <w:tcBorders>
              <w:top w:val="single" w:sz="4" w:space="0" w:color="000000"/>
              <w:left w:val="single" w:sz="4" w:space="0" w:color="000000"/>
              <w:bottom w:val="single" w:sz="4" w:space="0" w:color="000000"/>
              <w:right w:val="single" w:sz="4" w:space="0" w:color="000000"/>
            </w:tcBorders>
          </w:tcPr>
          <w:p w14:paraId="3B08E96E"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Université du Québec à Chicoutimi</w:t>
            </w:r>
          </w:p>
        </w:tc>
      </w:tr>
      <w:tr w:rsidR="00F50D70" w:rsidRPr="00BE4F47" w14:paraId="1D1AEAD7" w14:textId="77777777">
        <w:tc>
          <w:tcPr>
            <w:tcW w:w="1813" w:type="dxa"/>
            <w:tcBorders>
              <w:top w:val="single" w:sz="4" w:space="0" w:color="000000"/>
              <w:left w:val="single" w:sz="4" w:space="0" w:color="000000"/>
              <w:bottom w:val="single" w:sz="4" w:space="0" w:color="000000"/>
              <w:right w:val="single" w:sz="4" w:space="0" w:color="000000"/>
            </w:tcBorders>
          </w:tcPr>
          <w:p w14:paraId="1569B128"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V&amp;V</w:t>
            </w:r>
          </w:p>
        </w:tc>
        <w:tc>
          <w:tcPr>
            <w:tcW w:w="7241" w:type="dxa"/>
            <w:tcBorders>
              <w:top w:val="single" w:sz="4" w:space="0" w:color="000000"/>
              <w:left w:val="single" w:sz="4" w:space="0" w:color="000000"/>
              <w:bottom w:val="single" w:sz="4" w:space="0" w:color="000000"/>
              <w:right w:val="single" w:sz="4" w:space="0" w:color="000000"/>
            </w:tcBorders>
          </w:tcPr>
          <w:p w14:paraId="12BDF98A" w14:textId="77777777" w:rsidR="00F50D70" w:rsidRPr="00BE4F47" w:rsidRDefault="00000000"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Vérification et validation</w:t>
            </w:r>
          </w:p>
        </w:tc>
      </w:tr>
    </w:tbl>
    <w:p w14:paraId="2CB00D6D" w14:textId="77777777" w:rsidR="00F50D70" w:rsidRDefault="00000000" w:rsidP="008E113B">
      <w:pPr>
        <w:spacing w:line="360" w:lineRule="auto"/>
        <w:ind w:left="0"/>
        <w:outlineLvl w:val="9"/>
        <w:rPr>
          <w:rFonts w:ascii="Aptos" w:hAnsi="Aptos"/>
        </w:rPr>
      </w:pPr>
      <w:r w:rsidRPr="00BE4F47">
        <w:rPr>
          <w:rFonts w:ascii="Aptos" w:hAnsi="Aptos"/>
        </w:rPr>
        <w:lastRenderedPageBreak/>
        <w:br w:type="page"/>
      </w:r>
    </w:p>
    <w:sdt>
      <w:sdtPr>
        <w:rPr>
          <w:rFonts w:ascii="Times" w:eastAsia="MS Mincho" w:hAnsi="Times" w:cs="Times"/>
          <w:color w:val="auto"/>
          <w:sz w:val="22"/>
          <w:szCs w:val="22"/>
          <w:lang w:val="fr-CA"/>
        </w:rPr>
        <w:id w:val="-2112120358"/>
        <w:docPartObj>
          <w:docPartGallery w:val="Table of Contents"/>
          <w:docPartUnique/>
        </w:docPartObj>
      </w:sdtPr>
      <w:sdtEndPr>
        <w:rPr>
          <w:b/>
          <w:bCs/>
        </w:rPr>
      </w:sdtEndPr>
      <w:sdtContent>
        <w:p w14:paraId="78FFE7D6" w14:textId="77777777" w:rsidR="006D5CA3" w:rsidRDefault="006D5CA3">
          <w:pPr>
            <w:pStyle w:val="En-ttedetabledesmatires"/>
          </w:pPr>
          <w:r>
            <w:rPr>
              <w:lang w:val="fr-CA"/>
            </w:rPr>
            <w:t>Table des matières</w:t>
          </w:r>
        </w:p>
        <w:p w14:paraId="0C6DE366" w14:textId="77777777" w:rsidR="006D5CA3" w:rsidRDefault="006D5CA3">
          <w:pPr>
            <w:pStyle w:val="TM3"/>
            <w:rPr>
              <w:rFonts w:asciiTheme="minorHAnsi" w:eastAsiaTheme="minorEastAsia" w:hAnsiTheme="minorHAnsi" w:cstheme="minorBidi"/>
              <w:noProof/>
              <w:kern w:val="2"/>
              <w:sz w:val="24"/>
              <w:szCs w:val="24"/>
              <w:lang w:val="fr-FR" w:eastAsia="fr-FR"/>
              <w14:ligatures w14:val="standardContextual"/>
            </w:rPr>
          </w:pPr>
          <w:r>
            <w:fldChar w:fldCharType="begin"/>
          </w:r>
          <w:r>
            <w:instrText xml:space="preserve"> TOC \o "1-3" \h \z \u </w:instrText>
          </w:r>
          <w:r>
            <w:fldChar w:fldCharType="separate"/>
          </w:r>
        </w:p>
        <w:p w14:paraId="6EB96DD5" w14:textId="77777777" w:rsidR="006D5CA3" w:rsidRDefault="006D5CA3">
          <w:pPr>
            <w:pStyle w:val="TM1"/>
            <w:rPr>
              <w:rFonts w:asciiTheme="minorHAnsi" w:eastAsiaTheme="minorEastAsia" w:hAnsiTheme="minorHAnsi" w:cstheme="minorBidi"/>
              <w:noProof/>
              <w:kern w:val="2"/>
              <w:sz w:val="24"/>
              <w:szCs w:val="24"/>
              <w:lang w:val="fr-FR" w:eastAsia="fr-FR"/>
              <w14:ligatures w14:val="standardContextual"/>
            </w:rPr>
          </w:pPr>
          <w:hyperlink w:anchor="_Toc241082766" w:history="1">
            <w:r w:rsidRPr="00E24B99">
              <w:rPr>
                <w:rStyle w:val="Hyperlien"/>
                <w:noProof/>
              </w:rPr>
              <w:t>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Analyse des besoins du client et des exigences des différents intervenants</w:t>
            </w:r>
            <w:r>
              <w:rPr>
                <w:noProof/>
                <w:webHidden/>
              </w:rPr>
              <w:tab/>
            </w:r>
            <w:r>
              <w:rPr>
                <w:noProof/>
                <w:webHidden/>
              </w:rPr>
              <w:fldChar w:fldCharType="begin"/>
            </w:r>
            <w:r>
              <w:rPr>
                <w:noProof/>
                <w:webHidden/>
              </w:rPr>
              <w:instrText xml:space="preserve"> PAGEREF _Toc241082766 \h </w:instrText>
            </w:r>
            <w:r>
              <w:rPr>
                <w:noProof/>
                <w:webHidden/>
              </w:rPr>
            </w:r>
            <w:r>
              <w:rPr>
                <w:noProof/>
                <w:webHidden/>
              </w:rPr>
              <w:fldChar w:fldCharType="separate"/>
            </w:r>
            <w:r>
              <w:rPr>
                <w:noProof/>
                <w:webHidden/>
              </w:rPr>
              <w:t>6</w:t>
            </w:r>
            <w:r>
              <w:rPr>
                <w:noProof/>
                <w:webHidden/>
              </w:rPr>
              <w:fldChar w:fldCharType="end"/>
            </w:r>
          </w:hyperlink>
        </w:p>
        <w:p w14:paraId="5AB783E8"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768" w:history="1">
            <w:r w:rsidRPr="00E24B99">
              <w:rPr>
                <w:rStyle w:val="Hyperlien"/>
                <w:rFonts w:ascii="Aptos" w:hAnsi="Aptos"/>
                <w:noProof/>
              </w:rPr>
              <w:t>1.1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Contexte et mandat</w:t>
            </w:r>
            <w:r>
              <w:rPr>
                <w:noProof/>
                <w:webHidden/>
              </w:rPr>
              <w:tab/>
            </w:r>
            <w:r>
              <w:rPr>
                <w:noProof/>
                <w:webHidden/>
              </w:rPr>
              <w:fldChar w:fldCharType="begin"/>
            </w:r>
            <w:r>
              <w:rPr>
                <w:noProof/>
                <w:webHidden/>
              </w:rPr>
              <w:instrText xml:space="preserve"> PAGEREF _Toc241082768 \h </w:instrText>
            </w:r>
            <w:r>
              <w:rPr>
                <w:noProof/>
                <w:webHidden/>
              </w:rPr>
            </w:r>
            <w:r>
              <w:rPr>
                <w:noProof/>
                <w:webHidden/>
              </w:rPr>
              <w:fldChar w:fldCharType="separate"/>
            </w:r>
            <w:r>
              <w:rPr>
                <w:noProof/>
                <w:webHidden/>
              </w:rPr>
              <w:t>6</w:t>
            </w:r>
            <w:r>
              <w:rPr>
                <w:noProof/>
                <w:webHidden/>
              </w:rPr>
              <w:fldChar w:fldCharType="end"/>
            </w:r>
          </w:hyperlink>
        </w:p>
        <w:p w14:paraId="4D4C3B1D"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772" w:history="1">
            <w:r w:rsidRPr="00E24B99">
              <w:rPr>
                <w:rStyle w:val="Hyperlien"/>
                <w:rFonts w:ascii="Aptos" w:hAnsi="Aptos"/>
                <w:noProof/>
              </w:rPr>
              <w:t>1.2</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Ampleur du projet</w:t>
            </w:r>
            <w:r>
              <w:rPr>
                <w:noProof/>
                <w:webHidden/>
              </w:rPr>
              <w:tab/>
            </w:r>
            <w:r>
              <w:rPr>
                <w:noProof/>
                <w:webHidden/>
              </w:rPr>
              <w:fldChar w:fldCharType="begin"/>
            </w:r>
            <w:r>
              <w:rPr>
                <w:noProof/>
                <w:webHidden/>
              </w:rPr>
              <w:instrText xml:space="preserve"> PAGEREF _Toc241082772 \h </w:instrText>
            </w:r>
            <w:r>
              <w:rPr>
                <w:noProof/>
                <w:webHidden/>
              </w:rPr>
            </w:r>
            <w:r>
              <w:rPr>
                <w:noProof/>
                <w:webHidden/>
              </w:rPr>
              <w:fldChar w:fldCharType="separate"/>
            </w:r>
            <w:r>
              <w:rPr>
                <w:noProof/>
                <w:webHidden/>
              </w:rPr>
              <w:t>6</w:t>
            </w:r>
            <w:r>
              <w:rPr>
                <w:noProof/>
                <w:webHidden/>
              </w:rPr>
              <w:fldChar w:fldCharType="end"/>
            </w:r>
          </w:hyperlink>
        </w:p>
        <w:p w14:paraId="0084AD97"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776" w:history="1">
            <w:r w:rsidRPr="00E24B99">
              <w:rPr>
                <w:rStyle w:val="Hyperlien"/>
                <w:rFonts w:ascii="Aptos" w:hAnsi="Aptos"/>
                <w:noProof/>
              </w:rPr>
              <w:t>1.3</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Parties prenantes</w:t>
            </w:r>
            <w:r>
              <w:rPr>
                <w:noProof/>
                <w:webHidden/>
              </w:rPr>
              <w:tab/>
            </w:r>
            <w:r>
              <w:rPr>
                <w:noProof/>
                <w:webHidden/>
              </w:rPr>
              <w:fldChar w:fldCharType="begin"/>
            </w:r>
            <w:r>
              <w:rPr>
                <w:noProof/>
                <w:webHidden/>
              </w:rPr>
              <w:instrText xml:space="preserve"> PAGEREF _Toc241082776 \h </w:instrText>
            </w:r>
            <w:r>
              <w:rPr>
                <w:noProof/>
                <w:webHidden/>
              </w:rPr>
            </w:r>
            <w:r>
              <w:rPr>
                <w:noProof/>
                <w:webHidden/>
              </w:rPr>
              <w:fldChar w:fldCharType="separate"/>
            </w:r>
            <w:r>
              <w:rPr>
                <w:noProof/>
                <w:webHidden/>
              </w:rPr>
              <w:t>7</w:t>
            </w:r>
            <w:r>
              <w:rPr>
                <w:noProof/>
                <w:webHidden/>
              </w:rPr>
              <w:fldChar w:fldCharType="end"/>
            </w:r>
          </w:hyperlink>
        </w:p>
        <w:p w14:paraId="7D043C77"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779" w:history="1">
            <w:r w:rsidRPr="00E24B99">
              <w:rPr>
                <w:rStyle w:val="Hyperlien"/>
                <w:rFonts w:ascii="Aptos" w:hAnsi="Aptos"/>
                <w:noProof/>
              </w:rPr>
              <w:t>1.4</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Besoins et douleurs</w:t>
            </w:r>
            <w:r>
              <w:rPr>
                <w:noProof/>
                <w:webHidden/>
              </w:rPr>
              <w:tab/>
            </w:r>
            <w:r>
              <w:rPr>
                <w:noProof/>
                <w:webHidden/>
              </w:rPr>
              <w:fldChar w:fldCharType="begin"/>
            </w:r>
            <w:r>
              <w:rPr>
                <w:noProof/>
                <w:webHidden/>
              </w:rPr>
              <w:instrText xml:space="preserve"> PAGEREF _Toc241082779 \h </w:instrText>
            </w:r>
            <w:r>
              <w:rPr>
                <w:noProof/>
                <w:webHidden/>
              </w:rPr>
            </w:r>
            <w:r>
              <w:rPr>
                <w:noProof/>
                <w:webHidden/>
              </w:rPr>
              <w:fldChar w:fldCharType="separate"/>
            </w:r>
            <w:r>
              <w:rPr>
                <w:noProof/>
                <w:webHidden/>
              </w:rPr>
              <w:t>8</w:t>
            </w:r>
            <w:r>
              <w:rPr>
                <w:noProof/>
                <w:webHidden/>
              </w:rPr>
              <w:fldChar w:fldCharType="end"/>
            </w:r>
          </w:hyperlink>
        </w:p>
        <w:p w14:paraId="26908D6E"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784" w:history="1">
            <w:r w:rsidRPr="00E24B99">
              <w:rPr>
                <w:rStyle w:val="Hyperlien"/>
                <w:rFonts w:ascii="Aptos" w:hAnsi="Aptos"/>
                <w:noProof/>
              </w:rPr>
              <w:t>1.5</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Objectif directeur et sous-objectifs</w:t>
            </w:r>
            <w:r>
              <w:rPr>
                <w:noProof/>
                <w:webHidden/>
              </w:rPr>
              <w:tab/>
            </w:r>
            <w:r>
              <w:rPr>
                <w:noProof/>
                <w:webHidden/>
              </w:rPr>
              <w:fldChar w:fldCharType="begin"/>
            </w:r>
            <w:r>
              <w:rPr>
                <w:noProof/>
                <w:webHidden/>
              </w:rPr>
              <w:instrText xml:space="preserve"> PAGEREF _Toc241082784 \h </w:instrText>
            </w:r>
            <w:r>
              <w:rPr>
                <w:noProof/>
                <w:webHidden/>
              </w:rPr>
            </w:r>
            <w:r>
              <w:rPr>
                <w:noProof/>
                <w:webHidden/>
              </w:rPr>
              <w:fldChar w:fldCharType="separate"/>
            </w:r>
            <w:r>
              <w:rPr>
                <w:noProof/>
                <w:webHidden/>
              </w:rPr>
              <w:t>8</w:t>
            </w:r>
            <w:r>
              <w:rPr>
                <w:noProof/>
                <w:webHidden/>
              </w:rPr>
              <w:fldChar w:fldCharType="end"/>
            </w:r>
          </w:hyperlink>
        </w:p>
        <w:p w14:paraId="128E7F11" w14:textId="77777777" w:rsidR="006D5CA3" w:rsidRDefault="006D5CA3" w:rsidP="00D40E65">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790" w:history="1">
            <w:r w:rsidRPr="00E24B99">
              <w:rPr>
                <w:rStyle w:val="Hyperlien"/>
                <w:rFonts w:ascii="Aptos" w:hAnsi="Aptos"/>
                <w:noProof/>
              </w:rPr>
              <w:t>1.6</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Modes de fonctionnement et d’arrêt retenus</w:t>
            </w:r>
            <w:r>
              <w:rPr>
                <w:noProof/>
                <w:webHidden/>
              </w:rPr>
              <w:tab/>
            </w:r>
            <w:r>
              <w:rPr>
                <w:noProof/>
                <w:webHidden/>
              </w:rPr>
              <w:fldChar w:fldCharType="begin"/>
            </w:r>
            <w:r>
              <w:rPr>
                <w:noProof/>
                <w:webHidden/>
              </w:rPr>
              <w:instrText xml:space="preserve"> PAGEREF _Toc241082790 \h </w:instrText>
            </w:r>
            <w:r>
              <w:rPr>
                <w:noProof/>
                <w:webHidden/>
              </w:rPr>
            </w:r>
            <w:r>
              <w:rPr>
                <w:noProof/>
                <w:webHidden/>
              </w:rPr>
              <w:fldChar w:fldCharType="separate"/>
            </w:r>
            <w:r>
              <w:rPr>
                <w:noProof/>
                <w:webHidden/>
              </w:rPr>
              <w:t>10</w:t>
            </w:r>
            <w:r>
              <w:rPr>
                <w:noProof/>
                <w:webHidden/>
              </w:rPr>
              <w:fldChar w:fldCharType="end"/>
            </w:r>
          </w:hyperlink>
        </w:p>
        <w:p w14:paraId="7FAD7B4D" w14:textId="77777777" w:rsidR="006D5CA3" w:rsidRDefault="006D5CA3" w:rsidP="00D40E65">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795" w:history="1">
            <w:r w:rsidRPr="00E24B99">
              <w:rPr>
                <w:rStyle w:val="Hyperlien"/>
                <w:rFonts w:ascii="Aptos" w:hAnsi="Aptos"/>
                <w:noProof/>
              </w:rPr>
              <w:t>1.7</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Analyse fonctionnelle</w:t>
            </w:r>
            <w:r>
              <w:rPr>
                <w:noProof/>
                <w:webHidden/>
              </w:rPr>
              <w:tab/>
            </w:r>
            <w:r>
              <w:rPr>
                <w:noProof/>
                <w:webHidden/>
              </w:rPr>
              <w:fldChar w:fldCharType="begin"/>
            </w:r>
            <w:r>
              <w:rPr>
                <w:noProof/>
                <w:webHidden/>
              </w:rPr>
              <w:instrText xml:space="preserve"> PAGEREF _Toc241082795 \h </w:instrText>
            </w:r>
            <w:r>
              <w:rPr>
                <w:noProof/>
                <w:webHidden/>
              </w:rPr>
            </w:r>
            <w:r>
              <w:rPr>
                <w:noProof/>
                <w:webHidden/>
              </w:rPr>
              <w:fldChar w:fldCharType="separate"/>
            </w:r>
            <w:r>
              <w:rPr>
                <w:noProof/>
                <w:webHidden/>
              </w:rPr>
              <w:t>11</w:t>
            </w:r>
            <w:r>
              <w:rPr>
                <w:noProof/>
                <w:webHidden/>
              </w:rPr>
              <w:fldChar w:fldCharType="end"/>
            </w:r>
          </w:hyperlink>
        </w:p>
        <w:p w14:paraId="3D6027CB"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804" w:history="1">
            <w:r w:rsidRPr="00E24B99">
              <w:rPr>
                <w:rStyle w:val="Hyperlien"/>
                <w:rFonts w:ascii="Aptos" w:hAnsi="Aptos"/>
                <w:noProof/>
              </w:rPr>
              <w:t>1.8</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Périmètre inclus/exclus</w:t>
            </w:r>
            <w:r>
              <w:rPr>
                <w:noProof/>
                <w:webHidden/>
              </w:rPr>
              <w:tab/>
            </w:r>
            <w:r>
              <w:rPr>
                <w:noProof/>
                <w:webHidden/>
              </w:rPr>
              <w:fldChar w:fldCharType="begin"/>
            </w:r>
            <w:r>
              <w:rPr>
                <w:noProof/>
                <w:webHidden/>
              </w:rPr>
              <w:instrText xml:space="preserve"> PAGEREF _Toc241082804 \h </w:instrText>
            </w:r>
            <w:r>
              <w:rPr>
                <w:noProof/>
                <w:webHidden/>
              </w:rPr>
            </w:r>
            <w:r>
              <w:rPr>
                <w:noProof/>
                <w:webHidden/>
              </w:rPr>
              <w:fldChar w:fldCharType="separate"/>
            </w:r>
            <w:r>
              <w:rPr>
                <w:noProof/>
                <w:webHidden/>
              </w:rPr>
              <w:t>14</w:t>
            </w:r>
            <w:r>
              <w:rPr>
                <w:noProof/>
                <w:webHidden/>
              </w:rPr>
              <w:fldChar w:fldCharType="end"/>
            </w:r>
          </w:hyperlink>
        </w:p>
        <w:p w14:paraId="2CE36319"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806" w:history="1">
            <w:r w:rsidRPr="00E24B99">
              <w:rPr>
                <w:rStyle w:val="Hyperlien"/>
                <w:rFonts w:ascii="Aptos" w:hAnsi="Aptos"/>
                <w:noProof/>
              </w:rPr>
              <w:t>1.9</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Priorisation des besoins</w:t>
            </w:r>
            <w:r>
              <w:rPr>
                <w:noProof/>
                <w:webHidden/>
              </w:rPr>
              <w:tab/>
            </w:r>
            <w:r>
              <w:rPr>
                <w:noProof/>
                <w:webHidden/>
              </w:rPr>
              <w:fldChar w:fldCharType="begin"/>
            </w:r>
            <w:r>
              <w:rPr>
                <w:noProof/>
                <w:webHidden/>
              </w:rPr>
              <w:instrText xml:space="preserve"> PAGEREF _Toc241082806 \h </w:instrText>
            </w:r>
            <w:r>
              <w:rPr>
                <w:noProof/>
                <w:webHidden/>
              </w:rPr>
            </w:r>
            <w:r>
              <w:rPr>
                <w:noProof/>
                <w:webHidden/>
              </w:rPr>
              <w:fldChar w:fldCharType="separate"/>
            </w:r>
            <w:r>
              <w:rPr>
                <w:noProof/>
                <w:webHidden/>
              </w:rPr>
              <w:t>14</w:t>
            </w:r>
            <w:r>
              <w:rPr>
                <w:noProof/>
                <w:webHidden/>
              </w:rPr>
              <w:fldChar w:fldCharType="end"/>
            </w:r>
          </w:hyperlink>
        </w:p>
        <w:p w14:paraId="2A5D9372" w14:textId="77777777" w:rsidR="006D5CA3" w:rsidRDefault="006D5CA3">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082811" w:history="1">
            <w:r w:rsidRPr="00E24B99">
              <w:rPr>
                <w:rStyle w:val="Hyperlien"/>
                <w:noProof/>
              </w:rPr>
              <w:t>1.10</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Hypothèses</w:t>
            </w:r>
            <w:r>
              <w:rPr>
                <w:noProof/>
                <w:webHidden/>
              </w:rPr>
              <w:tab/>
            </w:r>
            <w:r>
              <w:rPr>
                <w:noProof/>
                <w:webHidden/>
              </w:rPr>
              <w:fldChar w:fldCharType="begin"/>
            </w:r>
            <w:r>
              <w:rPr>
                <w:noProof/>
                <w:webHidden/>
              </w:rPr>
              <w:instrText xml:space="preserve"> PAGEREF _Toc241082811 \h </w:instrText>
            </w:r>
            <w:r>
              <w:rPr>
                <w:noProof/>
                <w:webHidden/>
              </w:rPr>
            </w:r>
            <w:r>
              <w:rPr>
                <w:noProof/>
                <w:webHidden/>
              </w:rPr>
              <w:fldChar w:fldCharType="separate"/>
            </w:r>
            <w:r>
              <w:rPr>
                <w:noProof/>
                <w:webHidden/>
              </w:rPr>
              <w:t>15</w:t>
            </w:r>
            <w:r>
              <w:rPr>
                <w:noProof/>
                <w:webHidden/>
              </w:rPr>
              <w:fldChar w:fldCharType="end"/>
            </w:r>
          </w:hyperlink>
        </w:p>
        <w:p w14:paraId="62EE3C53" w14:textId="77777777" w:rsidR="006D5CA3" w:rsidRDefault="006D5CA3">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082814" w:history="1">
            <w:r w:rsidRPr="00E24B99">
              <w:rPr>
                <w:rStyle w:val="Hyperlien"/>
                <w:noProof/>
              </w:rPr>
              <w:t>1.11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Registre des exigences</w:t>
            </w:r>
            <w:r>
              <w:rPr>
                <w:noProof/>
                <w:webHidden/>
              </w:rPr>
              <w:tab/>
            </w:r>
            <w:r>
              <w:rPr>
                <w:noProof/>
                <w:webHidden/>
              </w:rPr>
              <w:fldChar w:fldCharType="begin"/>
            </w:r>
            <w:r>
              <w:rPr>
                <w:noProof/>
                <w:webHidden/>
              </w:rPr>
              <w:instrText xml:space="preserve"> PAGEREF _Toc241082814 \h </w:instrText>
            </w:r>
            <w:r>
              <w:rPr>
                <w:noProof/>
                <w:webHidden/>
              </w:rPr>
            </w:r>
            <w:r>
              <w:rPr>
                <w:noProof/>
                <w:webHidden/>
              </w:rPr>
              <w:fldChar w:fldCharType="separate"/>
            </w:r>
            <w:r>
              <w:rPr>
                <w:noProof/>
                <w:webHidden/>
              </w:rPr>
              <w:t>16</w:t>
            </w:r>
            <w:r>
              <w:rPr>
                <w:noProof/>
                <w:webHidden/>
              </w:rPr>
              <w:fldChar w:fldCharType="end"/>
            </w:r>
          </w:hyperlink>
        </w:p>
        <w:p w14:paraId="688D3A08" w14:textId="77777777" w:rsidR="006D5CA3" w:rsidRDefault="006D5CA3">
          <w:pPr>
            <w:pStyle w:val="TM3"/>
            <w:tabs>
              <w:tab w:val="left" w:pos="1890"/>
            </w:tabs>
            <w:rPr>
              <w:rFonts w:asciiTheme="minorHAnsi" w:eastAsiaTheme="minorEastAsia" w:hAnsiTheme="minorHAnsi" w:cstheme="minorBidi"/>
              <w:noProof/>
              <w:kern w:val="2"/>
              <w:sz w:val="24"/>
              <w:szCs w:val="24"/>
              <w:lang w:val="fr-FR" w:eastAsia="fr-FR"/>
              <w14:ligatures w14:val="standardContextual"/>
            </w:rPr>
          </w:pPr>
          <w:hyperlink w:anchor="_Toc241082831" w:history="1">
            <w:r w:rsidRPr="00E24B99">
              <w:rPr>
                <w:rStyle w:val="Hyperlien"/>
                <w:noProof/>
                <w:lang w:eastAsia="fr-FR"/>
              </w:rPr>
              <w:t>1.11.1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lang w:eastAsia="fr-FR"/>
              </w:rPr>
              <w:t>Méthodes et convention de rédaction</w:t>
            </w:r>
            <w:r>
              <w:rPr>
                <w:noProof/>
                <w:webHidden/>
              </w:rPr>
              <w:tab/>
            </w:r>
            <w:r>
              <w:rPr>
                <w:noProof/>
                <w:webHidden/>
              </w:rPr>
              <w:fldChar w:fldCharType="begin"/>
            </w:r>
            <w:r>
              <w:rPr>
                <w:noProof/>
                <w:webHidden/>
              </w:rPr>
              <w:instrText xml:space="preserve"> PAGEREF _Toc241082831 \h </w:instrText>
            </w:r>
            <w:r>
              <w:rPr>
                <w:noProof/>
                <w:webHidden/>
              </w:rPr>
            </w:r>
            <w:r>
              <w:rPr>
                <w:noProof/>
                <w:webHidden/>
              </w:rPr>
              <w:fldChar w:fldCharType="separate"/>
            </w:r>
            <w:r>
              <w:rPr>
                <w:noProof/>
                <w:webHidden/>
              </w:rPr>
              <w:t>16</w:t>
            </w:r>
            <w:r>
              <w:rPr>
                <w:noProof/>
                <w:webHidden/>
              </w:rPr>
              <w:fldChar w:fldCharType="end"/>
            </w:r>
          </w:hyperlink>
        </w:p>
        <w:p w14:paraId="0CF824BE" w14:textId="77777777" w:rsidR="006D5CA3" w:rsidRDefault="006D5CA3">
          <w:pPr>
            <w:pStyle w:val="TM1"/>
            <w:rPr>
              <w:rFonts w:asciiTheme="minorHAnsi" w:eastAsiaTheme="minorEastAsia" w:hAnsiTheme="minorHAnsi" w:cstheme="minorBidi"/>
              <w:noProof/>
              <w:kern w:val="2"/>
              <w:sz w:val="24"/>
              <w:szCs w:val="24"/>
              <w:lang w:val="fr-FR" w:eastAsia="fr-FR"/>
              <w14:ligatures w14:val="standardContextual"/>
            </w:rPr>
          </w:pPr>
          <w:hyperlink w:anchor="_Toc241082841" w:history="1">
            <w:r w:rsidRPr="00E24B99">
              <w:rPr>
                <w:rStyle w:val="Hyperlien"/>
                <w:noProof/>
              </w:rPr>
              <w:t>2.</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Description des livrables du projet</w:t>
            </w:r>
            <w:r>
              <w:rPr>
                <w:noProof/>
                <w:webHidden/>
              </w:rPr>
              <w:tab/>
            </w:r>
            <w:r>
              <w:rPr>
                <w:noProof/>
                <w:webHidden/>
              </w:rPr>
              <w:fldChar w:fldCharType="begin"/>
            </w:r>
            <w:r>
              <w:rPr>
                <w:noProof/>
                <w:webHidden/>
              </w:rPr>
              <w:instrText xml:space="preserve"> PAGEREF _Toc241082841 \h </w:instrText>
            </w:r>
            <w:r>
              <w:rPr>
                <w:noProof/>
                <w:webHidden/>
              </w:rPr>
            </w:r>
            <w:r>
              <w:rPr>
                <w:noProof/>
                <w:webHidden/>
              </w:rPr>
              <w:fldChar w:fldCharType="separate"/>
            </w:r>
            <w:r>
              <w:rPr>
                <w:noProof/>
                <w:webHidden/>
              </w:rPr>
              <w:t>21</w:t>
            </w:r>
            <w:r>
              <w:rPr>
                <w:noProof/>
                <w:webHidden/>
              </w:rPr>
              <w:fldChar w:fldCharType="end"/>
            </w:r>
          </w:hyperlink>
        </w:p>
        <w:p w14:paraId="26A64CB7"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843" w:history="1">
            <w:r w:rsidRPr="00E24B99">
              <w:rPr>
                <w:rStyle w:val="Hyperlien"/>
                <w:noProof/>
              </w:rPr>
              <w:t>2.1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Livrables techniques</w:t>
            </w:r>
            <w:r>
              <w:rPr>
                <w:noProof/>
                <w:webHidden/>
              </w:rPr>
              <w:tab/>
            </w:r>
            <w:r>
              <w:rPr>
                <w:noProof/>
                <w:webHidden/>
              </w:rPr>
              <w:fldChar w:fldCharType="begin"/>
            </w:r>
            <w:r>
              <w:rPr>
                <w:noProof/>
                <w:webHidden/>
              </w:rPr>
              <w:instrText xml:space="preserve"> PAGEREF _Toc241082843 \h </w:instrText>
            </w:r>
            <w:r>
              <w:rPr>
                <w:noProof/>
                <w:webHidden/>
              </w:rPr>
            </w:r>
            <w:r>
              <w:rPr>
                <w:noProof/>
                <w:webHidden/>
              </w:rPr>
              <w:fldChar w:fldCharType="separate"/>
            </w:r>
            <w:r>
              <w:rPr>
                <w:noProof/>
                <w:webHidden/>
              </w:rPr>
              <w:t>21</w:t>
            </w:r>
            <w:r>
              <w:rPr>
                <w:noProof/>
                <w:webHidden/>
              </w:rPr>
              <w:fldChar w:fldCharType="end"/>
            </w:r>
          </w:hyperlink>
        </w:p>
        <w:p w14:paraId="54D9CB17"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848" w:history="1">
            <w:r w:rsidRPr="00E24B99">
              <w:rPr>
                <w:rStyle w:val="Hyperlien"/>
                <w:noProof/>
              </w:rPr>
              <w:t>2.2</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Livrables de gestion</w:t>
            </w:r>
            <w:r>
              <w:rPr>
                <w:noProof/>
                <w:webHidden/>
              </w:rPr>
              <w:tab/>
            </w:r>
            <w:r>
              <w:rPr>
                <w:noProof/>
                <w:webHidden/>
              </w:rPr>
              <w:fldChar w:fldCharType="begin"/>
            </w:r>
            <w:r>
              <w:rPr>
                <w:noProof/>
                <w:webHidden/>
              </w:rPr>
              <w:instrText xml:space="preserve"> PAGEREF _Toc241082848 \h </w:instrText>
            </w:r>
            <w:r>
              <w:rPr>
                <w:noProof/>
                <w:webHidden/>
              </w:rPr>
            </w:r>
            <w:r>
              <w:rPr>
                <w:noProof/>
                <w:webHidden/>
              </w:rPr>
              <w:fldChar w:fldCharType="separate"/>
            </w:r>
            <w:r>
              <w:rPr>
                <w:noProof/>
                <w:webHidden/>
              </w:rPr>
              <w:t>21</w:t>
            </w:r>
            <w:r>
              <w:rPr>
                <w:noProof/>
                <w:webHidden/>
              </w:rPr>
              <w:fldChar w:fldCharType="end"/>
            </w:r>
          </w:hyperlink>
        </w:p>
        <w:p w14:paraId="42511D8D"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851" w:history="1">
            <w:r w:rsidRPr="00E24B99">
              <w:rPr>
                <w:rStyle w:val="Hyperlien"/>
                <w:noProof/>
              </w:rPr>
              <w:t>2.3</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Tableau des livrables</w:t>
            </w:r>
            <w:r>
              <w:rPr>
                <w:noProof/>
                <w:webHidden/>
              </w:rPr>
              <w:tab/>
            </w:r>
            <w:r>
              <w:rPr>
                <w:noProof/>
                <w:webHidden/>
              </w:rPr>
              <w:fldChar w:fldCharType="begin"/>
            </w:r>
            <w:r>
              <w:rPr>
                <w:noProof/>
                <w:webHidden/>
              </w:rPr>
              <w:instrText xml:space="preserve"> PAGEREF _Toc241082851 \h </w:instrText>
            </w:r>
            <w:r>
              <w:rPr>
                <w:noProof/>
                <w:webHidden/>
              </w:rPr>
            </w:r>
            <w:r>
              <w:rPr>
                <w:noProof/>
                <w:webHidden/>
              </w:rPr>
              <w:fldChar w:fldCharType="separate"/>
            </w:r>
            <w:r>
              <w:rPr>
                <w:noProof/>
                <w:webHidden/>
              </w:rPr>
              <w:t>22</w:t>
            </w:r>
            <w:r>
              <w:rPr>
                <w:noProof/>
                <w:webHidden/>
              </w:rPr>
              <w:fldChar w:fldCharType="end"/>
            </w:r>
          </w:hyperlink>
        </w:p>
        <w:p w14:paraId="3CE78F27"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854" w:history="1">
            <w:r w:rsidRPr="00E24B99">
              <w:rPr>
                <w:rStyle w:val="Hyperlien"/>
                <w:rFonts w:ascii="Aptos" w:hAnsi="Aptos"/>
                <w:noProof/>
              </w:rPr>
              <w:t>2.4</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Domaine de validité et contraintes</w:t>
            </w:r>
            <w:r>
              <w:rPr>
                <w:noProof/>
                <w:webHidden/>
              </w:rPr>
              <w:tab/>
            </w:r>
            <w:r>
              <w:rPr>
                <w:noProof/>
                <w:webHidden/>
              </w:rPr>
              <w:fldChar w:fldCharType="begin"/>
            </w:r>
            <w:r>
              <w:rPr>
                <w:noProof/>
                <w:webHidden/>
              </w:rPr>
              <w:instrText xml:space="preserve"> PAGEREF _Toc241082854 \h </w:instrText>
            </w:r>
            <w:r>
              <w:rPr>
                <w:noProof/>
                <w:webHidden/>
              </w:rPr>
            </w:r>
            <w:r>
              <w:rPr>
                <w:noProof/>
                <w:webHidden/>
              </w:rPr>
              <w:fldChar w:fldCharType="separate"/>
            </w:r>
            <w:r>
              <w:rPr>
                <w:noProof/>
                <w:webHidden/>
              </w:rPr>
              <w:t>23</w:t>
            </w:r>
            <w:r>
              <w:rPr>
                <w:noProof/>
                <w:webHidden/>
              </w:rPr>
              <w:fldChar w:fldCharType="end"/>
            </w:r>
          </w:hyperlink>
        </w:p>
        <w:p w14:paraId="1A6B9859"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858" w:history="1">
            <w:r w:rsidRPr="00E24B99">
              <w:rPr>
                <w:rStyle w:val="Hyperlien"/>
                <w:noProof/>
              </w:rPr>
              <w:t>2.5</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Exclusions</w:t>
            </w:r>
            <w:r>
              <w:rPr>
                <w:noProof/>
                <w:webHidden/>
              </w:rPr>
              <w:tab/>
            </w:r>
            <w:r>
              <w:rPr>
                <w:noProof/>
                <w:webHidden/>
              </w:rPr>
              <w:fldChar w:fldCharType="begin"/>
            </w:r>
            <w:r>
              <w:rPr>
                <w:noProof/>
                <w:webHidden/>
              </w:rPr>
              <w:instrText xml:space="preserve"> PAGEREF _Toc241082858 \h </w:instrText>
            </w:r>
            <w:r>
              <w:rPr>
                <w:noProof/>
                <w:webHidden/>
              </w:rPr>
            </w:r>
            <w:r>
              <w:rPr>
                <w:noProof/>
                <w:webHidden/>
              </w:rPr>
              <w:fldChar w:fldCharType="separate"/>
            </w:r>
            <w:r>
              <w:rPr>
                <w:noProof/>
                <w:webHidden/>
              </w:rPr>
              <w:t>24</w:t>
            </w:r>
            <w:r>
              <w:rPr>
                <w:noProof/>
                <w:webHidden/>
              </w:rPr>
              <w:fldChar w:fldCharType="end"/>
            </w:r>
          </w:hyperlink>
        </w:p>
        <w:p w14:paraId="2CC04542" w14:textId="77777777" w:rsidR="006D5CA3" w:rsidRDefault="006D5CA3">
          <w:pPr>
            <w:pStyle w:val="TM1"/>
            <w:rPr>
              <w:rFonts w:asciiTheme="minorHAnsi" w:eastAsiaTheme="minorEastAsia" w:hAnsiTheme="minorHAnsi" w:cstheme="minorBidi"/>
              <w:noProof/>
              <w:kern w:val="2"/>
              <w:sz w:val="24"/>
              <w:szCs w:val="24"/>
              <w:lang w:val="fr-FR" w:eastAsia="fr-FR"/>
              <w14:ligatures w14:val="standardContextual"/>
            </w:rPr>
          </w:pPr>
          <w:hyperlink w:anchor="_Toc241082860" w:history="1">
            <w:r w:rsidRPr="00E24B99">
              <w:rPr>
                <w:rStyle w:val="Hyperlien"/>
                <w:noProof/>
              </w:rPr>
              <w:t>3.</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Description de l’équipe</w:t>
            </w:r>
            <w:r>
              <w:rPr>
                <w:noProof/>
                <w:webHidden/>
              </w:rPr>
              <w:tab/>
            </w:r>
            <w:r>
              <w:rPr>
                <w:noProof/>
                <w:webHidden/>
              </w:rPr>
              <w:fldChar w:fldCharType="begin"/>
            </w:r>
            <w:r>
              <w:rPr>
                <w:noProof/>
                <w:webHidden/>
              </w:rPr>
              <w:instrText xml:space="preserve"> PAGEREF _Toc241082860 \h </w:instrText>
            </w:r>
            <w:r>
              <w:rPr>
                <w:noProof/>
                <w:webHidden/>
              </w:rPr>
            </w:r>
            <w:r>
              <w:rPr>
                <w:noProof/>
                <w:webHidden/>
              </w:rPr>
              <w:fldChar w:fldCharType="separate"/>
            </w:r>
            <w:r>
              <w:rPr>
                <w:noProof/>
                <w:webHidden/>
              </w:rPr>
              <w:t>24</w:t>
            </w:r>
            <w:r>
              <w:rPr>
                <w:noProof/>
                <w:webHidden/>
              </w:rPr>
              <w:fldChar w:fldCharType="end"/>
            </w:r>
          </w:hyperlink>
        </w:p>
        <w:p w14:paraId="672DADEC"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862" w:history="1">
            <w:r w:rsidRPr="00E24B99">
              <w:rPr>
                <w:rStyle w:val="Hyperlien"/>
                <w:rFonts w:ascii="Aptos" w:hAnsi="Aptos"/>
                <w:noProof/>
              </w:rPr>
              <w:t>3.1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 xml:space="preserve">Composition de l’équipe et description des compétences de chaque </w:t>
            </w:r>
          </w:hyperlink>
        </w:p>
        <w:p w14:paraId="5E76125F"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879" w:history="1">
            <w:r w:rsidRPr="00E24B99">
              <w:rPr>
                <w:rStyle w:val="Hyperlien"/>
                <w:rFonts w:ascii="Aptos" w:hAnsi="Aptos"/>
                <w:noProof/>
              </w:rPr>
              <w:t>3.2</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Rôles et responsabilités</w:t>
            </w:r>
            <w:r>
              <w:rPr>
                <w:noProof/>
                <w:webHidden/>
              </w:rPr>
              <w:tab/>
            </w:r>
            <w:r>
              <w:rPr>
                <w:noProof/>
                <w:webHidden/>
              </w:rPr>
              <w:fldChar w:fldCharType="begin"/>
            </w:r>
            <w:r>
              <w:rPr>
                <w:noProof/>
                <w:webHidden/>
              </w:rPr>
              <w:instrText xml:space="preserve"> PAGEREF _Toc241082879 \h </w:instrText>
            </w:r>
            <w:r>
              <w:rPr>
                <w:noProof/>
                <w:webHidden/>
              </w:rPr>
            </w:r>
            <w:r>
              <w:rPr>
                <w:noProof/>
                <w:webHidden/>
              </w:rPr>
              <w:fldChar w:fldCharType="separate"/>
            </w:r>
            <w:r>
              <w:rPr>
                <w:noProof/>
                <w:webHidden/>
              </w:rPr>
              <w:t>25</w:t>
            </w:r>
            <w:r>
              <w:rPr>
                <w:noProof/>
                <w:webHidden/>
              </w:rPr>
              <w:fldChar w:fldCharType="end"/>
            </w:r>
          </w:hyperlink>
        </w:p>
        <w:p w14:paraId="72ABA5F8"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884" w:history="1">
            <w:r w:rsidRPr="00E24B99">
              <w:rPr>
                <w:rStyle w:val="Hyperlien"/>
                <w:rFonts w:ascii="Aptos" w:hAnsi="Aptos"/>
                <w:noProof/>
              </w:rPr>
              <w:t>3.1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Parties prenantes du projet</w:t>
            </w:r>
            <w:r>
              <w:rPr>
                <w:noProof/>
                <w:webHidden/>
              </w:rPr>
              <w:tab/>
            </w:r>
            <w:r>
              <w:rPr>
                <w:noProof/>
                <w:webHidden/>
              </w:rPr>
              <w:fldChar w:fldCharType="begin"/>
            </w:r>
            <w:r>
              <w:rPr>
                <w:noProof/>
                <w:webHidden/>
              </w:rPr>
              <w:instrText xml:space="preserve"> PAGEREF _Toc241082884 \h </w:instrText>
            </w:r>
            <w:r>
              <w:rPr>
                <w:noProof/>
                <w:webHidden/>
              </w:rPr>
            </w:r>
            <w:r>
              <w:rPr>
                <w:noProof/>
                <w:webHidden/>
              </w:rPr>
              <w:fldChar w:fldCharType="separate"/>
            </w:r>
            <w:r>
              <w:rPr>
                <w:noProof/>
                <w:webHidden/>
              </w:rPr>
              <w:t>26</w:t>
            </w:r>
            <w:r>
              <w:rPr>
                <w:noProof/>
                <w:webHidden/>
              </w:rPr>
              <w:fldChar w:fldCharType="end"/>
            </w:r>
          </w:hyperlink>
        </w:p>
        <w:p w14:paraId="3E0B04AB" w14:textId="77777777" w:rsidR="006D5CA3" w:rsidRDefault="006D5CA3">
          <w:pPr>
            <w:pStyle w:val="TM1"/>
            <w:rPr>
              <w:rFonts w:asciiTheme="minorHAnsi" w:eastAsiaTheme="minorEastAsia" w:hAnsiTheme="minorHAnsi" w:cstheme="minorBidi"/>
              <w:noProof/>
              <w:kern w:val="2"/>
              <w:sz w:val="24"/>
              <w:szCs w:val="24"/>
              <w:lang w:val="fr-FR" w:eastAsia="fr-FR"/>
              <w14:ligatures w14:val="standardContextual"/>
            </w:rPr>
          </w:pPr>
          <w:hyperlink w:anchor="_Toc241082888" w:history="1">
            <w:r w:rsidRPr="00E24B99">
              <w:rPr>
                <w:rStyle w:val="Hyperlien"/>
                <w:noProof/>
              </w:rPr>
              <w:t>4.</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Stratégie de contrôle des versions</w:t>
            </w:r>
            <w:r>
              <w:rPr>
                <w:noProof/>
                <w:webHidden/>
              </w:rPr>
              <w:tab/>
            </w:r>
            <w:r>
              <w:rPr>
                <w:noProof/>
                <w:webHidden/>
              </w:rPr>
              <w:fldChar w:fldCharType="begin"/>
            </w:r>
            <w:r>
              <w:rPr>
                <w:noProof/>
                <w:webHidden/>
              </w:rPr>
              <w:instrText xml:space="preserve"> PAGEREF _Toc241082888 \h </w:instrText>
            </w:r>
            <w:r>
              <w:rPr>
                <w:noProof/>
                <w:webHidden/>
              </w:rPr>
            </w:r>
            <w:r>
              <w:rPr>
                <w:noProof/>
                <w:webHidden/>
              </w:rPr>
              <w:fldChar w:fldCharType="separate"/>
            </w:r>
            <w:r>
              <w:rPr>
                <w:noProof/>
                <w:webHidden/>
              </w:rPr>
              <w:t>27</w:t>
            </w:r>
            <w:r>
              <w:rPr>
                <w:noProof/>
                <w:webHidden/>
              </w:rPr>
              <w:fldChar w:fldCharType="end"/>
            </w:r>
          </w:hyperlink>
        </w:p>
        <w:p w14:paraId="47BEEB6A"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890" w:history="1">
            <w:r w:rsidRPr="00E24B99">
              <w:rPr>
                <w:rStyle w:val="Hyperlien"/>
                <w:noProof/>
              </w:rPr>
              <w:t>4.1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Objet et portée</w:t>
            </w:r>
            <w:r>
              <w:rPr>
                <w:noProof/>
                <w:webHidden/>
              </w:rPr>
              <w:tab/>
            </w:r>
            <w:r>
              <w:rPr>
                <w:noProof/>
                <w:webHidden/>
              </w:rPr>
              <w:fldChar w:fldCharType="begin"/>
            </w:r>
            <w:r>
              <w:rPr>
                <w:noProof/>
                <w:webHidden/>
              </w:rPr>
              <w:instrText xml:space="preserve"> PAGEREF _Toc241082890 \h </w:instrText>
            </w:r>
            <w:r>
              <w:rPr>
                <w:noProof/>
                <w:webHidden/>
              </w:rPr>
            </w:r>
            <w:r>
              <w:rPr>
                <w:noProof/>
                <w:webHidden/>
              </w:rPr>
              <w:fldChar w:fldCharType="separate"/>
            </w:r>
            <w:r>
              <w:rPr>
                <w:noProof/>
                <w:webHidden/>
              </w:rPr>
              <w:t>27</w:t>
            </w:r>
            <w:r>
              <w:rPr>
                <w:noProof/>
                <w:webHidden/>
              </w:rPr>
              <w:fldChar w:fldCharType="end"/>
            </w:r>
          </w:hyperlink>
        </w:p>
        <w:p w14:paraId="025A0C71"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895" w:history="1">
            <w:r w:rsidRPr="00E24B99">
              <w:rPr>
                <w:rStyle w:val="Hyperlien"/>
                <w:noProof/>
              </w:rPr>
              <w:t>4.2</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Inventaire de l’information à gérer</w:t>
            </w:r>
            <w:r>
              <w:rPr>
                <w:noProof/>
                <w:webHidden/>
              </w:rPr>
              <w:tab/>
            </w:r>
            <w:r>
              <w:rPr>
                <w:noProof/>
                <w:webHidden/>
              </w:rPr>
              <w:fldChar w:fldCharType="begin"/>
            </w:r>
            <w:r>
              <w:rPr>
                <w:noProof/>
                <w:webHidden/>
              </w:rPr>
              <w:instrText xml:space="preserve"> PAGEREF _Toc241082895 \h </w:instrText>
            </w:r>
            <w:r>
              <w:rPr>
                <w:noProof/>
                <w:webHidden/>
              </w:rPr>
            </w:r>
            <w:r>
              <w:rPr>
                <w:noProof/>
                <w:webHidden/>
              </w:rPr>
              <w:fldChar w:fldCharType="separate"/>
            </w:r>
            <w:r>
              <w:rPr>
                <w:noProof/>
                <w:webHidden/>
              </w:rPr>
              <w:t>28</w:t>
            </w:r>
            <w:r>
              <w:rPr>
                <w:noProof/>
                <w:webHidden/>
              </w:rPr>
              <w:fldChar w:fldCharType="end"/>
            </w:r>
          </w:hyperlink>
        </w:p>
        <w:p w14:paraId="539BF0BD"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900" w:history="1">
            <w:r w:rsidRPr="00E24B99">
              <w:rPr>
                <w:rStyle w:val="Hyperlien"/>
                <w:noProof/>
              </w:rPr>
              <w:t>4.3</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Outils retenus</w:t>
            </w:r>
            <w:r>
              <w:rPr>
                <w:noProof/>
                <w:webHidden/>
              </w:rPr>
              <w:tab/>
            </w:r>
            <w:r>
              <w:rPr>
                <w:noProof/>
                <w:webHidden/>
              </w:rPr>
              <w:fldChar w:fldCharType="begin"/>
            </w:r>
            <w:r>
              <w:rPr>
                <w:noProof/>
                <w:webHidden/>
              </w:rPr>
              <w:instrText xml:space="preserve"> PAGEREF _Toc241082900 \h </w:instrText>
            </w:r>
            <w:r>
              <w:rPr>
                <w:noProof/>
                <w:webHidden/>
              </w:rPr>
            </w:r>
            <w:r>
              <w:rPr>
                <w:noProof/>
                <w:webHidden/>
              </w:rPr>
              <w:fldChar w:fldCharType="separate"/>
            </w:r>
            <w:r>
              <w:rPr>
                <w:noProof/>
                <w:webHidden/>
              </w:rPr>
              <w:t>29</w:t>
            </w:r>
            <w:r>
              <w:rPr>
                <w:noProof/>
                <w:webHidden/>
              </w:rPr>
              <w:fldChar w:fldCharType="end"/>
            </w:r>
          </w:hyperlink>
        </w:p>
        <w:p w14:paraId="206F6A84"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903" w:history="1">
            <w:r w:rsidRPr="00E24B99">
              <w:rPr>
                <w:rStyle w:val="Hyperlien"/>
                <w:noProof/>
              </w:rPr>
              <w:t>4.4</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Flux de travail et revue par les pairs</w:t>
            </w:r>
            <w:r>
              <w:rPr>
                <w:noProof/>
                <w:webHidden/>
              </w:rPr>
              <w:tab/>
            </w:r>
            <w:r>
              <w:rPr>
                <w:noProof/>
                <w:webHidden/>
              </w:rPr>
              <w:fldChar w:fldCharType="begin"/>
            </w:r>
            <w:r>
              <w:rPr>
                <w:noProof/>
                <w:webHidden/>
              </w:rPr>
              <w:instrText xml:space="preserve"> PAGEREF _Toc241082903 \h </w:instrText>
            </w:r>
            <w:r>
              <w:rPr>
                <w:noProof/>
                <w:webHidden/>
              </w:rPr>
            </w:r>
            <w:r>
              <w:rPr>
                <w:noProof/>
                <w:webHidden/>
              </w:rPr>
              <w:fldChar w:fldCharType="separate"/>
            </w:r>
            <w:r>
              <w:rPr>
                <w:noProof/>
                <w:webHidden/>
              </w:rPr>
              <w:t>30</w:t>
            </w:r>
            <w:r>
              <w:rPr>
                <w:noProof/>
                <w:webHidden/>
              </w:rPr>
              <w:fldChar w:fldCharType="end"/>
            </w:r>
          </w:hyperlink>
        </w:p>
        <w:p w14:paraId="6D560AFD" w14:textId="77777777" w:rsidR="006D5CA3" w:rsidRDefault="006D5CA3">
          <w:pPr>
            <w:pStyle w:val="TM1"/>
            <w:rPr>
              <w:rFonts w:asciiTheme="minorHAnsi" w:eastAsiaTheme="minorEastAsia" w:hAnsiTheme="minorHAnsi" w:cstheme="minorBidi"/>
              <w:noProof/>
              <w:kern w:val="2"/>
              <w:sz w:val="24"/>
              <w:szCs w:val="24"/>
              <w:lang w:val="fr-FR" w:eastAsia="fr-FR"/>
              <w14:ligatures w14:val="standardContextual"/>
            </w:rPr>
          </w:pPr>
          <w:hyperlink w:anchor="_Toc241082908" w:history="1">
            <w:r w:rsidRPr="00E24B99">
              <w:rPr>
                <w:rStyle w:val="Hyperlien"/>
                <w:noProof/>
              </w:rPr>
              <w:t>5.</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Revue de l’état de l’art</w:t>
            </w:r>
            <w:r>
              <w:rPr>
                <w:noProof/>
                <w:webHidden/>
              </w:rPr>
              <w:tab/>
            </w:r>
            <w:r>
              <w:rPr>
                <w:noProof/>
                <w:webHidden/>
              </w:rPr>
              <w:fldChar w:fldCharType="begin"/>
            </w:r>
            <w:r>
              <w:rPr>
                <w:noProof/>
                <w:webHidden/>
              </w:rPr>
              <w:instrText xml:space="preserve"> PAGEREF _Toc241082908 \h </w:instrText>
            </w:r>
            <w:r>
              <w:rPr>
                <w:noProof/>
                <w:webHidden/>
              </w:rPr>
            </w:r>
            <w:r>
              <w:rPr>
                <w:noProof/>
                <w:webHidden/>
              </w:rPr>
              <w:fldChar w:fldCharType="separate"/>
            </w:r>
            <w:r>
              <w:rPr>
                <w:noProof/>
                <w:webHidden/>
              </w:rPr>
              <w:t>30</w:t>
            </w:r>
            <w:r>
              <w:rPr>
                <w:noProof/>
                <w:webHidden/>
              </w:rPr>
              <w:fldChar w:fldCharType="end"/>
            </w:r>
          </w:hyperlink>
        </w:p>
        <w:p w14:paraId="18F07F3A"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911" w:history="1">
            <w:r w:rsidRPr="00E24B99">
              <w:rPr>
                <w:rStyle w:val="Hyperlien"/>
                <w:noProof/>
              </w:rPr>
              <w:t>5.1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Méthode de recherche</w:t>
            </w:r>
            <w:r>
              <w:rPr>
                <w:noProof/>
                <w:webHidden/>
              </w:rPr>
              <w:tab/>
            </w:r>
            <w:r>
              <w:rPr>
                <w:noProof/>
                <w:webHidden/>
              </w:rPr>
              <w:fldChar w:fldCharType="begin"/>
            </w:r>
            <w:r>
              <w:rPr>
                <w:noProof/>
                <w:webHidden/>
              </w:rPr>
              <w:instrText xml:space="preserve"> PAGEREF _Toc241082911 \h </w:instrText>
            </w:r>
            <w:r>
              <w:rPr>
                <w:noProof/>
                <w:webHidden/>
              </w:rPr>
            </w:r>
            <w:r>
              <w:rPr>
                <w:noProof/>
                <w:webHidden/>
              </w:rPr>
              <w:fldChar w:fldCharType="separate"/>
            </w:r>
            <w:r>
              <w:rPr>
                <w:noProof/>
                <w:webHidden/>
              </w:rPr>
              <w:t>31</w:t>
            </w:r>
            <w:r>
              <w:rPr>
                <w:noProof/>
                <w:webHidden/>
              </w:rPr>
              <w:fldChar w:fldCharType="end"/>
            </w:r>
          </w:hyperlink>
        </w:p>
        <w:p w14:paraId="5D4D9C86"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915" w:history="1">
            <w:r w:rsidRPr="00E24B99">
              <w:rPr>
                <w:rStyle w:val="Hyperlien"/>
                <w:noProof/>
              </w:rPr>
              <w:t>5.2</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Solutions existantes</w:t>
            </w:r>
            <w:r>
              <w:rPr>
                <w:noProof/>
                <w:webHidden/>
              </w:rPr>
              <w:tab/>
            </w:r>
            <w:r>
              <w:rPr>
                <w:noProof/>
                <w:webHidden/>
              </w:rPr>
              <w:fldChar w:fldCharType="begin"/>
            </w:r>
            <w:r>
              <w:rPr>
                <w:noProof/>
                <w:webHidden/>
              </w:rPr>
              <w:instrText xml:space="preserve"> PAGEREF _Toc241082915 \h </w:instrText>
            </w:r>
            <w:r>
              <w:rPr>
                <w:noProof/>
                <w:webHidden/>
              </w:rPr>
            </w:r>
            <w:r>
              <w:rPr>
                <w:noProof/>
                <w:webHidden/>
              </w:rPr>
              <w:fldChar w:fldCharType="separate"/>
            </w:r>
            <w:r>
              <w:rPr>
                <w:noProof/>
                <w:webHidden/>
              </w:rPr>
              <w:t>31</w:t>
            </w:r>
            <w:r>
              <w:rPr>
                <w:noProof/>
                <w:webHidden/>
              </w:rPr>
              <w:fldChar w:fldCharType="end"/>
            </w:r>
          </w:hyperlink>
        </w:p>
        <w:p w14:paraId="057AB353"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949" w:history="1">
            <w:r w:rsidRPr="00E24B99">
              <w:rPr>
                <w:rStyle w:val="Hyperlien"/>
                <w:noProof/>
              </w:rPr>
              <w:t>5.3</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Recherche de brevets</w:t>
            </w:r>
            <w:r>
              <w:rPr>
                <w:noProof/>
                <w:webHidden/>
              </w:rPr>
              <w:tab/>
            </w:r>
            <w:r>
              <w:rPr>
                <w:noProof/>
                <w:webHidden/>
              </w:rPr>
              <w:fldChar w:fldCharType="begin"/>
            </w:r>
            <w:r>
              <w:rPr>
                <w:noProof/>
                <w:webHidden/>
              </w:rPr>
              <w:instrText xml:space="preserve"> PAGEREF _Toc241082949 \h </w:instrText>
            </w:r>
            <w:r>
              <w:rPr>
                <w:noProof/>
                <w:webHidden/>
              </w:rPr>
            </w:r>
            <w:r>
              <w:rPr>
                <w:noProof/>
                <w:webHidden/>
              </w:rPr>
              <w:fldChar w:fldCharType="separate"/>
            </w:r>
            <w:r>
              <w:rPr>
                <w:noProof/>
                <w:webHidden/>
              </w:rPr>
              <w:t>35</w:t>
            </w:r>
            <w:r>
              <w:rPr>
                <w:noProof/>
                <w:webHidden/>
              </w:rPr>
              <w:fldChar w:fldCharType="end"/>
            </w:r>
          </w:hyperlink>
        </w:p>
        <w:p w14:paraId="4F3E272E"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957" w:history="1">
            <w:r w:rsidRPr="00E24B99">
              <w:rPr>
                <w:rStyle w:val="Hyperlien"/>
                <w:noProof/>
              </w:rPr>
              <w:t>5.4</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Positionnement du projet</w:t>
            </w:r>
            <w:r>
              <w:rPr>
                <w:noProof/>
                <w:webHidden/>
              </w:rPr>
              <w:tab/>
            </w:r>
            <w:r>
              <w:rPr>
                <w:noProof/>
                <w:webHidden/>
              </w:rPr>
              <w:fldChar w:fldCharType="begin"/>
            </w:r>
            <w:r>
              <w:rPr>
                <w:noProof/>
                <w:webHidden/>
              </w:rPr>
              <w:instrText xml:space="preserve"> PAGEREF _Toc241082957 \h </w:instrText>
            </w:r>
            <w:r>
              <w:rPr>
                <w:noProof/>
                <w:webHidden/>
              </w:rPr>
            </w:r>
            <w:r>
              <w:rPr>
                <w:noProof/>
                <w:webHidden/>
              </w:rPr>
              <w:fldChar w:fldCharType="separate"/>
            </w:r>
            <w:r>
              <w:rPr>
                <w:noProof/>
                <w:webHidden/>
              </w:rPr>
              <w:t>37</w:t>
            </w:r>
            <w:r>
              <w:rPr>
                <w:noProof/>
                <w:webHidden/>
              </w:rPr>
              <w:fldChar w:fldCharType="end"/>
            </w:r>
          </w:hyperlink>
        </w:p>
        <w:p w14:paraId="1E71FA1D"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966" w:history="1">
            <w:r w:rsidRPr="00E24B99">
              <w:rPr>
                <w:rStyle w:val="Hyperlien"/>
                <w:noProof/>
              </w:rPr>
              <w:t>5.5</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Solutions commerciales et outils existants</w:t>
            </w:r>
            <w:r>
              <w:rPr>
                <w:noProof/>
                <w:webHidden/>
              </w:rPr>
              <w:tab/>
            </w:r>
            <w:r>
              <w:rPr>
                <w:noProof/>
                <w:webHidden/>
              </w:rPr>
              <w:fldChar w:fldCharType="begin"/>
            </w:r>
            <w:r>
              <w:rPr>
                <w:noProof/>
                <w:webHidden/>
              </w:rPr>
              <w:instrText xml:space="preserve"> PAGEREF _Toc241082966 \h </w:instrText>
            </w:r>
            <w:r>
              <w:rPr>
                <w:noProof/>
                <w:webHidden/>
              </w:rPr>
            </w:r>
            <w:r>
              <w:rPr>
                <w:noProof/>
                <w:webHidden/>
              </w:rPr>
              <w:fldChar w:fldCharType="separate"/>
            </w:r>
            <w:r>
              <w:rPr>
                <w:noProof/>
                <w:webHidden/>
              </w:rPr>
              <w:t>38</w:t>
            </w:r>
            <w:r>
              <w:rPr>
                <w:noProof/>
                <w:webHidden/>
              </w:rPr>
              <w:fldChar w:fldCharType="end"/>
            </w:r>
          </w:hyperlink>
        </w:p>
        <w:p w14:paraId="1594DB51"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974" w:history="1">
            <w:r w:rsidRPr="00E24B99">
              <w:rPr>
                <w:rStyle w:val="Hyperlien"/>
                <w:noProof/>
              </w:rPr>
              <w:t>5.6</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Lacunes de notre revue</w:t>
            </w:r>
            <w:r>
              <w:rPr>
                <w:noProof/>
                <w:webHidden/>
              </w:rPr>
              <w:tab/>
            </w:r>
            <w:r>
              <w:rPr>
                <w:noProof/>
                <w:webHidden/>
              </w:rPr>
              <w:fldChar w:fldCharType="begin"/>
            </w:r>
            <w:r>
              <w:rPr>
                <w:noProof/>
                <w:webHidden/>
              </w:rPr>
              <w:instrText xml:space="preserve"> PAGEREF _Toc241082974 \h </w:instrText>
            </w:r>
            <w:r>
              <w:rPr>
                <w:noProof/>
                <w:webHidden/>
              </w:rPr>
            </w:r>
            <w:r>
              <w:rPr>
                <w:noProof/>
                <w:webHidden/>
              </w:rPr>
              <w:fldChar w:fldCharType="separate"/>
            </w:r>
            <w:r>
              <w:rPr>
                <w:noProof/>
                <w:webHidden/>
              </w:rPr>
              <w:t>40</w:t>
            </w:r>
            <w:r>
              <w:rPr>
                <w:noProof/>
                <w:webHidden/>
              </w:rPr>
              <w:fldChar w:fldCharType="end"/>
            </w:r>
          </w:hyperlink>
        </w:p>
        <w:p w14:paraId="0AAE6F6C" w14:textId="77777777" w:rsidR="006D5CA3" w:rsidRDefault="006D5CA3">
          <w:pPr>
            <w:pStyle w:val="TM1"/>
            <w:rPr>
              <w:rFonts w:asciiTheme="minorHAnsi" w:eastAsiaTheme="minorEastAsia" w:hAnsiTheme="minorHAnsi" w:cstheme="minorBidi"/>
              <w:noProof/>
              <w:kern w:val="2"/>
              <w:sz w:val="24"/>
              <w:szCs w:val="24"/>
              <w:lang w:val="fr-FR" w:eastAsia="fr-FR"/>
              <w14:ligatures w14:val="standardContextual"/>
            </w:rPr>
          </w:pPr>
          <w:hyperlink w:anchor="_Toc241082977" w:history="1">
            <w:r w:rsidRPr="00E24B99">
              <w:rPr>
                <w:rStyle w:val="Hyperlien"/>
                <w:noProof/>
              </w:rPr>
              <w:t>6.</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Normes, codes et standards</w:t>
            </w:r>
            <w:r>
              <w:rPr>
                <w:noProof/>
                <w:webHidden/>
              </w:rPr>
              <w:tab/>
            </w:r>
            <w:r>
              <w:rPr>
                <w:noProof/>
                <w:webHidden/>
              </w:rPr>
              <w:fldChar w:fldCharType="begin"/>
            </w:r>
            <w:r>
              <w:rPr>
                <w:noProof/>
                <w:webHidden/>
              </w:rPr>
              <w:instrText xml:space="preserve"> PAGEREF _Toc241082977 \h </w:instrText>
            </w:r>
            <w:r>
              <w:rPr>
                <w:noProof/>
                <w:webHidden/>
              </w:rPr>
            </w:r>
            <w:r>
              <w:rPr>
                <w:noProof/>
                <w:webHidden/>
              </w:rPr>
              <w:fldChar w:fldCharType="separate"/>
            </w:r>
            <w:r>
              <w:rPr>
                <w:noProof/>
                <w:webHidden/>
              </w:rPr>
              <w:t>41</w:t>
            </w:r>
            <w:r>
              <w:rPr>
                <w:noProof/>
                <w:webHidden/>
              </w:rPr>
              <w:fldChar w:fldCharType="end"/>
            </w:r>
          </w:hyperlink>
        </w:p>
        <w:p w14:paraId="60F5302A"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981" w:history="1">
            <w:r w:rsidRPr="00E24B99">
              <w:rPr>
                <w:rStyle w:val="Hyperlien"/>
                <w:noProof/>
              </w:rPr>
              <w:t>6.1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Cadre législatif</w:t>
            </w:r>
            <w:r>
              <w:rPr>
                <w:noProof/>
                <w:webHidden/>
              </w:rPr>
              <w:tab/>
            </w:r>
            <w:r>
              <w:rPr>
                <w:noProof/>
                <w:webHidden/>
              </w:rPr>
              <w:fldChar w:fldCharType="begin"/>
            </w:r>
            <w:r>
              <w:rPr>
                <w:noProof/>
                <w:webHidden/>
              </w:rPr>
              <w:instrText xml:space="preserve"> PAGEREF _Toc241082981 \h </w:instrText>
            </w:r>
            <w:r>
              <w:rPr>
                <w:noProof/>
                <w:webHidden/>
              </w:rPr>
            </w:r>
            <w:r>
              <w:rPr>
                <w:noProof/>
                <w:webHidden/>
              </w:rPr>
              <w:fldChar w:fldCharType="separate"/>
            </w:r>
            <w:r>
              <w:rPr>
                <w:noProof/>
                <w:webHidden/>
              </w:rPr>
              <w:t>41</w:t>
            </w:r>
            <w:r>
              <w:rPr>
                <w:noProof/>
                <w:webHidden/>
              </w:rPr>
              <w:fldChar w:fldCharType="end"/>
            </w:r>
          </w:hyperlink>
        </w:p>
        <w:p w14:paraId="3945A25C"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988" w:history="1">
            <w:r w:rsidRPr="00E24B99">
              <w:rPr>
                <w:rStyle w:val="Hyperlien"/>
                <w:noProof/>
              </w:rPr>
              <w:t>6.2</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Cadre règlementaire</w:t>
            </w:r>
            <w:r>
              <w:rPr>
                <w:noProof/>
                <w:webHidden/>
              </w:rPr>
              <w:tab/>
            </w:r>
            <w:r>
              <w:rPr>
                <w:noProof/>
                <w:webHidden/>
              </w:rPr>
              <w:fldChar w:fldCharType="begin"/>
            </w:r>
            <w:r>
              <w:rPr>
                <w:noProof/>
                <w:webHidden/>
              </w:rPr>
              <w:instrText xml:space="preserve"> PAGEREF _Toc241082988 \h </w:instrText>
            </w:r>
            <w:r>
              <w:rPr>
                <w:noProof/>
                <w:webHidden/>
              </w:rPr>
            </w:r>
            <w:r>
              <w:rPr>
                <w:noProof/>
                <w:webHidden/>
              </w:rPr>
              <w:fldChar w:fldCharType="separate"/>
            </w:r>
            <w:r>
              <w:rPr>
                <w:noProof/>
                <w:webHidden/>
              </w:rPr>
              <w:t>43</w:t>
            </w:r>
            <w:r>
              <w:rPr>
                <w:noProof/>
                <w:webHidden/>
              </w:rPr>
              <w:fldChar w:fldCharType="end"/>
            </w:r>
          </w:hyperlink>
        </w:p>
        <w:p w14:paraId="3F727ADD"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2992" w:history="1">
            <w:r w:rsidRPr="00E24B99">
              <w:rPr>
                <w:rStyle w:val="Hyperlien"/>
                <w:noProof/>
              </w:rPr>
              <w:t>6.3</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Normes applicables</w:t>
            </w:r>
            <w:r>
              <w:rPr>
                <w:noProof/>
                <w:webHidden/>
              </w:rPr>
              <w:tab/>
            </w:r>
            <w:r>
              <w:rPr>
                <w:noProof/>
                <w:webHidden/>
              </w:rPr>
              <w:fldChar w:fldCharType="begin"/>
            </w:r>
            <w:r>
              <w:rPr>
                <w:noProof/>
                <w:webHidden/>
              </w:rPr>
              <w:instrText xml:space="preserve"> PAGEREF _Toc241082992 \h </w:instrText>
            </w:r>
            <w:r>
              <w:rPr>
                <w:noProof/>
                <w:webHidden/>
              </w:rPr>
            </w:r>
            <w:r>
              <w:rPr>
                <w:noProof/>
                <w:webHidden/>
              </w:rPr>
              <w:fldChar w:fldCharType="separate"/>
            </w:r>
            <w:r>
              <w:rPr>
                <w:noProof/>
                <w:webHidden/>
              </w:rPr>
              <w:t>44</w:t>
            </w:r>
            <w:r>
              <w:rPr>
                <w:noProof/>
                <w:webHidden/>
              </w:rPr>
              <w:fldChar w:fldCharType="end"/>
            </w:r>
          </w:hyperlink>
        </w:p>
        <w:p w14:paraId="25E04927"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007" w:history="1">
            <w:r w:rsidRPr="00E24B99">
              <w:rPr>
                <w:rStyle w:val="Hyperlien"/>
                <w:noProof/>
              </w:rPr>
              <w:t>6.4</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Esprit des normes, dépassement et éthique professionnelle</w:t>
            </w:r>
            <w:r>
              <w:rPr>
                <w:noProof/>
                <w:webHidden/>
              </w:rPr>
              <w:tab/>
            </w:r>
            <w:r>
              <w:rPr>
                <w:noProof/>
                <w:webHidden/>
              </w:rPr>
              <w:fldChar w:fldCharType="begin"/>
            </w:r>
            <w:r>
              <w:rPr>
                <w:noProof/>
                <w:webHidden/>
              </w:rPr>
              <w:instrText xml:space="preserve"> PAGEREF _Toc241083007 \h </w:instrText>
            </w:r>
            <w:r>
              <w:rPr>
                <w:noProof/>
                <w:webHidden/>
              </w:rPr>
            </w:r>
            <w:r>
              <w:rPr>
                <w:noProof/>
                <w:webHidden/>
              </w:rPr>
              <w:fldChar w:fldCharType="separate"/>
            </w:r>
            <w:r>
              <w:rPr>
                <w:noProof/>
                <w:webHidden/>
              </w:rPr>
              <w:t>49</w:t>
            </w:r>
            <w:r>
              <w:rPr>
                <w:noProof/>
                <w:webHidden/>
              </w:rPr>
              <w:fldChar w:fldCharType="end"/>
            </w:r>
          </w:hyperlink>
        </w:p>
        <w:p w14:paraId="286320FB"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014" w:history="1">
            <w:r w:rsidRPr="00E24B99">
              <w:rPr>
                <w:rStyle w:val="Hyperlien"/>
                <w:noProof/>
              </w:rPr>
              <w:t>6.5</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Incidence sur la conception</w:t>
            </w:r>
            <w:r>
              <w:rPr>
                <w:noProof/>
                <w:webHidden/>
              </w:rPr>
              <w:tab/>
            </w:r>
            <w:r>
              <w:rPr>
                <w:noProof/>
                <w:webHidden/>
              </w:rPr>
              <w:fldChar w:fldCharType="begin"/>
            </w:r>
            <w:r>
              <w:rPr>
                <w:noProof/>
                <w:webHidden/>
              </w:rPr>
              <w:instrText xml:space="preserve"> PAGEREF _Toc241083014 \h </w:instrText>
            </w:r>
            <w:r>
              <w:rPr>
                <w:noProof/>
                <w:webHidden/>
              </w:rPr>
            </w:r>
            <w:r>
              <w:rPr>
                <w:noProof/>
                <w:webHidden/>
              </w:rPr>
              <w:fldChar w:fldCharType="separate"/>
            </w:r>
            <w:r>
              <w:rPr>
                <w:noProof/>
                <w:webHidden/>
              </w:rPr>
              <w:t>50</w:t>
            </w:r>
            <w:r>
              <w:rPr>
                <w:noProof/>
                <w:webHidden/>
              </w:rPr>
              <w:fldChar w:fldCharType="end"/>
            </w:r>
          </w:hyperlink>
        </w:p>
        <w:p w14:paraId="7DF4FF6B" w14:textId="77777777" w:rsidR="006D5CA3" w:rsidRDefault="006D5CA3">
          <w:pPr>
            <w:pStyle w:val="TM1"/>
            <w:rPr>
              <w:rFonts w:asciiTheme="minorHAnsi" w:eastAsiaTheme="minorEastAsia" w:hAnsiTheme="minorHAnsi" w:cstheme="minorBidi"/>
              <w:noProof/>
              <w:kern w:val="2"/>
              <w:sz w:val="24"/>
              <w:szCs w:val="24"/>
              <w:lang w:val="fr-FR" w:eastAsia="fr-FR"/>
              <w14:ligatures w14:val="standardContextual"/>
            </w:rPr>
          </w:pPr>
          <w:hyperlink w:anchor="_Toc241083043" w:history="1">
            <w:r w:rsidRPr="00E24B99">
              <w:rPr>
                <w:rStyle w:val="Hyperlien"/>
                <w:noProof/>
              </w:rPr>
              <w:t>7.</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Impacts et gestion des risques</w:t>
            </w:r>
            <w:r>
              <w:rPr>
                <w:noProof/>
                <w:webHidden/>
              </w:rPr>
              <w:tab/>
            </w:r>
            <w:r>
              <w:rPr>
                <w:noProof/>
                <w:webHidden/>
              </w:rPr>
              <w:fldChar w:fldCharType="begin"/>
            </w:r>
            <w:r>
              <w:rPr>
                <w:noProof/>
                <w:webHidden/>
              </w:rPr>
              <w:instrText xml:space="preserve"> PAGEREF _Toc241083043 \h </w:instrText>
            </w:r>
            <w:r>
              <w:rPr>
                <w:noProof/>
                <w:webHidden/>
              </w:rPr>
            </w:r>
            <w:r>
              <w:rPr>
                <w:noProof/>
                <w:webHidden/>
              </w:rPr>
              <w:fldChar w:fldCharType="separate"/>
            </w:r>
            <w:r>
              <w:rPr>
                <w:noProof/>
                <w:webHidden/>
              </w:rPr>
              <w:t>53</w:t>
            </w:r>
            <w:r>
              <w:rPr>
                <w:noProof/>
                <w:webHidden/>
              </w:rPr>
              <w:fldChar w:fldCharType="end"/>
            </w:r>
          </w:hyperlink>
        </w:p>
        <w:p w14:paraId="3AF79B97"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045" w:history="1">
            <w:r w:rsidRPr="00E24B99">
              <w:rPr>
                <w:rStyle w:val="Hyperlien"/>
                <w:noProof/>
              </w:rPr>
              <w:t>7.1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Contexte et portée de l’analyse</w:t>
            </w:r>
            <w:r>
              <w:rPr>
                <w:noProof/>
                <w:webHidden/>
              </w:rPr>
              <w:tab/>
            </w:r>
            <w:r>
              <w:rPr>
                <w:noProof/>
                <w:webHidden/>
              </w:rPr>
              <w:fldChar w:fldCharType="begin"/>
            </w:r>
            <w:r>
              <w:rPr>
                <w:noProof/>
                <w:webHidden/>
              </w:rPr>
              <w:instrText xml:space="preserve"> PAGEREF _Toc241083045 \h </w:instrText>
            </w:r>
            <w:r>
              <w:rPr>
                <w:noProof/>
                <w:webHidden/>
              </w:rPr>
            </w:r>
            <w:r>
              <w:rPr>
                <w:noProof/>
                <w:webHidden/>
              </w:rPr>
              <w:fldChar w:fldCharType="separate"/>
            </w:r>
            <w:r>
              <w:rPr>
                <w:noProof/>
                <w:webHidden/>
              </w:rPr>
              <w:t>53</w:t>
            </w:r>
            <w:r>
              <w:rPr>
                <w:noProof/>
                <w:webHidden/>
              </w:rPr>
              <w:fldChar w:fldCharType="end"/>
            </w:r>
          </w:hyperlink>
        </w:p>
        <w:p w14:paraId="4818C31A"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050" w:history="1">
            <w:r w:rsidRPr="00E24B99">
              <w:rPr>
                <w:rStyle w:val="Hyperlien"/>
                <w:noProof/>
              </w:rPr>
              <w:t>7.2</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Impact du projet</w:t>
            </w:r>
            <w:r>
              <w:rPr>
                <w:noProof/>
                <w:webHidden/>
              </w:rPr>
              <w:tab/>
            </w:r>
            <w:r>
              <w:rPr>
                <w:noProof/>
                <w:webHidden/>
              </w:rPr>
              <w:fldChar w:fldCharType="begin"/>
            </w:r>
            <w:r>
              <w:rPr>
                <w:noProof/>
                <w:webHidden/>
              </w:rPr>
              <w:instrText xml:space="preserve"> PAGEREF _Toc241083050 \h </w:instrText>
            </w:r>
            <w:r>
              <w:rPr>
                <w:noProof/>
                <w:webHidden/>
              </w:rPr>
            </w:r>
            <w:r>
              <w:rPr>
                <w:noProof/>
                <w:webHidden/>
              </w:rPr>
              <w:fldChar w:fldCharType="separate"/>
            </w:r>
            <w:r>
              <w:rPr>
                <w:noProof/>
                <w:webHidden/>
              </w:rPr>
              <w:t>53</w:t>
            </w:r>
            <w:r>
              <w:rPr>
                <w:noProof/>
                <w:webHidden/>
              </w:rPr>
              <w:fldChar w:fldCharType="end"/>
            </w:r>
          </w:hyperlink>
        </w:p>
        <w:p w14:paraId="79018EB7"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072" w:history="1">
            <w:r w:rsidRPr="00E24B99">
              <w:rPr>
                <w:rStyle w:val="Hyperlien"/>
                <w:noProof/>
              </w:rPr>
              <w:t>7.3</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Bénéfices et inconvénients</w:t>
            </w:r>
            <w:r>
              <w:rPr>
                <w:noProof/>
                <w:webHidden/>
              </w:rPr>
              <w:tab/>
            </w:r>
            <w:r>
              <w:rPr>
                <w:noProof/>
                <w:webHidden/>
              </w:rPr>
              <w:fldChar w:fldCharType="begin"/>
            </w:r>
            <w:r>
              <w:rPr>
                <w:noProof/>
                <w:webHidden/>
              </w:rPr>
              <w:instrText xml:space="preserve"> PAGEREF _Toc241083072 \h </w:instrText>
            </w:r>
            <w:r>
              <w:rPr>
                <w:noProof/>
                <w:webHidden/>
              </w:rPr>
            </w:r>
            <w:r>
              <w:rPr>
                <w:noProof/>
                <w:webHidden/>
              </w:rPr>
              <w:fldChar w:fldCharType="separate"/>
            </w:r>
            <w:r>
              <w:rPr>
                <w:noProof/>
                <w:webHidden/>
              </w:rPr>
              <w:t>57</w:t>
            </w:r>
            <w:r>
              <w:rPr>
                <w:noProof/>
                <w:webHidden/>
              </w:rPr>
              <w:fldChar w:fldCharType="end"/>
            </w:r>
          </w:hyperlink>
        </w:p>
        <w:p w14:paraId="4BCCED41"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075" w:history="1">
            <w:r w:rsidRPr="00E24B99">
              <w:rPr>
                <w:rStyle w:val="Hyperlien"/>
                <w:noProof/>
              </w:rPr>
              <w:t>7.4</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Rôle de l’équipe dans une perspective du public</w:t>
            </w:r>
            <w:r>
              <w:rPr>
                <w:noProof/>
                <w:webHidden/>
              </w:rPr>
              <w:tab/>
            </w:r>
            <w:r>
              <w:rPr>
                <w:noProof/>
                <w:webHidden/>
              </w:rPr>
              <w:fldChar w:fldCharType="begin"/>
            </w:r>
            <w:r>
              <w:rPr>
                <w:noProof/>
                <w:webHidden/>
              </w:rPr>
              <w:instrText xml:space="preserve"> PAGEREF _Toc241083075 \h </w:instrText>
            </w:r>
            <w:r>
              <w:rPr>
                <w:noProof/>
                <w:webHidden/>
              </w:rPr>
            </w:r>
            <w:r>
              <w:rPr>
                <w:noProof/>
                <w:webHidden/>
              </w:rPr>
              <w:fldChar w:fldCharType="separate"/>
            </w:r>
            <w:r>
              <w:rPr>
                <w:noProof/>
                <w:webHidden/>
              </w:rPr>
              <w:t>57</w:t>
            </w:r>
            <w:r>
              <w:rPr>
                <w:noProof/>
                <w:webHidden/>
              </w:rPr>
              <w:fldChar w:fldCharType="end"/>
            </w:r>
          </w:hyperlink>
        </w:p>
        <w:p w14:paraId="0FB6AA50"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082" w:history="1">
            <w:r w:rsidRPr="00E24B99">
              <w:rPr>
                <w:rStyle w:val="Hyperlien"/>
                <w:noProof/>
              </w:rPr>
              <w:t>7.5</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Approche pour maximiser les bénéfices et minimiser les inconvénients</w:t>
            </w:r>
            <w:r>
              <w:rPr>
                <w:noProof/>
                <w:webHidden/>
              </w:rPr>
              <w:tab/>
            </w:r>
            <w:r>
              <w:rPr>
                <w:noProof/>
                <w:webHidden/>
              </w:rPr>
              <w:fldChar w:fldCharType="begin"/>
            </w:r>
            <w:r>
              <w:rPr>
                <w:noProof/>
                <w:webHidden/>
              </w:rPr>
              <w:instrText xml:space="preserve"> PAGEREF _Toc241083082 \h </w:instrText>
            </w:r>
            <w:r>
              <w:rPr>
                <w:noProof/>
                <w:webHidden/>
              </w:rPr>
            </w:r>
            <w:r>
              <w:rPr>
                <w:noProof/>
                <w:webHidden/>
              </w:rPr>
              <w:fldChar w:fldCharType="separate"/>
            </w:r>
            <w:r>
              <w:rPr>
                <w:noProof/>
                <w:webHidden/>
              </w:rPr>
              <w:t>58</w:t>
            </w:r>
            <w:r>
              <w:rPr>
                <w:noProof/>
                <w:webHidden/>
              </w:rPr>
              <w:fldChar w:fldCharType="end"/>
            </w:r>
          </w:hyperlink>
        </w:p>
        <w:p w14:paraId="6DB06E6A"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086" w:history="1">
            <w:r w:rsidRPr="00E24B99">
              <w:rPr>
                <w:rStyle w:val="Hyperlien"/>
                <w:noProof/>
              </w:rPr>
              <w:t>7.6</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Méthode d’analyse des risques</w:t>
            </w:r>
            <w:r>
              <w:rPr>
                <w:noProof/>
                <w:webHidden/>
              </w:rPr>
              <w:tab/>
            </w:r>
            <w:r>
              <w:rPr>
                <w:noProof/>
                <w:webHidden/>
              </w:rPr>
              <w:fldChar w:fldCharType="begin"/>
            </w:r>
            <w:r>
              <w:rPr>
                <w:noProof/>
                <w:webHidden/>
              </w:rPr>
              <w:instrText xml:space="preserve"> PAGEREF _Toc241083086 \h </w:instrText>
            </w:r>
            <w:r>
              <w:rPr>
                <w:noProof/>
                <w:webHidden/>
              </w:rPr>
            </w:r>
            <w:r>
              <w:rPr>
                <w:noProof/>
                <w:webHidden/>
              </w:rPr>
              <w:fldChar w:fldCharType="separate"/>
            </w:r>
            <w:r>
              <w:rPr>
                <w:noProof/>
                <w:webHidden/>
              </w:rPr>
              <w:t>59</w:t>
            </w:r>
            <w:r>
              <w:rPr>
                <w:noProof/>
                <w:webHidden/>
              </w:rPr>
              <w:fldChar w:fldCharType="end"/>
            </w:r>
          </w:hyperlink>
        </w:p>
        <w:p w14:paraId="2488D0EB" w14:textId="77777777" w:rsidR="006D5CA3" w:rsidRDefault="006D5CA3" w:rsidP="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098" w:history="1">
            <w:r w:rsidRPr="00E24B99">
              <w:rPr>
                <w:rStyle w:val="Hyperlien"/>
                <w:noProof/>
              </w:rPr>
              <w:t>7.7</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Structure de découpage des risques</w:t>
            </w:r>
            <w:r>
              <w:rPr>
                <w:noProof/>
                <w:webHidden/>
              </w:rPr>
              <w:tab/>
            </w:r>
            <w:r>
              <w:rPr>
                <w:noProof/>
                <w:webHidden/>
              </w:rPr>
              <w:fldChar w:fldCharType="begin"/>
            </w:r>
            <w:r>
              <w:rPr>
                <w:noProof/>
                <w:webHidden/>
              </w:rPr>
              <w:instrText xml:space="preserve"> PAGEREF _Toc241083098 \h </w:instrText>
            </w:r>
            <w:r>
              <w:rPr>
                <w:noProof/>
                <w:webHidden/>
              </w:rPr>
            </w:r>
            <w:r>
              <w:rPr>
                <w:noProof/>
                <w:webHidden/>
              </w:rPr>
              <w:fldChar w:fldCharType="separate"/>
            </w:r>
            <w:r>
              <w:rPr>
                <w:noProof/>
                <w:webHidden/>
              </w:rPr>
              <w:t>60</w:t>
            </w:r>
            <w:r>
              <w:rPr>
                <w:noProof/>
                <w:webHidden/>
              </w:rPr>
              <w:fldChar w:fldCharType="end"/>
            </w:r>
          </w:hyperlink>
        </w:p>
        <w:p w14:paraId="2FC39D51"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103" w:history="1">
            <w:r w:rsidRPr="00E24B99">
              <w:rPr>
                <w:rStyle w:val="Hyperlien"/>
                <w:noProof/>
              </w:rPr>
              <w:t>7.8</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Registre des risques de projet</w:t>
            </w:r>
            <w:r>
              <w:rPr>
                <w:noProof/>
                <w:webHidden/>
              </w:rPr>
              <w:tab/>
            </w:r>
            <w:r>
              <w:rPr>
                <w:noProof/>
                <w:webHidden/>
              </w:rPr>
              <w:fldChar w:fldCharType="begin"/>
            </w:r>
            <w:r>
              <w:rPr>
                <w:noProof/>
                <w:webHidden/>
              </w:rPr>
              <w:instrText xml:space="preserve"> PAGEREF _Toc241083103 \h </w:instrText>
            </w:r>
            <w:r>
              <w:rPr>
                <w:noProof/>
                <w:webHidden/>
              </w:rPr>
            </w:r>
            <w:r>
              <w:rPr>
                <w:noProof/>
                <w:webHidden/>
              </w:rPr>
              <w:fldChar w:fldCharType="separate"/>
            </w:r>
            <w:r>
              <w:rPr>
                <w:noProof/>
                <w:webHidden/>
              </w:rPr>
              <w:t>61</w:t>
            </w:r>
            <w:r>
              <w:rPr>
                <w:noProof/>
                <w:webHidden/>
              </w:rPr>
              <w:fldChar w:fldCharType="end"/>
            </w:r>
          </w:hyperlink>
        </w:p>
        <w:p w14:paraId="7E76ED03"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106" w:history="1">
            <w:r w:rsidRPr="00E24B99">
              <w:rPr>
                <w:rStyle w:val="Hyperlien"/>
                <w:noProof/>
              </w:rPr>
              <w:t>7.9</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Registre des risques du produit</w:t>
            </w:r>
            <w:r>
              <w:rPr>
                <w:noProof/>
                <w:webHidden/>
              </w:rPr>
              <w:tab/>
            </w:r>
            <w:r>
              <w:rPr>
                <w:noProof/>
                <w:webHidden/>
              </w:rPr>
              <w:fldChar w:fldCharType="begin"/>
            </w:r>
            <w:r>
              <w:rPr>
                <w:noProof/>
                <w:webHidden/>
              </w:rPr>
              <w:instrText xml:space="preserve"> PAGEREF _Toc241083106 \h </w:instrText>
            </w:r>
            <w:r>
              <w:rPr>
                <w:noProof/>
                <w:webHidden/>
              </w:rPr>
            </w:r>
            <w:r>
              <w:rPr>
                <w:noProof/>
                <w:webHidden/>
              </w:rPr>
              <w:fldChar w:fldCharType="separate"/>
            </w:r>
            <w:r>
              <w:rPr>
                <w:noProof/>
                <w:webHidden/>
              </w:rPr>
              <w:t>62</w:t>
            </w:r>
            <w:r>
              <w:rPr>
                <w:noProof/>
                <w:webHidden/>
              </w:rPr>
              <w:fldChar w:fldCharType="end"/>
            </w:r>
          </w:hyperlink>
        </w:p>
        <w:p w14:paraId="336F7BF5" w14:textId="77777777" w:rsidR="006D5CA3" w:rsidRDefault="006D5CA3">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083109" w:history="1">
            <w:r w:rsidRPr="00E24B99">
              <w:rPr>
                <w:rStyle w:val="Hyperlien"/>
                <w:noProof/>
              </w:rPr>
              <w:t>7.10</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Matrice de couverture des contraintes du mandat</w:t>
            </w:r>
            <w:r>
              <w:rPr>
                <w:noProof/>
                <w:webHidden/>
              </w:rPr>
              <w:tab/>
            </w:r>
            <w:r>
              <w:rPr>
                <w:noProof/>
                <w:webHidden/>
              </w:rPr>
              <w:fldChar w:fldCharType="begin"/>
            </w:r>
            <w:r>
              <w:rPr>
                <w:noProof/>
                <w:webHidden/>
              </w:rPr>
              <w:instrText xml:space="preserve"> PAGEREF _Toc241083109 \h </w:instrText>
            </w:r>
            <w:r>
              <w:rPr>
                <w:noProof/>
                <w:webHidden/>
              </w:rPr>
            </w:r>
            <w:r>
              <w:rPr>
                <w:noProof/>
                <w:webHidden/>
              </w:rPr>
              <w:fldChar w:fldCharType="separate"/>
            </w:r>
            <w:r>
              <w:rPr>
                <w:noProof/>
                <w:webHidden/>
              </w:rPr>
              <w:t>64</w:t>
            </w:r>
            <w:r>
              <w:rPr>
                <w:noProof/>
                <w:webHidden/>
              </w:rPr>
              <w:fldChar w:fldCharType="end"/>
            </w:r>
          </w:hyperlink>
        </w:p>
        <w:p w14:paraId="56F3472F" w14:textId="77777777" w:rsidR="006D5CA3" w:rsidRDefault="006D5CA3">
          <w:pPr>
            <w:pStyle w:val="TM1"/>
            <w:rPr>
              <w:rFonts w:asciiTheme="minorHAnsi" w:eastAsiaTheme="minorEastAsia" w:hAnsiTheme="minorHAnsi" w:cstheme="minorBidi"/>
              <w:noProof/>
              <w:kern w:val="2"/>
              <w:sz w:val="24"/>
              <w:szCs w:val="24"/>
              <w:lang w:val="fr-FR" w:eastAsia="fr-FR"/>
              <w14:ligatures w14:val="standardContextual"/>
            </w:rPr>
          </w:pPr>
          <w:hyperlink w:anchor="_Toc241083112" w:history="1">
            <w:r w:rsidRPr="00E24B99">
              <w:rPr>
                <w:rStyle w:val="Hyperlien"/>
                <w:noProof/>
              </w:rPr>
              <w:t>8.</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Estimation des ressources nécessaires au projet</w:t>
            </w:r>
            <w:r>
              <w:rPr>
                <w:noProof/>
                <w:webHidden/>
              </w:rPr>
              <w:tab/>
            </w:r>
            <w:r>
              <w:rPr>
                <w:noProof/>
                <w:webHidden/>
              </w:rPr>
              <w:fldChar w:fldCharType="begin"/>
            </w:r>
            <w:r>
              <w:rPr>
                <w:noProof/>
                <w:webHidden/>
              </w:rPr>
              <w:instrText xml:space="preserve"> PAGEREF _Toc241083112 \h </w:instrText>
            </w:r>
            <w:r>
              <w:rPr>
                <w:noProof/>
                <w:webHidden/>
              </w:rPr>
            </w:r>
            <w:r>
              <w:rPr>
                <w:noProof/>
                <w:webHidden/>
              </w:rPr>
              <w:fldChar w:fldCharType="separate"/>
            </w:r>
            <w:r>
              <w:rPr>
                <w:noProof/>
                <w:webHidden/>
              </w:rPr>
              <w:t>66</w:t>
            </w:r>
            <w:r>
              <w:rPr>
                <w:noProof/>
                <w:webHidden/>
              </w:rPr>
              <w:fldChar w:fldCharType="end"/>
            </w:r>
          </w:hyperlink>
        </w:p>
        <w:p w14:paraId="4DFEC677"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114" w:history="1">
            <w:r w:rsidRPr="00E24B99">
              <w:rPr>
                <w:rStyle w:val="Hyperlien"/>
                <w:noProof/>
              </w:rPr>
              <w:t>8.1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Méthode d’estimation et classe de l’estimation</w:t>
            </w:r>
            <w:r>
              <w:rPr>
                <w:noProof/>
                <w:webHidden/>
              </w:rPr>
              <w:tab/>
            </w:r>
            <w:r>
              <w:rPr>
                <w:noProof/>
                <w:webHidden/>
              </w:rPr>
              <w:fldChar w:fldCharType="begin"/>
            </w:r>
            <w:r>
              <w:rPr>
                <w:noProof/>
                <w:webHidden/>
              </w:rPr>
              <w:instrText xml:space="preserve"> PAGEREF _Toc241083114 \h </w:instrText>
            </w:r>
            <w:r>
              <w:rPr>
                <w:noProof/>
                <w:webHidden/>
              </w:rPr>
            </w:r>
            <w:r>
              <w:rPr>
                <w:noProof/>
                <w:webHidden/>
              </w:rPr>
              <w:fldChar w:fldCharType="separate"/>
            </w:r>
            <w:r>
              <w:rPr>
                <w:noProof/>
                <w:webHidden/>
              </w:rPr>
              <w:t>66</w:t>
            </w:r>
            <w:r>
              <w:rPr>
                <w:noProof/>
                <w:webHidden/>
              </w:rPr>
              <w:fldChar w:fldCharType="end"/>
            </w:r>
          </w:hyperlink>
        </w:p>
        <w:p w14:paraId="4210AEC1"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120" w:history="1">
            <w:r w:rsidRPr="00E24B99">
              <w:rPr>
                <w:rStyle w:val="Hyperlien"/>
                <w:noProof/>
              </w:rPr>
              <w:t>8.2</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Registre des hypothèses</w:t>
            </w:r>
            <w:r>
              <w:rPr>
                <w:noProof/>
                <w:webHidden/>
              </w:rPr>
              <w:tab/>
            </w:r>
            <w:r>
              <w:rPr>
                <w:noProof/>
                <w:webHidden/>
              </w:rPr>
              <w:fldChar w:fldCharType="begin"/>
            </w:r>
            <w:r>
              <w:rPr>
                <w:noProof/>
                <w:webHidden/>
              </w:rPr>
              <w:instrText xml:space="preserve"> PAGEREF _Toc241083120 \h </w:instrText>
            </w:r>
            <w:r>
              <w:rPr>
                <w:noProof/>
                <w:webHidden/>
              </w:rPr>
            </w:r>
            <w:r>
              <w:rPr>
                <w:noProof/>
                <w:webHidden/>
              </w:rPr>
              <w:fldChar w:fldCharType="separate"/>
            </w:r>
            <w:r>
              <w:rPr>
                <w:noProof/>
                <w:webHidden/>
              </w:rPr>
              <w:t>66</w:t>
            </w:r>
            <w:r>
              <w:rPr>
                <w:noProof/>
                <w:webHidden/>
              </w:rPr>
              <w:fldChar w:fldCharType="end"/>
            </w:r>
          </w:hyperlink>
        </w:p>
        <w:p w14:paraId="150CEEB1"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123" w:history="1">
            <w:r w:rsidRPr="00E24B99">
              <w:rPr>
                <w:rStyle w:val="Hyperlien"/>
                <w:noProof/>
              </w:rPr>
              <w:t>8.3</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Ressources humaines</w:t>
            </w:r>
            <w:r>
              <w:rPr>
                <w:noProof/>
                <w:webHidden/>
              </w:rPr>
              <w:tab/>
            </w:r>
            <w:r>
              <w:rPr>
                <w:noProof/>
                <w:webHidden/>
              </w:rPr>
              <w:fldChar w:fldCharType="begin"/>
            </w:r>
            <w:r>
              <w:rPr>
                <w:noProof/>
                <w:webHidden/>
              </w:rPr>
              <w:instrText xml:space="preserve"> PAGEREF _Toc241083123 \h </w:instrText>
            </w:r>
            <w:r>
              <w:rPr>
                <w:noProof/>
                <w:webHidden/>
              </w:rPr>
            </w:r>
            <w:r>
              <w:rPr>
                <w:noProof/>
                <w:webHidden/>
              </w:rPr>
              <w:fldChar w:fldCharType="separate"/>
            </w:r>
            <w:r>
              <w:rPr>
                <w:noProof/>
                <w:webHidden/>
              </w:rPr>
              <w:t>68</w:t>
            </w:r>
            <w:r>
              <w:rPr>
                <w:noProof/>
                <w:webHidden/>
              </w:rPr>
              <w:fldChar w:fldCharType="end"/>
            </w:r>
          </w:hyperlink>
        </w:p>
        <w:p w14:paraId="2C2DC834"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128" w:history="1">
            <w:r w:rsidRPr="00E24B99">
              <w:rPr>
                <w:rStyle w:val="Hyperlien"/>
                <w:noProof/>
              </w:rPr>
              <w:t>8.4</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Ressources matérielles et d’infrastructure</w:t>
            </w:r>
            <w:r>
              <w:rPr>
                <w:noProof/>
                <w:webHidden/>
              </w:rPr>
              <w:tab/>
            </w:r>
            <w:r>
              <w:rPr>
                <w:noProof/>
                <w:webHidden/>
              </w:rPr>
              <w:fldChar w:fldCharType="begin"/>
            </w:r>
            <w:r>
              <w:rPr>
                <w:noProof/>
                <w:webHidden/>
              </w:rPr>
              <w:instrText xml:space="preserve"> PAGEREF _Toc241083128 \h </w:instrText>
            </w:r>
            <w:r>
              <w:rPr>
                <w:noProof/>
                <w:webHidden/>
              </w:rPr>
            </w:r>
            <w:r>
              <w:rPr>
                <w:noProof/>
                <w:webHidden/>
              </w:rPr>
              <w:fldChar w:fldCharType="separate"/>
            </w:r>
            <w:r>
              <w:rPr>
                <w:noProof/>
                <w:webHidden/>
              </w:rPr>
              <w:t>69</w:t>
            </w:r>
            <w:r>
              <w:rPr>
                <w:noProof/>
                <w:webHidden/>
              </w:rPr>
              <w:fldChar w:fldCharType="end"/>
            </w:r>
          </w:hyperlink>
        </w:p>
        <w:p w14:paraId="73664CCD"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131" w:history="1">
            <w:r w:rsidRPr="00E24B99">
              <w:rPr>
                <w:rStyle w:val="Hyperlien"/>
                <w:noProof/>
              </w:rPr>
              <w:t>8.5</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Ressources logicielles et décisions d’outillage</w:t>
            </w:r>
            <w:r>
              <w:rPr>
                <w:noProof/>
                <w:webHidden/>
              </w:rPr>
              <w:tab/>
            </w:r>
            <w:r>
              <w:rPr>
                <w:noProof/>
                <w:webHidden/>
              </w:rPr>
              <w:fldChar w:fldCharType="begin"/>
            </w:r>
            <w:r>
              <w:rPr>
                <w:noProof/>
                <w:webHidden/>
              </w:rPr>
              <w:instrText xml:space="preserve"> PAGEREF _Toc241083131 \h </w:instrText>
            </w:r>
            <w:r>
              <w:rPr>
                <w:noProof/>
                <w:webHidden/>
              </w:rPr>
            </w:r>
            <w:r>
              <w:rPr>
                <w:noProof/>
                <w:webHidden/>
              </w:rPr>
              <w:fldChar w:fldCharType="separate"/>
            </w:r>
            <w:r>
              <w:rPr>
                <w:noProof/>
                <w:webHidden/>
              </w:rPr>
              <w:t>69</w:t>
            </w:r>
            <w:r>
              <w:rPr>
                <w:noProof/>
                <w:webHidden/>
              </w:rPr>
              <w:fldChar w:fldCharType="end"/>
            </w:r>
          </w:hyperlink>
        </w:p>
        <w:p w14:paraId="369D537A" w14:textId="77777777" w:rsidR="006D5CA3" w:rsidRDefault="006D5CA3" w:rsidP="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134" w:history="1">
            <w:r w:rsidRPr="00E24B99">
              <w:rPr>
                <w:rStyle w:val="Hyperlien"/>
                <w:noProof/>
              </w:rPr>
              <w:t>8.6</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Ressources informationnelles et normatives</w:t>
            </w:r>
            <w:r>
              <w:rPr>
                <w:noProof/>
                <w:webHidden/>
              </w:rPr>
              <w:tab/>
            </w:r>
            <w:r>
              <w:rPr>
                <w:noProof/>
                <w:webHidden/>
              </w:rPr>
              <w:fldChar w:fldCharType="begin"/>
            </w:r>
            <w:r>
              <w:rPr>
                <w:noProof/>
                <w:webHidden/>
              </w:rPr>
              <w:instrText xml:space="preserve"> PAGEREF _Toc241083134 \h </w:instrText>
            </w:r>
            <w:r>
              <w:rPr>
                <w:noProof/>
                <w:webHidden/>
              </w:rPr>
            </w:r>
            <w:r>
              <w:rPr>
                <w:noProof/>
                <w:webHidden/>
              </w:rPr>
              <w:fldChar w:fldCharType="separate"/>
            </w:r>
            <w:r>
              <w:rPr>
                <w:noProof/>
                <w:webHidden/>
              </w:rPr>
              <w:t>70</w:t>
            </w:r>
            <w:r>
              <w:rPr>
                <w:noProof/>
                <w:webHidden/>
              </w:rPr>
              <w:fldChar w:fldCharType="end"/>
            </w:r>
          </w:hyperlink>
        </w:p>
        <w:p w14:paraId="4C9844AA" w14:textId="77777777" w:rsidR="006D5CA3" w:rsidRDefault="006D5CA3">
          <w:pPr>
            <w:pStyle w:val="TM1"/>
            <w:rPr>
              <w:rFonts w:asciiTheme="minorHAnsi" w:eastAsiaTheme="minorEastAsia" w:hAnsiTheme="minorHAnsi" w:cstheme="minorBidi"/>
              <w:noProof/>
              <w:kern w:val="2"/>
              <w:sz w:val="24"/>
              <w:szCs w:val="24"/>
              <w:lang w:val="fr-FR" w:eastAsia="fr-FR"/>
              <w14:ligatures w14:val="standardContextual"/>
            </w:rPr>
          </w:pPr>
          <w:hyperlink w:anchor="_Toc241083138" w:history="1">
            <w:r w:rsidRPr="00E24B99">
              <w:rPr>
                <w:rStyle w:val="Hyperlien"/>
                <w:noProof/>
              </w:rPr>
              <w:t>9.</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Estimation préliminaire des coûts</w:t>
            </w:r>
            <w:r>
              <w:rPr>
                <w:noProof/>
                <w:webHidden/>
              </w:rPr>
              <w:tab/>
            </w:r>
            <w:r>
              <w:rPr>
                <w:noProof/>
                <w:webHidden/>
              </w:rPr>
              <w:fldChar w:fldCharType="begin"/>
            </w:r>
            <w:r>
              <w:rPr>
                <w:noProof/>
                <w:webHidden/>
              </w:rPr>
              <w:instrText xml:space="preserve"> PAGEREF _Toc241083138 \h </w:instrText>
            </w:r>
            <w:r>
              <w:rPr>
                <w:noProof/>
                <w:webHidden/>
              </w:rPr>
            </w:r>
            <w:r>
              <w:rPr>
                <w:noProof/>
                <w:webHidden/>
              </w:rPr>
              <w:fldChar w:fldCharType="separate"/>
            </w:r>
            <w:r>
              <w:rPr>
                <w:noProof/>
                <w:webHidden/>
              </w:rPr>
              <w:t>71</w:t>
            </w:r>
            <w:r>
              <w:rPr>
                <w:noProof/>
                <w:webHidden/>
              </w:rPr>
              <w:fldChar w:fldCharType="end"/>
            </w:r>
          </w:hyperlink>
        </w:p>
        <w:p w14:paraId="088F0354" w14:textId="77777777" w:rsidR="006D5CA3" w:rsidRDefault="006D5CA3">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083145" w:history="1">
            <w:r w:rsidRPr="00E24B99">
              <w:rPr>
                <w:rStyle w:val="Hyperlien"/>
                <w:rFonts w:ascii="Aptos" w:hAnsi="Aptos"/>
                <w:noProof/>
              </w:rPr>
              <w:t>9.1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Planification financière dans le temps</w:t>
            </w:r>
            <w:r>
              <w:rPr>
                <w:noProof/>
                <w:webHidden/>
              </w:rPr>
              <w:tab/>
            </w:r>
            <w:r>
              <w:rPr>
                <w:noProof/>
                <w:webHidden/>
              </w:rPr>
              <w:fldChar w:fldCharType="begin"/>
            </w:r>
            <w:r>
              <w:rPr>
                <w:noProof/>
                <w:webHidden/>
              </w:rPr>
              <w:instrText xml:space="preserve"> PAGEREF _Toc241083145 \h </w:instrText>
            </w:r>
            <w:r>
              <w:rPr>
                <w:noProof/>
                <w:webHidden/>
              </w:rPr>
            </w:r>
            <w:r>
              <w:rPr>
                <w:noProof/>
                <w:webHidden/>
              </w:rPr>
              <w:fldChar w:fldCharType="separate"/>
            </w:r>
            <w:r>
              <w:rPr>
                <w:noProof/>
                <w:webHidden/>
              </w:rPr>
              <w:t>73</w:t>
            </w:r>
            <w:r>
              <w:rPr>
                <w:noProof/>
                <w:webHidden/>
              </w:rPr>
              <w:fldChar w:fldCharType="end"/>
            </w:r>
          </w:hyperlink>
        </w:p>
        <w:p w14:paraId="717F719F" w14:textId="77777777" w:rsidR="006D5CA3" w:rsidRDefault="006D5CA3">
          <w:pPr>
            <w:pStyle w:val="TM1"/>
            <w:rPr>
              <w:rFonts w:asciiTheme="minorHAnsi" w:eastAsiaTheme="minorEastAsia" w:hAnsiTheme="minorHAnsi" w:cstheme="minorBidi"/>
              <w:noProof/>
              <w:kern w:val="2"/>
              <w:sz w:val="24"/>
              <w:szCs w:val="24"/>
              <w:lang w:val="fr-FR" w:eastAsia="fr-FR"/>
              <w14:ligatures w14:val="standardContextual"/>
            </w:rPr>
          </w:pPr>
          <w:hyperlink w:anchor="_Toc241083150" w:history="1">
            <w:r w:rsidRPr="00E24B99">
              <w:rPr>
                <w:rStyle w:val="Hyperlien"/>
                <w:noProof/>
              </w:rPr>
              <w:t>10.</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Échéancier préliminaire</w:t>
            </w:r>
            <w:r>
              <w:rPr>
                <w:noProof/>
                <w:webHidden/>
              </w:rPr>
              <w:tab/>
            </w:r>
            <w:r>
              <w:rPr>
                <w:noProof/>
                <w:webHidden/>
              </w:rPr>
              <w:fldChar w:fldCharType="begin"/>
            </w:r>
            <w:r>
              <w:rPr>
                <w:noProof/>
                <w:webHidden/>
              </w:rPr>
              <w:instrText xml:space="preserve"> PAGEREF _Toc241083150 \h </w:instrText>
            </w:r>
            <w:r>
              <w:rPr>
                <w:noProof/>
                <w:webHidden/>
              </w:rPr>
            </w:r>
            <w:r>
              <w:rPr>
                <w:noProof/>
                <w:webHidden/>
              </w:rPr>
              <w:fldChar w:fldCharType="separate"/>
            </w:r>
            <w:r>
              <w:rPr>
                <w:noProof/>
                <w:webHidden/>
              </w:rPr>
              <w:t>74</w:t>
            </w:r>
            <w:r>
              <w:rPr>
                <w:noProof/>
                <w:webHidden/>
              </w:rPr>
              <w:fldChar w:fldCharType="end"/>
            </w:r>
          </w:hyperlink>
        </w:p>
        <w:p w14:paraId="4136E53C" w14:textId="77777777" w:rsidR="006D5CA3" w:rsidRDefault="006D5CA3">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083153" w:history="1">
            <w:r w:rsidRPr="00E24B99">
              <w:rPr>
                <w:rStyle w:val="Hyperlien"/>
                <w:noProof/>
              </w:rPr>
              <w:t>10.1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Structure de découpage du projet</w:t>
            </w:r>
            <w:r>
              <w:rPr>
                <w:noProof/>
                <w:webHidden/>
              </w:rPr>
              <w:tab/>
            </w:r>
            <w:r>
              <w:rPr>
                <w:noProof/>
                <w:webHidden/>
              </w:rPr>
              <w:fldChar w:fldCharType="begin"/>
            </w:r>
            <w:r>
              <w:rPr>
                <w:noProof/>
                <w:webHidden/>
              </w:rPr>
              <w:instrText xml:space="preserve"> PAGEREF _Toc241083153 \h </w:instrText>
            </w:r>
            <w:r>
              <w:rPr>
                <w:noProof/>
                <w:webHidden/>
              </w:rPr>
            </w:r>
            <w:r>
              <w:rPr>
                <w:noProof/>
                <w:webHidden/>
              </w:rPr>
              <w:fldChar w:fldCharType="separate"/>
            </w:r>
            <w:r>
              <w:rPr>
                <w:noProof/>
                <w:webHidden/>
              </w:rPr>
              <w:t>74</w:t>
            </w:r>
            <w:r>
              <w:rPr>
                <w:noProof/>
                <w:webHidden/>
              </w:rPr>
              <w:fldChar w:fldCharType="end"/>
            </w:r>
          </w:hyperlink>
        </w:p>
        <w:p w14:paraId="72050E07" w14:textId="77777777" w:rsidR="006D5CA3" w:rsidRDefault="006D5CA3">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083159" w:history="1">
            <w:r w:rsidRPr="00E24B99">
              <w:rPr>
                <w:rStyle w:val="Hyperlien"/>
                <w:noProof/>
              </w:rPr>
              <w:t>10.2</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Base de calendrier et capacité de l’équipe</w:t>
            </w:r>
            <w:r>
              <w:rPr>
                <w:noProof/>
                <w:webHidden/>
              </w:rPr>
              <w:tab/>
            </w:r>
            <w:r>
              <w:rPr>
                <w:noProof/>
                <w:webHidden/>
              </w:rPr>
              <w:fldChar w:fldCharType="begin"/>
            </w:r>
            <w:r>
              <w:rPr>
                <w:noProof/>
                <w:webHidden/>
              </w:rPr>
              <w:instrText xml:space="preserve"> PAGEREF _Toc241083159 \h </w:instrText>
            </w:r>
            <w:r>
              <w:rPr>
                <w:noProof/>
                <w:webHidden/>
              </w:rPr>
            </w:r>
            <w:r>
              <w:rPr>
                <w:noProof/>
                <w:webHidden/>
              </w:rPr>
              <w:fldChar w:fldCharType="separate"/>
            </w:r>
            <w:r>
              <w:rPr>
                <w:noProof/>
                <w:webHidden/>
              </w:rPr>
              <w:t>75</w:t>
            </w:r>
            <w:r>
              <w:rPr>
                <w:noProof/>
                <w:webHidden/>
              </w:rPr>
              <w:fldChar w:fldCharType="end"/>
            </w:r>
          </w:hyperlink>
        </w:p>
        <w:p w14:paraId="46F81D93" w14:textId="77777777" w:rsidR="006D5CA3" w:rsidRDefault="006D5CA3">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083163" w:history="1">
            <w:r w:rsidRPr="00E24B99">
              <w:rPr>
                <w:rStyle w:val="Hyperlien"/>
                <w:noProof/>
              </w:rPr>
              <w:t>10.3</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Découpage en phases, jalons et livrables</w:t>
            </w:r>
            <w:r>
              <w:rPr>
                <w:noProof/>
                <w:webHidden/>
              </w:rPr>
              <w:tab/>
            </w:r>
            <w:r>
              <w:rPr>
                <w:noProof/>
                <w:webHidden/>
              </w:rPr>
              <w:fldChar w:fldCharType="begin"/>
            </w:r>
            <w:r>
              <w:rPr>
                <w:noProof/>
                <w:webHidden/>
              </w:rPr>
              <w:instrText xml:space="preserve"> PAGEREF _Toc241083163 \h </w:instrText>
            </w:r>
            <w:r>
              <w:rPr>
                <w:noProof/>
                <w:webHidden/>
              </w:rPr>
            </w:r>
            <w:r>
              <w:rPr>
                <w:noProof/>
                <w:webHidden/>
              </w:rPr>
              <w:fldChar w:fldCharType="separate"/>
            </w:r>
            <w:r>
              <w:rPr>
                <w:noProof/>
                <w:webHidden/>
              </w:rPr>
              <w:t>76</w:t>
            </w:r>
            <w:r>
              <w:rPr>
                <w:noProof/>
                <w:webHidden/>
              </w:rPr>
              <w:fldChar w:fldCharType="end"/>
            </w:r>
          </w:hyperlink>
        </w:p>
        <w:p w14:paraId="37937422" w14:textId="77777777" w:rsidR="006D5CA3" w:rsidRDefault="006D5CA3">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083168" w:history="1">
            <w:r w:rsidRPr="00E24B99">
              <w:rPr>
                <w:rStyle w:val="Hyperlien"/>
                <w:rFonts w:ascii="Aptos" w:hAnsi="Aptos"/>
                <w:noProof/>
              </w:rPr>
              <w:t>10.4</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rFonts w:ascii="Aptos" w:hAnsi="Aptos"/>
                <w:noProof/>
              </w:rPr>
              <w:t>Représentation graphique</w:t>
            </w:r>
            <w:r>
              <w:rPr>
                <w:noProof/>
                <w:webHidden/>
              </w:rPr>
              <w:tab/>
            </w:r>
            <w:r>
              <w:rPr>
                <w:noProof/>
                <w:webHidden/>
              </w:rPr>
              <w:fldChar w:fldCharType="begin"/>
            </w:r>
            <w:r>
              <w:rPr>
                <w:noProof/>
                <w:webHidden/>
              </w:rPr>
              <w:instrText xml:space="preserve"> PAGEREF _Toc241083168 \h </w:instrText>
            </w:r>
            <w:r>
              <w:rPr>
                <w:noProof/>
                <w:webHidden/>
              </w:rPr>
            </w:r>
            <w:r>
              <w:rPr>
                <w:noProof/>
                <w:webHidden/>
              </w:rPr>
              <w:fldChar w:fldCharType="separate"/>
            </w:r>
            <w:r>
              <w:rPr>
                <w:noProof/>
                <w:webHidden/>
              </w:rPr>
              <w:t>76</w:t>
            </w:r>
            <w:r>
              <w:rPr>
                <w:noProof/>
                <w:webHidden/>
              </w:rPr>
              <w:fldChar w:fldCharType="end"/>
            </w:r>
          </w:hyperlink>
        </w:p>
        <w:p w14:paraId="2EDB0D20" w14:textId="77777777" w:rsidR="006D5CA3" w:rsidRDefault="006D5CA3">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083171" w:history="1">
            <w:r w:rsidRPr="00E24B99">
              <w:rPr>
                <w:rStyle w:val="Hyperlien"/>
                <w:noProof/>
              </w:rPr>
              <w:t>10.5</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Courbe en S de la valeur planifiée</w:t>
            </w:r>
            <w:r>
              <w:rPr>
                <w:noProof/>
                <w:webHidden/>
              </w:rPr>
              <w:tab/>
            </w:r>
            <w:r>
              <w:rPr>
                <w:noProof/>
                <w:webHidden/>
              </w:rPr>
              <w:fldChar w:fldCharType="begin"/>
            </w:r>
            <w:r>
              <w:rPr>
                <w:noProof/>
                <w:webHidden/>
              </w:rPr>
              <w:instrText xml:space="preserve"> PAGEREF _Toc241083171 \h </w:instrText>
            </w:r>
            <w:r>
              <w:rPr>
                <w:noProof/>
                <w:webHidden/>
              </w:rPr>
            </w:r>
            <w:r>
              <w:rPr>
                <w:noProof/>
                <w:webHidden/>
              </w:rPr>
              <w:fldChar w:fldCharType="separate"/>
            </w:r>
            <w:r>
              <w:rPr>
                <w:noProof/>
                <w:webHidden/>
              </w:rPr>
              <w:t>77</w:t>
            </w:r>
            <w:r>
              <w:rPr>
                <w:noProof/>
                <w:webHidden/>
              </w:rPr>
              <w:fldChar w:fldCharType="end"/>
            </w:r>
          </w:hyperlink>
        </w:p>
        <w:p w14:paraId="24935720" w14:textId="77777777" w:rsidR="006D5CA3" w:rsidRDefault="006D5CA3">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083177" w:history="1">
            <w:r w:rsidRPr="00E24B99">
              <w:rPr>
                <w:rStyle w:val="Hyperlien"/>
                <w:noProof/>
              </w:rPr>
              <w:t>10.6</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Bordereau des prix et flux de trésorerie</w:t>
            </w:r>
            <w:r>
              <w:rPr>
                <w:noProof/>
                <w:webHidden/>
              </w:rPr>
              <w:tab/>
            </w:r>
            <w:r>
              <w:rPr>
                <w:noProof/>
                <w:webHidden/>
              </w:rPr>
              <w:fldChar w:fldCharType="begin"/>
            </w:r>
            <w:r>
              <w:rPr>
                <w:noProof/>
                <w:webHidden/>
              </w:rPr>
              <w:instrText xml:space="preserve"> PAGEREF _Toc241083177 \h </w:instrText>
            </w:r>
            <w:r>
              <w:rPr>
                <w:noProof/>
                <w:webHidden/>
              </w:rPr>
            </w:r>
            <w:r>
              <w:rPr>
                <w:noProof/>
                <w:webHidden/>
              </w:rPr>
              <w:fldChar w:fldCharType="separate"/>
            </w:r>
            <w:r>
              <w:rPr>
                <w:noProof/>
                <w:webHidden/>
              </w:rPr>
              <w:t>77</w:t>
            </w:r>
            <w:r>
              <w:rPr>
                <w:noProof/>
                <w:webHidden/>
              </w:rPr>
              <w:fldChar w:fldCharType="end"/>
            </w:r>
          </w:hyperlink>
        </w:p>
        <w:p w14:paraId="43821994" w14:textId="77777777" w:rsidR="006D5CA3" w:rsidRDefault="006D5CA3">
          <w:pPr>
            <w:pStyle w:val="TM1"/>
            <w:rPr>
              <w:rFonts w:asciiTheme="minorHAnsi" w:eastAsiaTheme="minorEastAsia" w:hAnsiTheme="minorHAnsi" w:cstheme="minorBidi"/>
              <w:noProof/>
              <w:kern w:val="2"/>
              <w:sz w:val="24"/>
              <w:szCs w:val="24"/>
              <w:lang w:val="fr-FR" w:eastAsia="fr-FR"/>
              <w14:ligatures w14:val="standardContextual"/>
            </w:rPr>
          </w:pPr>
          <w:hyperlink w:anchor="_Toc241083187" w:history="1">
            <w:r w:rsidRPr="00E24B99">
              <w:rPr>
                <w:rStyle w:val="Hyperlien"/>
                <w:noProof/>
              </w:rPr>
              <w:t>11.</w:t>
            </w:r>
            <w:r>
              <w:rPr>
                <w:rFonts w:asciiTheme="minorHAnsi" w:eastAsiaTheme="minorEastAsia" w:hAnsiTheme="minorHAnsi" w:cstheme="minorBidi"/>
                <w:noProof/>
                <w:kern w:val="2"/>
                <w:sz w:val="24"/>
                <w:szCs w:val="24"/>
                <w:lang w:val="fr-FR" w:eastAsia="fr-FR"/>
                <w14:ligatures w14:val="standardContextual"/>
              </w:rPr>
              <w:tab/>
            </w:r>
            <w:r w:rsidRPr="00E24B99">
              <w:rPr>
                <w:rStyle w:val="Hyperlien"/>
                <w:noProof/>
              </w:rPr>
              <w:t>Références pertinentes au projet</w:t>
            </w:r>
            <w:r>
              <w:rPr>
                <w:noProof/>
                <w:webHidden/>
              </w:rPr>
              <w:tab/>
            </w:r>
            <w:r>
              <w:rPr>
                <w:noProof/>
                <w:webHidden/>
              </w:rPr>
              <w:fldChar w:fldCharType="begin"/>
            </w:r>
            <w:r>
              <w:rPr>
                <w:noProof/>
                <w:webHidden/>
              </w:rPr>
              <w:instrText xml:space="preserve"> PAGEREF _Toc241083187 \h </w:instrText>
            </w:r>
            <w:r>
              <w:rPr>
                <w:noProof/>
                <w:webHidden/>
              </w:rPr>
            </w:r>
            <w:r>
              <w:rPr>
                <w:noProof/>
                <w:webHidden/>
              </w:rPr>
              <w:fldChar w:fldCharType="separate"/>
            </w:r>
            <w:r>
              <w:rPr>
                <w:noProof/>
                <w:webHidden/>
              </w:rPr>
              <w:t>79</w:t>
            </w:r>
            <w:r>
              <w:rPr>
                <w:noProof/>
                <w:webHidden/>
              </w:rPr>
              <w:fldChar w:fldCharType="end"/>
            </w:r>
          </w:hyperlink>
        </w:p>
        <w:p w14:paraId="711C0A05" w14:textId="77777777" w:rsidR="006D5CA3" w:rsidRDefault="006D5CA3">
          <w:r>
            <w:rPr>
              <w:b/>
              <w:bCs/>
            </w:rPr>
            <w:fldChar w:fldCharType="end"/>
          </w:r>
        </w:p>
      </w:sdtContent>
    </w:sdt>
    <w:p w14:paraId="5BB9580D" w14:textId="77777777" w:rsidR="006D5CA3" w:rsidRPr="00BE4F47" w:rsidRDefault="006D5CA3" w:rsidP="008E113B">
      <w:pPr>
        <w:spacing w:line="360" w:lineRule="auto"/>
        <w:ind w:left="0"/>
        <w:outlineLvl w:val="9"/>
        <w:rPr>
          <w:rFonts w:ascii="Aptos" w:hAnsi="Aptos"/>
        </w:rPr>
      </w:pPr>
    </w:p>
    <w:p w14:paraId="7073DCD6" w14:textId="77777777" w:rsidR="00F50D70" w:rsidRPr="00BE4F47" w:rsidRDefault="00F50D70" w:rsidP="008E113B">
      <w:pPr>
        <w:pStyle w:val="Sous-titre"/>
        <w:pBdr>
          <w:bottom w:val="nil"/>
        </w:pBdr>
        <w:spacing w:line="360" w:lineRule="auto"/>
        <w:rPr>
          <w:rFonts w:ascii="Aptos" w:hAnsi="Aptos" w:cs="Times"/>
          <w:i w:val="0"/>
          <w:sz w:val="24"/>
          <w:szCs w:val="40"/>
        </w:rPr>
      </w:pPr>
    </w:p>
    <w:p w14:paraId="27EBF016" w14:textId="77777777" w:rsidR="00F50D70" w:rsidRPr="00BE4F47" w:rsidRDefault="00000000" w:rsidP="008E113B">
      <w:pPr>
        <w:pStyle w:val="Titre4"/>
        <w:spacing w:line="360" w:lineRule="auto"/>
        <w:rPr>
          <w:rFonts w:eastAsia="DengXian Light"/>
          <w:color w:val="2F5496"/>
          <w:sz w:val="32"/>
          <w:szCs w:val="32"/>
          <w:lang w:eastAsia="en-US"/>
        </w:rPr>
      </w:pPr>
      <w:r w:rsidRPr="00BE4F47">
        <w:rPr>
          <w:lang w:eastAsia="en-US"/>
        </w:rPr>
        <w:t>Résumé exécutif</w:t>
      </w:r>
    </w:p>
    <w:p w14:paraId="216636AA" w14:textId="77777777" w:rsidR="00F50D70" w:rsidRPr="00BE4F47" w:rsidRDefault="00000000" w:rsidP="008E113B">
      <w:pPr>
        <w:spacing w:after="130" w:line="360" w:lineRule="auto"/>
        <w:ind w:left="360"/>
        <w:rPr>
          <w:rFonts w:ascii="Aptos" w:hAnsi="Aptos"/>
        </w:rPr>
      </w:pPr>
      <w:bookmarkStart w:id="2" w:name="_Toc241082759"/>
      <w:r w:rsidRPr="00BE4F47">
        <w:rPr>
          <w:rFonts w:ascii="Aptos" w:eastAsia="Calibri" w:hAnsi="Aptos" w:cs="Calibri"/>
          <w:color w:val="1A1A19"/>
          <w:sz w:val="20"/>
          <w:szCs w:val="20"/>
        </w:rPr>
        <w:t xml:space="preserve">Hydro-Québec, client fictif du scénario de cours, envisage la remise en service de la centrale Gentilly-2. Une telle décision suppose de comprendre le comportement des systèmes de la centrale dans des conditions que l’on ne peut pas provoquer sur une installation réelle sans risque. Le projet répond à ce besoin par un jumeau numérique de surveillance appliqué à une boucle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simplifiée, inspirée du système de refroidissement.</w:t>
      </w:r>
      <w:bookmarkEnd w:id="2"/>
    </w:p>
    <w:p w14:paraId="694BD3D9" w14:textId="77777777" w:rsidR="00F50D70" w:rsidRPr="00BE4F47" w:rsidRDefault="00000000" w:rsidP="008E113B">
      <w:pPr>
        <w:spacing w:after="130" w:line="360" w:lineRule="auto"/>
        <w:ind w:left="360"/>
        <w:rPr>
          <w:rFonts w:ascii="Aptos" w:hAnsi="Aptos"/>
        </w:rPr>
      </w:pPr>
      <w:bookmarkStart w:id="3" w:name="_Toc241082760"/>
      <w:r w:rsidRPr="00BE4F47">
        <w:rPr>
          <w:rFonts w:ascii="Aptos" w:eastAsia="Calibri" w:hAnsi="Aptos" w:cs="Calibri"/>
          <w:color w:val="1A1A19"/>
          <w:sz w:val="20"/>
          <w:szCs w:val="20"/>
        </w:rPr>
        <w:t xml:space="preserve">Le problème à résoudre tient en deux points. Étudier des scénarios de défaillance de façon reproductible. Savoir dans quelles conditions les informations produites par un modèle numérique </w:t>
      </w:r>
      <w:proofErr w:type="gramStart"/>
      <w:r w:rsidRPr="00BE4F47">
        <w:rPr>
          <w:rFonts w:ascii="Aptos" w:eastAsia="Calibri" w:hAnsi="Aptos" w:cs="Calibri"/>
          <w:color w:val="1A1A19"/>
          <w:sz w:val="20"/>
          <w:szCs w:val="20"/>
        </w:rPr>
        <w:t>sont</w:t>
      </w:r>
      <w:proofErr w:type="gramEnd"/>
      <w:r w:rsidRPr="00BE4F47">
        <w:rPr>
          <w:rFonts w:ascii="Aptos" w:eastAsia="Calibri" w:hAnsi="Aptos" w:cs="Calibri"/>
          <w:color w:val="1A1A19"/>
          <w:sz w:val="20"/>
          <w:szCs w:val="20"/>
        </w:rPr>
        <w:t xml:space="preserve"> assez fiables pour servir d’aide à la décision.</w:t>
      </w:r>
      <w:bookmarkEnd w:id="3"/>
    </w:p>
    <w:p w14:paraId="1D0B1F99" w14:textId="77777777" w:rsidR="00F50D70" w:rsidRPr="00BE4F47" w:rsidRDefault="00000000" w:rsidP="008E113B">
      <w:pPr>
        <w:spacing w:after="130" w:line="360" w:lineRule="auto"/>
        <w:ind w:left="360"/>
        <w:rPr>
          <w:rFonts w:ascii="Aptos" w:hAnsi="Aptos"/>
        </w:rPr>
      </w:pPr>
      <w:bookmarkStart w:id="4" w:name="_Toc241082761"/>
      <w:r w:rsidRPr="00BE4F47">
        <w:rPr>
          <w:rFonts w:ascii="Aptos" w:eastAsia="Calibri" w:hAnsi="Aptos" w:cs="Calibri"/>
          <w:color w:val="1A1A19"/>
          <w:sz w:val="20"/>
          <w:szCs w:val="20"/>
        </w:rPr>
        <w:t xml:space="preserve">L’objectif directeur est de démontrer, sur un prototype vérifié et validé, qu’un jumeau numérique peut détecter une dérive sur trois variables de procédé, exprimer son niveau de confiance, et déclarer explicitement son incertitude, </w:t>
      </w:r>
      <w:proofErr w:type="gramStart"/>
      <w:r w:rsidRPr="00BE4F47">
        <w:rPr>
          <w:rFonts w:ascii="Aptos" w:eastAsia="Calibri" w:hAnsi="Aptos" w:cs="Calibri"/>
          <w:color w:val="1A1A19"/>
          <w:sz w:val="20"/>
          <w:szCs w:val="20"/>
        </w:rPr>
        <w:t>la décision demeurant</w:t>
      </w:r>
      <w:proofErr w:type="gramEnd"/>
      <w:r w:rsidRPr="00BE4F47">
        <w:rPr>
          <w:rFonts w:ascii="Aptos" w:eastAsia="Calibri" w:hAnsi="Aptos" w:cs="Calibri"/>
          <w:color w:val="1A1A19"/>
          <w:sz w:val="20"/>
          <w:szCs w:val="20"/>
        </w:rPr>
        <w:t xml:space="preserve"> celle de l’opérateur.</w:t>
      </w:r>
      <w:bookmarkEnd w:id="4"/>
    </w:p>
    <w:p w14:paraId="4EC7FC69" w14:textId="77777777" w:rsidR="00F50D70" w:rsidRPr="00BE4F47" w:rsidRDefault="00000000" w:rsidP="008E113B">
      <w:pPr>
        <w:spacing w:after="130" w:line="360" w:lineRule="auto"/>
        <w:ind w:left="360"/>
        <w:rPr>
          <w:rFonts w:ascii="Aptos" w:hAnsi="Aptos"/>
        </w:rPr>
      </w:pPr>
      <w:bookmarkStart w:id="5" w:name="_Toc241082762"/>
      <w:r w:rsidRPr="00BE4F47">
        <w:rPr>
          <w:rFonts w:ascii="Aptos" w:eastAsia="Calibri" w:hAnsi="Aptos" w:cs="Calibri"/>
          <w:color w:val="1A1A19"/>
          <w:sz w:val="20"/>
          <w:szCs w:val="20"/>
        </w:rPr>
        <w:t>L’impact principal du projet est la protection du public. Les scénarios dangereux sont étudiés sur un modèle plutôt que sur une installation, et le système annonce ses limites au lieu de présenter un état incertain comme normal. Cet impact est détaillé à la section 7.</w:t>
      </w:r>
      <w:bookmarkEnd w:id="5"/>
    </w:p>
    <w:p w14:paraId="692B1B17" w14:textId="77777777" w:rsidR="00F50D70" w:rsidRPr="00BE4F47" w:rsidRDefault="00000000" w:rsidP="008E113B">
      <w:pPr>
        <w:spacing w:after="130" w:line="360" w:lineRule="auto"/>
        <w:ind w:left="360"/>
        <w:rPr>
          <w:rFonts w:ascii="Aptos" w:hAnsi="Aptos"/>
        </w:rPr>
      </w:pPr>
      <w:bookmarkStart w:id="6" w:name="_Toc241082763"/>
      <w:r w:rsidRPr="00BE4F47">
        <w:rPr>
          <w:rFonts w:ascii="Aptos" w:eastAsia="Calibri" w:hAnsi="Aptos" w:cs="Calibri"/>
          <w:color w:val="1A1A19"/>
          <w:sz w:val="20"/>
          <w:szCs w:val="20"/>
        </w:rPr>
        <w:t>Le mandat mobilise huit ingénieurs pour 1 080 heures. Le coût du mandat s’établit à 59 400 $, contingence de 10 % comprise. Le prix porté au bordereau est de 68 310 $, dont 8 910 $ de marge bénéficiaire. L’estimation est de classe 5 au sens de l’AACE, avec la fourchette que cette classe implique.</w:t>
      </w:r>
      <w:bookmarkEnd w:id="6"/>
    </w:p>
    <w:p w14:paraId="35BB1E1E" w14:textId="77777777" w:rsidR="00F50D70" w:rsidRPr="00BE4F47" w:rsidRDefault="00000000" w:rsidP="008E113B">
      <w:pPr>
        <w:spacing w:after="130" w:line="360" w:lineRule="auto"/>
        <w:ind w:left="360"/>
        <w:rPr>
          <w:rFonts w:ascii="Aptos" w:hAnsi="Aptos"/>
        </w:rPr>
      </w:pPr>
      <w:bookmarkStart w:id="7" w:name="_Toc241082764"/>
      <w:r w:rsidRPr="00BE4F47">
        <w:rPr>
          <w:rFonts w:ascii="Aptos" w:eastAsia="Calibri" w:hAnsi="Aptos" w:cs="Calibri"/>
          <w:color w:val="1A1A19"/>
          <w:sz w:val="20"/>
          <w:szCs w:val="20"/>
        </w:rPr>
        <w:t>L’équipe formule trois recommandations. Accepter le mandat dans le périmètre défini à la section 1. Conserver un banc d’essai numérique plutôt qu’une boucle physique, un banc physique faisant basculer le projet dans une autre classe de budget. Maintenir les activités de vérification et de validation avant toute réduction de contenu si les ressources deviennent insuffisantes.</w:t>
      </w:r>
      <w:bookmarkEnd w:id="7"/>
    </w:p>
    <w:p w14:paraId="667F39CA" w14:textId="77777777" w:rsidR="00F50D70" w:rsidRPr="00136F18" w:rsidRDefault="00000000" w:rsidP="008E113B">
      <w:pPr>
        <w:spacing w:after="130" w:line="360" w:lineRule="auto"/>
        <w:ind w:left="360"/>
        <w:rPr>
          <w:rFonts w:ascii="Aptos" w:hAnsi="Aptos"/>
        </w:rPr>
      </w:pPr>
      <w:bookmarkStart w:id="8" w:name="_Toc241082765"/>
      <w:r w:rsidRPr="00BE4F47">
        <w:rPr>
          <w:rFonts w:ascii="Aptos" w:eastAsia="Calibri" w:hAnsi="Aptos" w:cs="Calibri"/>
          <w:color w:val="1A1A19"/>
          <w:sz w:val="20"/>
          <w:szCs w:val="20"/>
        </w:rPr>
        <w:t>Le projet est jugé faisable dans l’enveloppe de 1 080 heures, à trois conditions : le gel des exigences au jalon J1, le maintien de l’effectif de huit membres, et l’acceptation par le client du domaine de validité annoncé à la section 2.</w:t>
      </w:r>
      <w:bookmarkEnd w:id="8"/>
    </w:p>
    <w:p w14:paraId="39D8F2DE" w14:textId="77777777" w:rsidR="00F50D70" w:rsidRPr="00BE4F47" w:rsidRDefault="00F50D70" w:rsidP="008E113B">
      <w:pPr>
        <w:spacing w:line="360" w:lineRule="auto"/>
        <w:rPr>
          <w:rFonts w:ascii="Aptos" w:eastAsia="Times New Roman" w:hAnsi="Aptos" w:cs="Times New Roman"/>
          <w:b/>
          <w:bCs/>
          <w:kern w:val="2"/>
          <w:sz w:val="24"/>
          <w:szCs w:val="24"/>
          <w:lang w:val="fr-FR" w:eastAsia="en-US"/>
        </w:rPr>
      </w:pPr>
    </w:p>
    <w:p w14:paraId="52EA0B7C" w14:textId="77777777" w:rsidR="00F50D70" w:rsidRPr="00BE4F47" w:rsidRDefault="00000000" w:rsidP="008E113B">
      <w:pPr>
        <w:pStyle w:val="Sous-titre"/>
        <w:pBdr>
          <w:bottom w:val="nil"/>
        </w:pBdr>
        <w:spacing w:line="360" w:lineRule="auto"/>
        <w:rPr>
          <w:rFonts w:ascii="Aptos" w:eastAsia="Arial" w:hAnsi="Aptos"/>
          <w:sz w:val="24"/>
        </w:rPr>
      </w:pPr>
      <w:r w:rsidRPr="00BE4F47">
        <w:rPr>
          <w:rFonts w:ascii="Aptos" w:eastAsia="Arial" w:hAnsi="Aptos"/>
          <w:sz w:val="24"/>
        </w:rPr>
        <w:t xml:space="preserve"> </w:t>
      </w:r>
      <w:r w:rsidRPr="00BE4F47">
        <w:rPr>
          <w:rFonts w:ascii="Aptos" w:hAnsi="Aptos"/>
        </w:rPr>
        <w:br w:type="page"/>
      </w:r>
    </w:p>
    <w:p w14:paraId="77C76FE8" w14:textId="77777777" w:rsidR="00F50D70" w:rsidRPr="00BE4F47" w:rsidRDefault="00F50D70" w:rsidP="008E113B">
      <w:pPr>
        <w:spacing w:line="360" w:lineRule="auto"/>
        <w:ind w:left="0"/>
        <w:outlineLvl w:val="9"/>
        <w:rPr>
          <w:rFonts w:ascii="Aptos" w:hAnsi="Aptos"/>
          <w:sz w:val="24"/>
        </w:rPr>
      </w:pPr>
    </w:p>
    <w:p w14:paraId="391D0BA5" w14:textId="77777777" w:rsidR="00F50D70" w:rsidRPr="00BE4F47" w:rsidRDefault="00000000" w:rsidP="008E113B">
      <w:pPr>
        <w:pStyle w:val="Titre1"/>
        <w:spacing w:line="360" w:lineRule="auto"/>
        <w:rPr>
          <w:rFonts w:ascii="Aptos" w:hAnsi="Aptos"/>
        </w:rPr>
      </w:pPr>
      <w:bookmarkStart w:id="9" w:name="__RefHeading___Toc240715054"/>
      <w:bookmarkStart w:id="10" w:name="_Toc241082766"/>
      <w:bookmarkEnd w:id="9"/>
      <w:r w:rsidRPr="00BE4F47">
        <w:rPr>
          <w:rFonts w:ascii="Aptos" w:hAnsi="Aptos"/>
        </w:rPr>
        <w:t>Analyse des besoins du client et des exigences des différents intervenants</w:t>
      </w:r>
      <w:bookmarkEnd w:id="10"/>
    </w:p>
    <w:p w14:paraId="2A54963B" w14:textId="77777777" w:rsidR="00F50D70" w:rsidRPr="00BE4F47" w:rsidRDefault="00000000" w:rsidP="008E113B">
      <w:pPr>
        <w:spacing w:after="130" w:line="360" w:lineRule="auto"/>
        <w:ind w:left="360"/>
        <w:rPr>
          <w:rFonts w:ascii="Aptos" w:hAnsi="Aptos"/>
        </w:rPr>
      </w:pPr>
      <w:bookmarkStart w:id="11" w:name="_Toc241082767"/>
      <w:r w:rsidRPr="00BE4F47">
        <w:rPr>
          <w:rFonts w:ascii="Aptos" w:eastAsia="Calibri" w:hAnsi="Aptos" w:cs="Calibri"/>
          <w:color w:val="1A1A19"/>
          <w:sz w:val="20"/>
          <w:szCs w:val="20"/>
        </w:rPr>
        <w:t>Cette première section établit ce à quoi le système doit répondre. Elle part du contexte et du client, remonte aux besoins de chaque partie prenante, puis les traduit en exigences vérifiables qui servent de référence à tout le document.</w:t>
      </w:r>
      <w:bookmarkEnd w:id="11"/>
    </w:p>
    <w:p w14:paraId="0A140E62" w14:textId="77777777" w:rsidR="00F50D70" w:rsidRPr="00BE4F47" w:rsidRDefault="00000000" w:rsidP="008E113B">
      <w:pPr>
        <w:pStyle w:val="Titre2"/>
        <w:spacing w:line="360" w:lineRule="auto"/>
        <w:rPr>
          <w:rFonts w:ascii="Aptos" w:hAnsi="Aptos"/>
        </w:rPr>
      </w:pPr>
      <w:bookmarkStart w:id="12" w:name="__RefHeading___Toc240715055"/>
      <w:bookmarkStart w:id="13" w:name="_Toc241082768"/>
      <w:bookmarkEnd w:id="12"/>
      <w:r w:rsidRPr="00BE4F47">
        <w:rPr>
          <w:rFonts w:ascii="Aptos" w:hAnsi="Aptos"/>
        </w:rPr>
        <w:t>Contexte et mandat</w:t>
      </w:r>
      <w:bookmarkEnd w:id="13"/>
    </w:p>
    <w:p w14:paraId="3E787AE0" w14:textId="77777777" w:rsidR="00F50D70" w:rsidRPr="00BE4F47" w:rsidRDefault="00000000" w:rsidP="008E113B">
      <w:pPr>
        <w:spacing w:after="130" w:line="360" w:lineRule="auto"/>
        <w:ind w:left="360"/>
        <w:rPr>
          <w:rFonts w:ascii="Aptos" w:hAnsi="Aptos"/>
        </w:rPr>
      </w:pPr>
      <w:bookmarkStart w:id="14" w:name="_Toc241082769"/>
      <w:r w:rsidRPr="00BE4F47">
        <w:rPr>
          <w:rFonts w:ascii="Aptos" w:eastAsia="Calibri" w:hAnsi="Aptos" w:cs="Calibri"/>
          <w:color w:val="1A1A19"/>
          <w:sz w:val="20"/>
          <w:szCs w:val="20"/>
        </w:rPr>
        <w:t>Le projet repose sur un scénario fictif construit pour les besoins du cours. Dans ce scénario, Hydro-Québec, agissant comme client fictif, envisage la remise en service de la centrale Gentilly-2. Ni le mandat ni les travaux décrits dans ce document ne correspondent à un projet réel de l’entreprise.</w:t>
      </w:r>
      <w:bookmarkEnd w:id="14"/>
    </w:p>
    <w:p w14:paraId="2F0EC2D6" w14:textId="77777777" w:rsidR="00F50D70" w:rsidRPr="00BE4F47" w:rsidRDefault="00000000" w:rsidP="008E113B">
      <w:pPr>
        <w:spacing w:after="130" w:line="360" w:lineRule="auto"/>
        <w:ind w:left="360"/>
        <w:rPr>
          <w:rFonts w:ascii="Aptos" w:hAnsi="Aptos"/>
        </w:rPr>
      </w:pPr>
      <w:bookmarkStart w:id="15" w:name="_Toc241082770"/>
      <w:r w:rsidRPr="00BE4F47">
        <w:rPr>
          <w:rFonts w:ascii="Aptos" w:eastAsia="Calibri" w:hAnsi="Aptos" w:cs="Calibri"/>
          <w:color w:val="1A1A19"/>
          <w:sz w:val="20"/>
          <w:szCs w:val="20"/>
        </w:rPr>
        <w:t>Après une longue période d’arrêt, une remise en service soulèverait plusieurs questions sur le comportement des systèmes de la centrale dans différentes conditions de fonctionnement. Certains scénarios de défaillance sont difficiles ou risqués à reproduire directement sur une installation réelle. Le client a donc besoin d’un moyen permettant de les étudier sans exposer les équipements, les travailleurs ou le public.</w:t>
      </w:r>
      <w:bookmarkEnd w:id="15"/>
    </w:p>
    <w:p w14:paraId="64554EF3" w14:textId="77777777" w:rsidR="00F50D70" w:rsidRPr="00BE4F47" w:rsidRDefault="00000000" w:rsidP="008E113B">
      <w:pPr>
        <w:spacing w:line="360" w:lineRule="auto"/>
        <w:ind w:left="360"/>
        <w:rPr>
          <w:rFonts w:ascii="Aptos" w:hAnsi="Aptos"/>
        </w:rPr>
      </w:pPr>
      <w:bookmarkStart w:id="16" w:name="_Toc241082771"/>
      <w:r w:rsidRPr="00BE4F47">
        <w:rPr>
          <w:rFonts w:ascii="Aptos" w:eastAsia="Calibri" w:hAnsi="Aptos" w:cs="Calibri"/>
          <w:color w:val="1A1A19"/>
          <w:sz w:val="20"/>
          <w:szCs w:val="20"/>
        </w:rPr>
        <w:t xml:space="preserve">Le projet porte plus précisément sur une boucle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simplifiée, inspirée du système de refroidissement de la centrale. L’objectif n’est pas de reproduire l’ensemble de Gentilly-2, mais de disposer d’un système suffisamment représentatif pour étudier différents états de fonctionnement et observer l’évolution de trois paramètres : la température, la pression et le débit</w:t>
      </w:r>
      <w:bookmarkEnd w:id="16"/>
    </w:p>
    <w:p w14:paraId="37C2BDDC" w14:textId="77777777" w:rsidR="00F50D70" w:rsidRPr="00BE4F47" w:rsidRDefault="00000000" w:rsidP="008E113B">
      <w:pPr>
        <w:pStyle w:val="Titre2"/>
        <w:spacing w:line="360" w:lineRule="auto"/>
        <w:rPr>
          <w:rFonts w:ascii="Aptos" w:hAnsi="Aptos"/>
        </w:rPr>
      </w:pPr>
      <w:bookmarkStart w:id="17" w:name="_Toc241082772"/>
      <w:r w:rsidRPr="00BE4F47">
        <w:rPr>
          <w:rFonts w:ascii="Aptos" w:hAnsi="Aptos"/>
        </w:rPr>
        <w:t>Ampleur du projet</w:t>
      </w:r>
      <w:bookmarkEnd w:id="17"/>
    </w:p>
    <w:p w14:paraId="44FA64E2" w14:textId="77777777" w:rsidR="00F50D70" w:rsidRPr="00BE4F47" w:rsidRDefault="00000000" w:rsidP="008E113B">
      <w:pPr>
        <w:spacing w:after="130" w:line="360" w:lineRule="auto"/>
        <w:ind w:left="360"/>
        <w:rPr>
          <w:rFonts w:ascii="Aptos" w:hAnsi="Aptos"/>
        </w:rPr>
      </w:pPr>
      <w:bookmarkStart w:id="18" w:name="_Toc241082773"/>
      <w:r w:rsidRPr="00BE4F47">
        <w:rPr>
          <w:rFonts w:ascii="Aptos" w:eastAsia="Calibri" w:hAnsi="Aptos" w:cs="Calibri"/>
          <w:color w:val="1A1A19"/>
          <w:sz w:val="20"/>
          <w:szCs w:val="20"/>
        </w:rPr>
        <w:t xml:space="preserve">Le projet est de complexité moyenne à </w:t>
      </w:r>
      <w:proofErr w:type="spellStart"/>
      <w:r w:rsidRPr="00BE4F47">
        <w:rPr>
          <w:rFonts w:ascii="Aptos" w:eastAsia="Calibri" w:hAnsi="Aptos" w:cs="Calibri"/>
          <w:color w:val="1A1A19"/>
          <w:sz w:val="20"/>
          <w:szCs w:val="20"/>
        </w:rPr>
        <w:t>élevée</w:t>
      </w:r>
      <w:proofErr w:type="spellEnd"/>
      <w:r w:rsidRPr="00BE4F47">
        <w:rPr>
          <w:rFonts w:ascii="Aptos" w:eastAsia="Calibri" w:hAnsi="Aptos" w:cs="Calibri"/>
          <w:color w:val="1A1A19"/>
          <w:sz w:val="20"/>
          <w:szCs w:val="20"/>
        </w:rPr>
        <w:t xml:space="preserve"> pour une équipe de premier cycle. Trois facteurs l’établissent.</w:t>
      </w:r>
      <w:bookmarkEnd w:id="18"/>
    </w:p>
    <w:p w14:paraId="54FD0246"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 xml:space="preserve">La complexité de contenu. Le prototype réunit cinq disciplines qui doivent s’accorder : </w:t>
      </w:r>
      <w:proofErr w:type="spellStart"/>
      <w:r w:rsidRPr="00BE4F47">
        <w:rPr>
          <w:rFonts w:ascii="Aptos" w:hAnsi="Aptos" w:cs="Calibri"/>
          <w:color w:val="1A1A19"/>
          <w:sz w:val="20"/>
          <w:szCs w:val="20"/>
          <w:lang w:val="fr-FR"/>
        </w:rPr>
        <w:t>thermohydraulique</w:t>
      </w:r>
      <w:proofErr w:type="spellEnd"/>
      <w:r w:rsidRPr="00BE4F47">
        <w:rPr>
          <w:rFonts w:ascii="Aptos" w:hAnsi="Aptos" w:cs="Calibri"/>
          <w:color w:val="1A1A19"/>
          <w:sz w:val="20"/>
          <w:szCs w:val="20"/>
          <w:lang w:val="fr-FR"/>
        </w:rPr>
        <w:t xml:space="preserve"> pour le modèle, génie logiciel pour le noyau de simulation, statistique pour la détection et l’incertitude, facteurs humains pour l’interface, et cybersécurité pour l’architecture. Aucune de ces disciplines n’est optionnelle, et un défaut dans l’une invalide le résultat des autres.</w:t>
      </w:r>
    </w:p>
    <w:p w14:paraId="094D1EE9"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La complexité d’organisation. Huit personnes produisent onze sections d’un même document et un prototype unique, en parallèle de cinq autres cours. La coordination consomme un lot de travail complet, le lot L1.</w:t>
      </w:r>
    </w:p>
    <w:p w14:paraId="6EA77E33"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La complexité de validation. Le système de référence auquel le jumeau est comparé est lui-même un modèle numérique, faute de banc physique. La démonstration porte donc sur la cohérence entre deux modèles, pas sur la conformité à une mesure réelle. Cette limite est assumée et documentée.</w:t>
      </w:r>
    </w:p>
    <w:p w14:paraId="2AA15527" w14:textId="77777777" w:rsidR="00F50D70" w:rsidRPr="00BE4F47" w:rsidRDefault="00000000" w:rsidP="008E113B">
      <w:pPr>
        <w:spacing w:after="130" w:line="360" w:lineRule="auto"/>
        <w:ind w:left="360"/>
        <w:rPr>
          <w:rFonts w:ascii="Aptos" w:hAnsi="Aptos"/>
        </w:rPr>
      </w:pPr>
      <w:bookmarkStart w:id="19" w:name="_Toc241082774"/>
      <w:r w:rsidRPr="00BE4F47">
        <w:rPr>
          <w:rFonts w:ascii="Aptos" w:eastAsia="Calibri" w:hAnsi="Aptos" w:cs="Calibri"/>
          <w:color w:val="1A1A19"/>
          <w:sz w:val="20"/>
          <w:szCs w:val="20"/>
        </w:rPr>
        <w:lastRenderedPageBreak/>
        <w:t>L’évolution attendue est incrémentale. Les phases P0 à P2 fixent les exigences et l’architecture en cascade, parce qu’un changement d’exigence après le début du développement coûte plus cher que le gel. La phase P3 procède ensuite par trois itérations de deux semaines, chacune close par une démonstration d’un produit en état de fonctionner. Le périmètre technique peut se réduire entre deux itérations, jamais s’étendre.</w:t>
      </w:r>
      <w:bookmarkEnd w:id="19"/>
    </w:p>
    <w:p w14:paraId="0A4C7EEE" w14:textId="77777777" w:rsidR="00F50D70" w:rsidRPr="00BE4F47" w:rsidRDefault="00F50D70" w:rsidP="008E113B">
      <w:pPr>
        <w:spacing w:line="360" w:lineRule="auto"/>
        <w:ind w:left="360"/>
        <w:rPr>
          <w:rFonts w:ascii="Aptos" w:eastAsia="Calibri" w:hAnsi="Aptos" w:cs="Calibri"/>
          <w:color w:val="1A1A19"/>
          <w:sz w:val="20"/>
          <w:szCs w:val="20"/>
        </w:rPr>
      </w:pPr>
    </w:p>
    <w:p w14:paraId="33AE280F" w14:textId="77777777" w:rsidR="00F50D70" w:rsidRPr="00BE4F47" w:rsidRDefault="00000000" w:rsidP="008E113B">
      <w:pPr>
        <w:pStyle w:val="Titre2"/>
        <w:spacing w:line="360" w:lineRule="auto"/>
        <w:rPr>
          <w:rFonts w:ascii="Aptos" w:hAnsi="Aptos"/>
        </w:rPr>
      </w:pPr>
      <w:bookmarkStart w:id="20" w:name="__RefHeading___Toc240715059"/>
      <w:bookmarkStart w:id="21" w:name="_Toc241082776"/>
      <w:bookmarkEnd w:id="20"/>
      <w:r w:rsidRPr="00BE4F47">
        <w:rPr>
          <w:rFonts w:ascii="Aptos" w:hAnsi="Aptos"/>
        </w:rPr>
        <w:t>Parties prenantes</w:t>
      </w:r>
      <w:bookmarkEnd w:id="21"/>
    </w:p>
    <w:p w14:paraId="3B4398BF" w14:textId="77777777" w:rsidR="00F50D70" w:rsidRPr="00BE4F47" w:rsidRDefault="00000000" w:rsidP="008E113B">
      <w:pPr>
        <w:spacing w:line="360" w:lineRule="auto"/>
        <w:ind w:left="425"/>
        <w:rPr>
          <w:rFonts w:ascii="Aptos" w:hAnsi="Aptos"/>
        </w:rPr>
      </w:pPr>
      <w:bookmarkStart w:id="22" w:name="_Toc241082777"/>
      <w:r w:rsidRPr="00BE4F47">
        <w:rPr>
          <w:rFonts w:ascii="Aptos" w:eastAsia="Calibri" w:hAnsi="Aptos" w:cs="Calibri"/>
          <w:color w:val="1A1A19"/>
          <w:sz w:val="20"/>
          <w:szCs w:val="20"/>
        </w:rPr>
        <w:t>Cinq groupes de parties prenantes sont retenus. Chacun porte une attente distincte, qui se traduit par une contrainte précise sur le système. Le tableau 1-1 établit ce lien et renvoie aux exigences du registre de la section 1.7.</w:t>
      </w:r>
      <w:bookmarkEnd w:id="22"/>
    </w:p>
    <w:p w14:paraId="2B47B44D" w14:textId="77777777" w:rsidR="00F50D70" w:rsidRPr="00BE4F47" w:rsidRDefault="00000000" w:rsidP="008E113B">
      <w:pPr>
        <w:pStyle w:val="Lgende"/>
        <w:spacing w:line="360" w:lineRule="auto"/>
        <w:rPr>
          <w:rFonts w:ascii="Aptos" w:hAnsi="Aptos"/>
        </w:rPr>
      </w:pPr>
      <w:bookmarkStart w:id="23" w:name="_Toc241082778"/>
      <w:r w:rsidRPr="00BE4F47">
        <w:rPr>
          <w:rFonts w:ascii="Aptos" w:hAnsi="Aptos"/>
        </w:rPr>
        <w:t>Tableau 1-1. Parties prenantes, attentes et conséquences pour le système</w:t>
      </w:r>
      <w:bookmarkEnd w:id="23"/>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737"/>
        <w:gridCol w:w="3017"/>
        <w:gridCol w:w="3803"/>
      </w:tblGrid>
      <w:tr w:rsidR="00F50D70" w:rsidRPr="00BE4F47" w14:paraId="123292EC" w14:textId="77777777" w:rsidTr="0036725C">
        <w:trPr>
          <w:trHeight w:val="227"/>
          <w:tblHeader/>
        </w:trPr>
        <w:tc>
          <w:tcPr>
            <w:tcW w:w="173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8DCAA7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Partie prenante</w:t>
            </w:r>
          </w:p>
        </w:tc>
        <w:tc>
          <w:tcPr>
            <w:tcW w:w="301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4837AE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Attente principale</w:t>
            </w:r>
          </w:p>
        </w:tc>
        <w:tc>
          <w:tcPr>
            <w:tcW w:w="380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30FDA3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pour le système</w:t>
            </w:r>
          </w:p>
        </w:tc>
      </w:tr>
      <w:tr w:rsidR="00F50D70" w:rsidRPr="00BE4F47" w14:paraId="7CF279DB" w14:textId="77777777">
        <w:trPr>
          <w:cantSplit/>
          <w:trHeight w:val="415"/>
        </w:trPr>
        <w:tc>
          <w:tcPr>
            <w:tcW w:w="1737" w:type="dxa"/>
            <w:tcBorders>
              <w:top w:val="single" w:sz="4" w:space="0" w:color="000000"/>
              <w:left w:val="single" w:sz="4" w:space="0" w:color="000000"/>
              <w:bottom w:val="single" w:sz="4" w:space="0" w:color="000000"/>
              <w:right w:val="single" w:sz="4" w:space="0" w:color="000000"/>
            </w:tcBorders>
          </w:tcPr>
          <w:p w14:paraId="393B2AA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Hydro-Québec (client fictif)</w:t>
            </w:r>
          </w:p>
        </w:tc>
        <w:tc>
          <w:tcPr>
            <w:tcW w:w="3017" w:type="dxa"/>
            <w:tcBorders>
              <w:top w:val="single" w:sz="4" w:space="0" w:color="000000"/>
              <w:left w:val="single" w:sz="4" w:space="0" w:color="000000"/>
              <w:bottom w:val="single" w:sz="4" w:space="0" w:color="000000"/>
              <w:right w:val="single" w:sz="4" w:space="0" w:color="000000"/>
            </w:tcBorders>
          </w:tcPr>
          <w:p w14:paraId="2DDFF4A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Étudier des scénarios de fonctionnement et de défaillance sans les provoquer sur l’installation.</w:t>
            </w:r>
          </w:p>
        </w:tc>
        <w:tc>
          <w:tcPr>
            <w:tcW w:w="3803" w:type="dxa"/>
            <w:tcBorders>
              <w:top w:val="single" w:sz="4" w:space="0" w:color="000000"/>
              <w:left w:val="single" w:sz="4" w:space="0" w:color="000000"/>
              <w:bottom w:val="single" w:sz="4" w:space="0" w:color="000000"/>
              <w:right w:val="single" w:sz="4" w:space="0" w:color="000000"/>
            </w:tcBorders>
          </w:tcPr>
          <w:p w14:paraId="03B9760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doit rejouer des scénarios de défaillance de façon reproductible (EX-F-02).</w:t>
            </w:r>
          </w:p>
        </w:tc>
      </w:tr>
      <w:tr w:rsidR="00F50D70" w:rsidRPr="00BE4F47" w14:paraId="0AB1884A" w14:textId="77777777">
        <w:trPr>
          <w:cantSplit/>
          <w:trHeight w:val="602"/>
        </w:trPr>
        <w:tc>
          <w:tcPr>
            <w:tcW w:w="1737" w:type="dxa"/>
            <w:tcBorders>
              <w:top w:val="single" w:sz="4" w:space="0" w:color="000000"/>
              <w:left w:val="single" w:sz="4" w:space="0" w:color="000000"/>
              <w:bottom w:val="single" w:sz="4" w:space="0" w:color="000000"/>
              <w:right w:val="single" w:sz="4" w:space="0" w:color="000000"/>
            </w:tcBorders>
          </w:tcPr>
          <w:p w14:paraId="7D39BC0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Ingénieurs et opérateurs</w:t>
            </w:r>
          </w:p>
        </w:tc>
        <w:tc>
          <w:tcPr>
            <w:tcW w:w="3017" w:type="dxa"/>
            <w:tcBorders>
              <w:top w:val="single" w:sz="4" w:space="0" w:color="000000"/>
              <w:left w:val="single" w:sz="4" w:space="0" w:color="000000"/>
              <w:bottom w:val="single" w:sz="4" w:space="0" w:color="000000"/>
              <w:right w:val="single" w:sz="4" w:space="0" w:color="000000"/>
            </w:tcBorders>
          </w:tcPr>
          <w:p w14:paraId="2AEFEB0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Comprendre pourquoi le système produit une recommandation, et </w:t>
            </w:r>
            <w:proofErr w:type="spellStart"/>
            <w:r w:rsidRPr="00BE4F47">
              <w:rPr>
                <w:rFonts w:ascii="Aptos" w:eastAsia="Calibri" w:hAnsi="Aptos" w:cs="Calibri"/>
                <w:color w:val="1A1A19"/>
                <w:sz w:val="16"/>
                <w:szCs w:val="16"/>
              </w:rPr>
              <w:t>non recevoir</w:t>
            </w:r>
            <w:proofErr w:type="spellEnd"/>
            <w:r w:rsidRPr="00BE4F47">
              <w:rPr>
                <w:rFonts w:ascii="Aptos" w:eastAsia="Calibri" w:hAnsi="Aptos" w:cs="Calibri"/>
                <w:color w:val="1A1A19"/>
                <w:sz w:val="16"/>
                <w:szCs w:val="16"/>
              </w:rPr>
              <w:t xml:space="preserve"> seulement un verdict.</w:t>
            </w:r>
          </w:p>
        </w:tc>
        <w:tc>
          <w:tcPr>
            <w:tcW w:w="3803" w:type="dxa"/>
            <w:tcBorders>
              <w:top w:val="single" w:sz="4" w:space="0" w:color="000000"/>
              <w:left w:val="single" w:sz="4" w:space="0" w:color="000000"/>
              <w:bottom w:val="single" w:sz="4" w:space="0" w:color="000000"/>
              <w:right w:val="single" w:sz="4" w:space="0" w:color="000000"/>
            </w:tcBorders>
          </w:tcPr>
          <w:p w14:paraId="51176CB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Affichage des variables ayant contribué à la détection (EX-F-05) et du niveau de confiance (EX-F-07).</w:t>
            </w:r>
          </w:p>
        </w:tc>
      </w:tr>
      <w:tr w:rsidR="00F50D70" w:rsidRPr="00BE4F47" w14:paraId="6B28534D" w14:textId="77777777">
        <w:trPr>
          <w:cantSplit/>
          <w:trHeight w:val="425"/>
        </w:trPr>
        <w:tc>
          <w:tcPr>
            <w:tcW w:w="1737" w:type="dxa"/>
            <w:tcBorders>
              <w:top w:val="single" w:sz="4" w:space="0" w:color="000000"/>
              <w:left w:val="single" w:sz="4" w:space="0" w:color="000000"/>
              <w:bottom w:val="single" w:sz="4" w:space="0" w:color="000000"/>
              <w:right w:val="single" w:sz="4" w:space="0" w:color="000000"/>
            </w:tcBorders>
          </w:tcPr>
          <w:p w14:paraId="57C6250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Responsables de la sûreté</w:t>
            </w:r>
          </w:p>
        </w:tc>
        <w:tc>
          <w:tcPr>
            <w:tcW w:w="3017" w:type="dxa"/>
            <w:tcBorders>
              <w:top w:val="single" w:sz="4" w:space="0" w:color="000000"/>
              <w:left w:val="single" w:sz="4" w:space="0" w:color="000000"/>
              <w:bottom w:val="single" w:sz="4" w:space="0" w:color="000000"/>
              <w:right w:val="single" w:sz="4" w:space="0" w:color="000000"/>
            </w:tcBorders>
          </w:tcPr>
          <w:p w14:paraId="67871C1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Connaître les limites du système et les cas où il peut se tromper.</w:t>
            </w:r>
          </w:p>
        </w:tc>
        <w:tc>
          <w:tcPr>
            <w:tcW w:w="3803" w:type="dxa"/>
            <w:tcBorders>
              <w:top w:val="single" w:sz="4" w:space="0" w:color="000000"/>
              <w:left w:val="single" w:sz="4" w:space="0" w:color="000000"/>
              <w:bottom w:val="single" w:sz="4" w:space="0" w:color="000000"/>
              <w:right w:val="single" w:sz="4" w:space="0" w:color="000000"/>
            </w:tcBorders>
          </w:tcPr>
          <w:p w14:paraId="454E629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 incertain » explicite en cas de données manquantes (EX-F-06) ; limites documentées (EX-C-01).</w:t>
            </w:r>
          </w:p>
        </w:tc>
      </w:tr>
      <w:tr w:rsidR="00F50D70" w:rsidRPr="00BE4F47" w14:paraId="5E1CE088" w14:textId="77777777">
        <w:trPr>
          <w:cantSplit/>
          <w:trHeight w:val="415"/>
        </w:trPr>
        <w:tc>
          <w:tcPr>
            <w:tcW w:w="1737" w:type="dxa"/>
            <w:tcBorders>
              <w:top w:val="single" w:sz="4" w:space="0" w:color="000000"/>
              <w:left w:val="single" w:sz="4" w:space="0" w:color="000000"/>
              <w:bottom w:val="single" w:sz="4" w:space="0" w:color="000000"/>
              <w:right w:val="single" w:sz="4" w:space="0" w:color="000000"/>
            </w:tcBorders>
          </w:tcPr>
          <w:p w14:paraId="0510B02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Autorités réglementaires (CCSN)</w:t>
            </w:r>
          </w:p>
        </w:tc>
        <w:tc>
          <w:tcPr>
            <w:tcW w:w="3017" w:type="dxa"/>
            <w:tcBorders>
              <w:top w:val="single" w:sz="4" w:space="0" w:color="000000"/>
              <w:left w:val="single" w:sz="4" w:space="0" w:color="000000"/>
              <w:bottom w:val="single" w:sz="4" w:space="0" w:color="000000"/>
              <w:right w:val="single" w:sz="4" w:space="0" w:color="000000"/>
            </w:tcBorders>
          </w:tcPr>
          <w:p w14:paraId="6C419EE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Traçabilité des données et gestion documentaire.</w:t>
            </w:r>
          </w:p>
        </w:tc>
        <w:tc>
          <w:tcPr>
            <w:tcW w:w="3803" w:type="dxa"/>
            <w:tcBorders>
              <w:top w:val="single" w:sz="4" w:space="0" w:color="000000"/>
              <w:left w:val="single" w:sz="4" w:space="0" w:color="000000"/>
              <w:bottom w:val="single" w:sz="4" w:space="0" w:color="000000"/>
              <w:right w:val="single" w:sz="4" w:space="0" w:color="000000"/>
            </w:tcBorders>
          </w:tcPr>
          <w:p w14:paraId="2C79F79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Journalisation horodatée de toute acquisition et de tout changement d’état (EX-F-10).</w:t>
            </w:r>
          </w:p>
        </w:tc>
      </w:tr>
      <w:tr w:rsidR="00F50D70" w:rsidRPr="00BE4F47" w14:paraId="16B4E455" w14:textId="77777777">
        <w:trPr>
          <w:cantSplit/>
          <w:trHeight w:val="602"/>
        </w:trPr>
        <w:tc>
          <w:tcPr>
            <w:tcW w:w="1737" w:type="dxa"/>
            <w:tcBorders>
              <w:top w:val="single" w:sz="4" w:space="0" w:color="000000"/>
              <w:left w:val="single" w:sz="4" w:space="0" w:color="000000"/>
              <w:bottom w:val="single" w:sz="4" w:space="0" w:color="000000"/>
              <w:right w:val="single" w:sz="4" w:space="0" w:color="000000"/>
            </w:tcBorders>
          </w:tcPr>
          <w:p w14:paraId="14DE987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Population et communautés</w:t>
            </w:r>
          </w:p>
        </w:tc>
        <w:tc>
          <w:tcPr>
            <w:tcW w:w="3017" w:type="dxa"/>
            <w:tcBorders>
              <w:top w:val="single" w:sz="4" w:space="0" w:color="000000"/>
              <w:left w:val="single" w:sz="4" w:space="0" w:color="000000"/>
              <w:bottom w:val="single" w:sz="4" w:space="0" w:color="000000"/>
              <w:right w:val="single" w:sz="4" w:space="0" w:color="000000"/>
            </w:tcBorders>
          </w:tcPr>
          <w:p w14:paraId="3A8C365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Confiance, transparence et responsabilité dans l’usage d’un outil numérique en contexte nucléaire.</w:t>
            </w:r>
          </w:p>
        </w:tc>
        <w:tc>
          <w:tcPr>
            <w:tcW w:w="3803" w:type="dxa"/>
            <w:tcBorders>
              <w:top w:val="single" w:sz="4" w:space="0" w:color="000000"/>
              <w:left w:val="single" w:sz="4" w:space="0" w:color="000000"/>
              <w:bottom w:val="single" w:sz="4" w:space="0" w:color="000000"/>
              <w:right w:val="single" w:sz="4" w:space="0" w:color="000000"/>
            </w:tcBorders>
          </w:tcPr>
          <w:p w14:paraId="300DA66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décision finale demeure humaine (EX-F-08) ; les enjeux sont traités au rapport final (EX-C-03).</w:t>
            </w:r>
          </w:p>
        </w:tc>
      </w:tr>
    </w:tbl>
    <w:p w14:paraId="34A8457B" w14:textId="77777777" w:rsidR="00F50D70" w:rsidRPr="00BE4F47" w:rsidRDefault="00F50D70" w:rsidP="008E113B">
      <w:pPr>
        <w:spacing w:line="360" w:lineRule="auto"/>
        <w:ind w:left="360"/>
        <w:rPr>
          <w:rFonts w:ascii="Aptos" w:hAnsi="Aptos"/>
        </w:rPr>
      </w:pPr>
    </w:p>
    <w:p w14:paraId="367E46CB" w14:textId="77777777" w:rsidR="00F50D70" w:rsidRPr="00BE4F47" w:rsidRDefault="00000000" w:rsidP="008E113B">
      <w:pPr>
        <w:pStyle w:val="Titre2"/>
        <w:spacing w:line="360" w:lineRule="auto"/>
        <w:rPr>
          <w:rFonts w:ascii="Aptos" w:hAnsi="Aptos"/>
        </w:rPr>
      </w:pPr>
      <w:bookmarkStart w:id="24" w:name="__RefHeading___Toc240715061"/>
      <w:bookmarkStart w:id="25" w:name="_Toc241082779"/>
      <w:bookmarkEnd w:id="24"/>
      <w:r w:rsidRPr="00BE4F47">
        <w:rPr>
          <w:rFonts w:ascii="Aptos" w:hAnsi="Aptos"/>
        </w:rPr>
        <w:t>Besoins et douleurs</w:t>
      </w:r>
      <w:bookmarkEnd w:id="25"/>
    </w:p>
    <w:p w14:paraId="256E9BAF" w14:textId="77777777" w:rsidR="00F50D70" w:rsidRPr="00BE4F47" w:rsidRDefault="00000000" w:rsidP="008E113B">
      <w:pPr>
        <w:spacing w:after="130" w:line="360" w:lineRule="auto"/>
        <w:ind w:left="360"/>
        <w:rPr>
          <w:rFonts w:ascii="Aptos" w:hAnsi="Aptos"/>
        </w:rPr>
      </w:pPr>
      <w:bookmarkStart w:id="26" w:name="_Toc241082780"/>
      <w:r w:rsidRPr="00BE4F47">
        <w:rPr>
          <w:rFonts w:ascii="Aptos" w:eastAsia="Calibri" w:hAnsi="Aptos" w:cs="Calibri"/>
          <w:color w:val="1A1A19"/>
          <w:sz w:val="20"/>
          <w:szCs w:val="20"/>
        </w:rPr>
        <w:t>Pour le client, le besoin principal est de pouvoir tester et analyser différents scénarios de fonctionnement ou de défaillance sans avoir à les provoquer sur l’installation. Il doit également pouvoir déterminer dans quelles conditions les informations produites par le système numérique sont suffisamment fiables pour servir d’aide à la décision.</w:t>
      </w:r>
      <w:bookmarkEnd w:id="26"/>
    </w:p>
    <w:p w14:paraId="1F575C6C" w14:textId="77777777" w:rsidR="00F50D70" w:rsidRPr="00BE4F47" w:rsidRDefault="00000000" w:rsidP="008E113B">
      <w:pPr>
        <w:spacing w:after="130" w:line="360" w:lineRule="auto"/>
        <w:ind w:left="360"/>
        <w:rPr>
          <w:rFonts w:ascii="Aptos" w:hAnsi="Aptos"/>
        </w:rPr>
      </w:pPr>
      <w:bookmarkStart w:id="27" w:name="_Toc241082781"/>
      <w:r w:rsidRPr="00BE4F47">
        <w:rPr>
          <w:rFonts w:ascii="Aptos" w:eastAsia="Calibri" w:hAnsi="Aptos" w:cs="Calibri"/>
          <w:color w:val="1A1A19"/>
          <w:sz w:val="20"/>
          <w:szCs w:val="20"/>
        </w:rPr>
        <w:t>Les ingénieurs et les opérateurs ne doivent pas recevoir seulement une indication « normale » ou « anormale ». Ils doivent pouvoir comprendre pourquoi le système produit une recommandation, observer les variables qui ont mené à cette conclusion, et être informés lorsque les données disponibles ne permettent pas d’obtenir un résultat fiable. La décision finale reste sous leur responsabilité : le système n’a pas pour fonction de commander l’installation.</w:t>
      </w:r>
      <w:bookmarkEnd w:id="27"/>
    </w:p>
    <w:p w14:paraId="75815886" w14:textId="77777777" w:rsidR="00F50D70" w:rsidRPr="00BE4F47" w:rsidRDefault="00000000" w:rsidP="008E113B">
      <w:pPr>
        <w:spacing w:after="130" w:line="360" w:lineRule="auto"/>
        <w:ind w:left="360"/>
        <w:rPr>
          <w:rFonts w:ascii="Aptos" w:hAnsi="Aptos"/>
        </w:rPr>
      </w:pPr>
      <w:bookmarkStart w:id="28" w:name="_Toc241082782"/>
      <w:r w:rsidRPr="00BE4F47">
        <w:rPr>
          <w:rFonts w:ascii="Aptos" w:eastAsia="Calibri" w:hAnsi="Aptos" w:cs="Calibri"/>
          <w:color w:val="1A1A19"/>
          <w:sz w:val="20"/>
          <w:szCs w:val="20"/>
        </w:rPr>
        <w:lastRenderedPageBreak/>
        <w:t>Du point de vue de la sûreté, il est nécessaire de connaître les limites du système. Trois situations demandent une attention particulière : une anomalie réelle non détectée, un capteur qui fournit une information erronée, et l’indisponibilité de données au moment où l’opérateur s’attend à en disposer. Dans ces trois cas, le système doit signaler l’incertitude plutôt que de présenter l’état de l’installation comme normal.</w:t>
      </w:r>
      <w:bookmarkEnd w:id="28"/>
    </w:p>
    <w:p w14:paraId="7E2DFCD8" w14:textId="77777777" w:rsidR="00006655" w:rsidRPr="00BE4F47" w:rsidRDefault="00000000" w:rsidP="008E113B">
      <w:pPr>
        <w:spacing w:after="130" w:line="360" w:lineRule="auto"/>
        <w:ind w:left="360"/>
        <w:rPr>
          <w:rFonts w:ascii="Aptos" w:hAnsi="Aptos"/>
        </w:rPr>
      </w:pPr>
      <w:bookmarkStart w:id="29" w:name="_Toc241082783"/>
      <w:r w:rsidRPr="00BE4F47">
        <w:rPr>
          <w:rFonts w:ascii="Aptos" w:eastAsia="Calibri" w:hAnsi="Aptos" w:cs="Calibri"/>
          <w:color w:val="1A1A19"/>
          <w:sz w:val="20"/>
          <w:szCs w:val="20"/>
        </w:rPr>
        <w:t>Enfin, la population et les communautés concernées par une éventuelle remise en service sont également parties prenantes. L’usage d’un outil numérique d’aide à la décision en contexte nucléaire soulève des questions de confiance, de transparence et de responsabilité. Le projet doit donc traiter non seulement les performances techniques du système, mais aussi les limites de son emploi et la place qui revient au jugement humain</w:t>
      </w:r>
      <w:bookmarkStart w:id="30" w:name="__RefHeading___Toc240715066"/>
      <w:bookmarkEnd w:id="30"/>
      <w:r w:rsidRPr="00BE4F47">
        <w:rPr>
          <w:rFonts w:ascii="Aptos" w:eastAsia="Calibri" w:hAnsi="Aptos" w:cs="Calibri"/>
          <w:color w:val="1A1A19"/>
          <w:sz w:val="20"/>
          <w:szCs w:val="20"/>
        </w:rPr>
        <w:t>.</w:t>
      </w:r>
      <w:bookmarkEnd w:id="29"/>
    </w:p>
    <w:p w14:paraId="4549E786" w14:textId="77777777" w:rsidR="00006655" w:rsidRPr="00BE4F47" w:rsidRDefault="00006655" w:rsidP="008E113B">
      <w:pPr>
        <w:spacing w:line="360" w:lineRule="auto"/>
        <w:rPr>
          <w:rFonts w:ascii="Aptos" w:hAnsi="Aptos"/>
        </w:rPr>
      </w:pPr>
    </w:p>
    <w:p w14:paraId="3F43DFAA" w14:textId="77777777" w:rsidR="00006655" w:rsidRPr="00BE4F47" w:rsidRDefault="00006655" w:rsidP="008E113B">
      <w:pPr>
        <w:spacing w:line="360" w:lineRule="auto"/>
        <w:rPr>
          <w:rFonts w:ascii="Aptos" w:hAnsi="Aptos"/>
        </w:rPr>
      </w:pPr>
    </w:p>
    <w:p w14:paraId="29E84A63" w14:textId="77777777" w:rsidR="00006655" w:rsidRPr="00BE4F47" w:rsidRDefault="00006655" w:rsidP="008E113B">
      <w:pPr>
        <w:spacing w:line="360" w:lineRule="auto"/>
        <w:rPr>
          <w:rFonts w:ascii="Aptos" w:hAnsi="Aptos"/>
        </w:rPr>
      </w:pPr>
    </w:p>
    <w:p w14:paraId="4F7A7255" w14:textId="77777777" w:rsidR="00006655" w:rsidRPr="00BE4F47" w:rsidRDefault="00006655" w:rsidP="008E113B">
      <w:pPr>
        <w:spacing w:line="360" w:lineRule="auto"/>
        <w:rPr>
          <w:rFonts w:ascii="Aptos" w:hAnsi="Aptos"/>
        </w:rPr>
      </w:pPr>
    </w:p>
    <w:p w14:paraId="278113D4" w14:textId="77777777" w:rsidR="00006655" w:rsidRPr="00BE4F47" w:rsidRDefault="00006655" w:rsidP="008E113B">
      <w:pPr>
        <w:spacing w:line="360" w:lineRule="auto"/>
        <w:rPr>
          <w:rFonts w:ascii="Aptos" w:hAnsi="Aptos"/>
        </w:rPr>
      </w:pPr>
    </w:p>
    <w:p w14:paraId="1DE2638A" w14:textId="77777777" w:rsidR="00006655" w:rsidRPr="00BE4F47" w:rsidRDefault="00006655" w:rsidP="008E113B">
      <w:pPr>
        <w:spacing w:line="360" w:lineRule="auto"/>
        <w:rPr>
          <w:rFonts w:ascii="Aptos" w:hAnsi="Aptos"/>
        </w:rPr>
      </w:pPr>
    </w:p>
    <w:p w14:paraId="11116F77" w14:textId="77777777" w:rsidR="00006655" w:rsidRPr="00BE4F47" w:rsidRDefault="00006655" w:rsidP="008E113B">
      <w:pPr>
        <w:spacing w:line="360" w:lineRule="auto"/>
        <w:rPr>
          <w:rFonts w:ascii="Aptos" w:hAnsi="Aptos"/>
        </w:rPr>
      </w:pPr>
    </w:p>
    <w:p w14:paraId="64EDE2E6" w14:textId="77777777" w:rsidR="00006655" w:rsidRPr="00BE4F47" w:rsidRDefault="00006655" w:rsidP="008E113B">
      <w:pPr>
        <w:spacing w:line="360" w:lineRule="auto"/>
        <w:rPr>
          <w:rFonts w:ascii="Aptos" w:hAnsi="Aptos"/>
        </w:rPr>
      </w:pPr>
    </w:p>
    <w:p w14:paraId="15267403" w14:textId="77777777" w:rsidR="00F50D70" w:rsidRPr="00BE4F47" w:rsidRDefault="00000000" w:rsidP="008E113B">
      <w:pPr>
        <w:pStyle w:val="Titre2"/>
        <w:spacing w:line="360" w:lineRule="auto"/>
        <w:rPr>
          <w:rFonts w:ascii="Aptos" w:hAnsi="Aptos"/>
        </w:rPr>
      </w:pPr>
      <w:bookmarkStart w:id="31" w:name="_Toc241082784"/>
      <w:r w:rsidRPr="00BE4F47">
        <w:rPr>
          <w:rFonts w:ascii="Aptos" w:hAnsi="Aptos"/>
        </w:rPr>
        <w:t>Objectif directeur et sous-objectifs</w:t>
      </w:r>
      <w:bookmarkEnd w:id="31"/>
    </w:p>
    <w:p w14:paraId="7F3D647D" w14:textId="77777777" w:rsidR="00F50D70" w:rsidRPr="00BE4F47" w:rsidRDefault="00000000" w:rsidP="008E113B">
      <w:pPr>
        <w:spacing w:after="130" w:line="360" w:lineRule="auto"/>
        <w:ind w:left="360"/>
        <w:rPr>
          <w:rFonts w:ascii="Aptos" w:hAnsi="Aptos"/>
        </w:rPr>
      </w:pPr>
      <w:bookmarkStart w:id="32" w:name="_Toc241082785"/>
      <w:r w:rsidRPr="00BE4F47">
        <w:rPr>
          <w:rFonts w:ascii="Aptos" w:eastAsia="Calibri" w:hAnsi="Aptos" w:cs="Calibri"/>
          <w:color w:val="1A1A19"/>
          <w:sz w:val="20"/>
          <w:szCs w:val="20"/>
        </w:rPr>
        <w:t>Les besoins ci-dessus se ramènent à un objectif unique et à cinq sous-objectifs, qui commandent le choix des normes de la section 6 et le découpage en lots de la section 8.</w:t>
      </w:r>
      <w:bookmarkEnd w:id="32"/>
    </w:p>
    <w:p w14:paraId="71450199" w14:textId="77777777" w:rsidR="00F50D70" w:rsidRPr="00BE4F47" w:rsidRDefault="00000000" w:rsidP="008E113B">
      <w:pPr>
        <w:spacing w:after="130" w:line="360" w:lineRule="auto"/>
        <w:ind w:left="360"/>
        <w:rPr>
          <w:rFonts w:ascii="Aptos" w:hAnsi="Aptos"/>
        </w:rPr>
      </w:pPr>
      <w:bookmarkStart w:id="33" w:name="_Toc241082786"/>
      <w:r w:rsidRPr="00BE4F47">
        <w:rPr>
          <w:rFonts w:ascii="Aptos" w:eastAsia="Calibri" w:hAnsi="Aptos" w:cs="Calibri"/>
          <w:b/>
          <w:color w:val="1A1A19"/>
          <w:sz w:val="20"/>
          <w:szCs w:val="20"/>
        </w:rPr>
        <w:t xml:space="preserve">Objectif directeur : démontrer, sur un prototype vérifié et validé, qu’un jumeau numérique d’une boucle </w:t>
      </w:r>
      <w:proofErr w:type="spellStart"/>
      <w:r w:rsidRPr="00BE4F47">
        <w:rPr>
          <w:rFonts w:ascii="Aptos" w:eastAsia="Calibri" w:hAnsi="Aptos" w:cs="Calibri"/>
          <w:b/>
          <w:color w:val="1A1A19"/>
          <w:sz w:val="20"/>
          <w:szCs w:val="20"/>
        </w:rPr>
        <w:t>thermohydraulique</w:t>
      </w:r>
      <w:proofErr w:type="spellEnd"/>
      <w:r w:rsidRPr="00BE4F47">
        <w:rPr>
          <w:rFonts w:ascii="Aptos" w:eastAsia="Calibri" w:hAnsi="Aptos" w:cs="Calibri"/>
          <w:b/>
          <w:color w:val="1A1A19"/>
          <w:sz w:val="20"/>
          <w:szCs w:val="20"/>
        </w:rPr>
        <w:t xml:space="preserve"> simplifiée peut détecter une dérive sur la température, la pression et le débit, exprimer le niveau de confiance associé à son résultat, et déclarer explicitement son incertitude lorsque les données ne permettent pas de conclure, </w:t>
      </w:r>
      <w:proofErr w:type="gramStart"/>
      <w:r w:rsidRPr="00BE4F47">
        <w:rPr>
          <w:rFonts w:ascii="Aptos" w:eastAsia="Calibri" w:hAnsi="Aptos" w:cs="Calibri"/>
          <w:b/>
          <w:color w:val="1A1A19"/>
          <w:sz w:val="20"/>
          <w:szCs w:val="20"/>
        </w:rPr>
        <w:t>la décision demeurant</w:t>
      </w:r>
      <w:proofErr w:type="gramEnd"/>
      <w:r w:rsidRPr="00BE4F47">
        <w:rPr>
          <w:rFonts w:ascii="Aptos" w:eastAsia="Calibri" w:hAnsi="Aptos" w:cs="Calibri"/>
          <w:b/>
          <w:color w:val="1A1A19"/>
          <w:sz w:val="20"/>
          <w:szCs w:val="20"/>
        </w:rPr>
        <w:t xml:space="preserve"> celle de l’opérateur.</w:t>
      </w:r>
      <w:bookmarkEnd w:id="33"/>
    </w:p>
    <w:p w14:paraId="7F5B43E3" w14:textId="77777777" w:rsidR="00F50D70" w:rsidRPr="00BE4F47" w:rsidRDefault="00000000" w:rsidP="008E113B">
      <w:pPr>
        <w:pStyle w:val="Lgende"/>
        <w:spacing w:line="360" w:lineRule="auto"/>
        <w:rPr>
          <w:rFonts w:ascii="Aptos" w:hAnsi="Aptos"/>
        </w:rPr>
      </w:pPr>
      <w:bookmarkStart w:id="34" w:name="_Toc241082787"/>
      <w:r w:rsidRPr="00BE4F47">
        <w:rPr>
          <w:rFonts w:ascii="Aptos" w:hAnsi="Aptos"/>
        </w:rPr>
        <w:t>Tableau 1-2. Sous-objectifs du projet et exigences correspondantes</w:t>
      </w:r>
      <w:bookmarkEnd w:id="34"/>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4000"/>
        <w:gridCol w:w="2300"/>
        <w:gridCol w:w="1557"/>
      </w:tblGrid>
      <w:tr w:rsidR="00F50D70" w:rsidRPr="00BE4F47" w14:paraId="20DD534F" w14:textId="77777777" w:rsidTr="0036725C">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B485EA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Réf.</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2647BB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Sous-objectif</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3EA30B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Exigences couvertes</w:t>
            </w:r>
          </w:p>
        </w:tc>
        <w:tc>
          <w:tcPr>
            <w:tcW w:w="15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A5B6FC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r>
      <w:tr w:rsidR="00F50D70" w:rsidRPr="00BE4F47" w14:paraId="5FAB821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5D1C1F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SO-1</w:t>
            </w:r>
          </w:p>
        </w:tc>
        <w:tc>
          <w:tcPr>
            <w:tcW w:w="4000" w:type="dxa"/>
            <w:tcBorders>
              <w:top w:val="single" w:sz="4" w:space="0" w:color="000000"/>
              <w:left w:val="single" w:sz="4" w:space="0" w:color="000000"/>
              <w:bottom w:val="single" w:sz="4" w:space="0" w:color="000000"/>
              <w:right w:val="single" w:sz="4" w:space="0" w:color="000000"/>
            </w:tcBorders>
          </w:tcPr>
          <w:p w14:paraId="3B0AC00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Disposer d’un modèle de la boucle et d’un modèle de référence indépendant, dont l’écart est quantifié.</w:t>
            </w:r>
          </w:p>
        </w:tc>
        <w:tc>
          <w:tcPr>
            <w:tcW w:w="2300" w:type="dxa"/>
            <w:tcBorders>
              <w:top w:val="single" w:sz="4" w:space="0" w:color="000000"/>
              <w:left w:val="single" w:sz="4" w:space="0" w:color="000000"/>
              <w:bottom w:val="single" w:sz="4" w:space="0" w:color="000000"/>
              <w:right w:val="single" w:sz="4" w:space="0" w:color="000000"/>
            </w:tcBorders>
          </w:tcPr>
          <w:p w14:paraId="267689B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EX-F-01, EX-Q-01</w:t>
            </w:r>
          </w:p>
        </w:tc>
        <w:tc>
          <w:tcPr>
            <w:tcW w:w="1557" w:type="dxa"/>
            <w:tcBorders>
              <w:top w:val="single" w:sz="4" w:space="0" w:color="000000"/>
              <w:left w:val="single" w:sz="4" w:space="0" w:color="000000"/>
              <w:bottom w:val="single" w:sz="4" w:space="0" w:color="000000"/>
              <w:right w:val="single" w:sz="4" w:space="0" w:color="000000"/>
            </w:tcBorders>
          </w:tcPr>
          <w:p w14:paraId="2C8E06E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L4</w:t>
            </w:r>
          </w:p>
        </w:tc>
      </w:tr>
      <w:tr w:rsidR="00F50D70" w:rsidRPr="00BE4F47" w14:paraId="4AB67A24"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51AA92B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SO-2</w:t>
            </w:r>
          </w:p>
        </w:tc>
        <w:tc>
          <w:tcPr>
            <w:tcW w:w="4000" w:type="dxa"/>
            <w:tcBorders>
              <w:top w:val="single" w:sz="4" w:space="0" w:color="000000"/>
              <w:left w:val="single" w:sz="4" w:space="0" w:color="000000"/>
              <w:bottom w:val="single" w:sz="4" w:space="0" w:color="000000"/>
              <w:right w:val="single" w:sz="4" w:space="0" w:color="000000"/>
            </w:tcBorders>
          </w:tcPr>
          <w:p w14:paraId="17CB083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Rejouer des scénarios de fonctionnement et de défaillance de façon reproductible.</w:t>
            </w:r>
          </w:p>
        </w:tc>
        <w:tc>
          <w:tcPr>
            <w:tcW w:w="2300" w:type="dxa"/>
            <w:tcBorders>
              <w:top w:val="single" w:sz="4" w:space="0" w:color="000000"/>
              <w:left w:val="single" w:sz="4" w:space="0" w:color="000000"/>
              <w:bottom w:val="single" w:sz="4" w:space="0" w:color="000000"/>
              <w:right w:val="single" w:sz="4" w:space="0" w:color="000000"/>
            </w:tcBorders>
          </w:tcPr>
          <w:p w14:paraId="6307E7D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EX-F-02, EX-F-03, EX-Q-05</w:t>
            </w:r>
          </w:p>
        </w:tc>
        <w:tc>
          <w:tcPr>
            <w:tcW w:w="1557" w:type="dxa"/>
            <w:tcBorders>
              <w:top w:val="single" w:sz="4" w:space="0" w:color="000000"/>
              <w:left w:val="single" w:sz="4" w:space="0" w:color="000000"/>
              <w:bottom w:val="single" w:sz="4" w:space="0" w:color="000000"/>
              <w:right w:val="single" w:sz="4" w:space="0" w:color="000000"/>
            </w:tcBorders>
          </w:tcPr>
          <w:p w14:paraId="41573C7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r>
      <w:tr w:rsidR="00F50D70" w:rsidRPr="00BE4F47" w14:paraId="3E17EE7C"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55788EA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SO-3</w:t>
            </w:r>
          </w:p>
        </w:tc>
        <w:tc>
          <w:tcPr>
            <w:tcW w:w="4000" w:type="dxa"/>
            <w:tcBorders>
              <w:top w:val="single" w:sz="4" w:space="0" w:color="000000"/>
              <w:left w:val="single" w:sz="4" w:space="0" w:color="000000"/>
              <w:bottom w:val="single" w:sz="4" w:space="0" w:color="000000"/>
              <w:right w:val="single" w:sz="4" w:space="0" w:color="000000"/>
            </w:tcBorders>
          </w:tcPr>
          <w:p w14:paraId="0D061CE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Détecter une dérive et quantifier l’incertitude associée au diagnostic.</w:t>
            </w:r>
          </w:p>
        </w:tc>
        <w:tc>
          <w:tcPr>
            <w:tcW w:w="2300" w:type="dxa"/>
            <w:tcBorders>
              <w:top w:val="single" w:sz="4" w:space="0" w:color="000000"/>
              <w:left w:val="single" w:sz="4" w:space="0" w:color="000000"/>
              <w:bottom w:val="single" w:sz="4" w:space="0" w:color="000000"/>
              <w:right w:val="single" w:sz="4" w:space="0" w:color="000000"/>
            </w:tcBorders>
          </w:tcPr>
          <w:p w14:paraId="3E906BA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EX-F-04 à EX-F-07</w:t>
            </w:r>
          </w:p>
        </w:tc>
        <w:tc>
          <w:tcPr>
            <w:tcW w:w="1557" w:type="dxa"/>
            <w:tcBorders>
              <w:top w:val="single" w:sz="4" w:space="0" w:color="000000"/>
              <w:left w:val="single" w:sz="4" w:space="0" w:color="000000"/>
              <w:bottom w:val="single" w:sz="4" w:space="0" w:color="000000"/>
              <w:right w:val="single" w:sz="4" w:space="0" w:color="000000"/>
            </w:tcBorders>
          </w:tcPr>
          <w:p w14:paraId="457F421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w:t>
            </w:r>
          </w:p>
        </w:tc>
      </w:tr>
      <w:tr w:rsidR="00F50D70" w:rsidRPr="00BE4F47" w14:paraId="099FA92A"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3724DB5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SO-4</w:t>
            </w:r>
          </w:p>
        </w:tc>
        <w:tc>
          <w:tcPr>
            <w:tcW w:w="4000" w:type="dxa"/>
            <w:tcBorders>
              <w:top w:val="single" w:sz="4" w:space="0" w:color="000000"/>
              <w:left w:val="single" w:sz="4" w:space="0" w:color="000000"/>
              <w:bottom w:val="single" w:sz="4" w:space="0" w:color="000000"/>
              <w:right w:val="single" w:sz="4" w:space="0" w:color="000000"/>
            </w:tcBorders>
          </w:tcPr>
          <w:p w14:paraId="1C009A9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Rendre le résultat interprétable par un opérateur, sans jamais commander l’installation.</w:t>
            </w:r>
          </w:p>
        </w:tc>
        <w:tc>
          <w:tcPr>
            <w:tcW w:w="2300" w:type="dxa"/>
            <w:tcBorders>
              <w:top w:val="single" w:sz="4" w:space="0" w:color="000000"/>
              <w:left w:val="single" w:sz="4" w:space="0" w:color="000000"/>
              <w:bottom w:val="single" w:sz="4" w:space="0" w:color="000000"/>
              <w:right w:val="single" w:sz="4" w:space="0" w:color="000000"/>
            </w:tcBorders>
          </w:tcPr>
          <w:p w14:paraId="5E3651F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EX-F-05, EX-F-08, EX-F-09, EX-Q-03</w:t>
            </w:r>
          </w:p>
        </w:tc>
        <w:tc>
          <w:tcPr>
            <w:tcW w:w="1557" w:type="dxa"/>
            <w:tcBorders>
              <w:top w:val="single" w:sz="4" w:space="0" w:color="000000"/>
              <w:left w:val="single" w:sz="4" w:space="0" w:color="000000"/>
              <w:bottom w:val="single" w:sz="4" w:space="0" w:color="000000"/>
              <w:right w:val="single" w:sz="4" w:space="0" w:color="000000"/>
            </w:tcBorders>
          </w:tcPr>
          <w:p w14:paraId="64F4424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w:t>
            </w:r>
          </w:p>
        </w:tc>
      </w:tr>
      <w:tr w:rsidR="00F50D70" w:rsidRPr="00BE4F47" w14:paraId="43FF6F23"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4D295E0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SO-5</w:t>
            </w:r>
          </w:p>
        </w:tc>
        <w:tc>
          <w:tcPr>
            <w:tcW w:w="4000" w:type="dxa"/>
            <w:tcBorders>
              <w:top w:val="single" w:sz="4" w:space="0" w:color="000000"/>
              <w:left w:val="single" w:sz="4" w:space="0" w:color="000000"/>
              <w:bottom w:val="single" w:sz="4" w:space="0" w:color="000000"/>
              <w:right w:val="single" w:sz="4" w:space="0" w:color="000000"/>
            </w:tcBorders>
          </w:tcPr>
          <w:p w14:paraId="47097EC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Assurer la traçabilité et l’intégrité des données et des essais.</w:t>
            </w:r>
          </w:p>
        </w:tc>
        <w:tc>
          <w:tcPr>
            <w:tcW w:w="2300" w:type="dxa"/>
            <w:tcBorders>
              <w:top w:val="single" w:sz="4" w:space="0" w:color="000000"/>
              <w:left w:val="single" w:sz="4" w:space="0" w:color="000000"/>
              <w:bottom w:val="single" w:sz="4" w:space="0" w:color="000000"/>
              <w:right w:val="single" w:sz="4" w:space="0" w:color="000000"/>
            </w:tcBorders>
          </w:tcPr>
          <w:p w14:paraId="525237C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EX-F-10, EX-Q-02, EX-Q-04</w:t>
            </w:r>
          </w:p>
        </w:tc>
        <w:tc>
          <w:tcPr>
            <w:tcW w:w="1557" w:type="dxa"/>
            <w:tcBorders>
              <w:top w:val="single" w:sz="4" w:space="0" w:color="000000"/>
              <w:left w:val="single" w:sz="4" w:space="0" w:color="000000"/>
              <w:bottom w:val="single" w:sz="4" w:space="0" w:color="000000"/>
              <w:right w:val="single" w:sz="4" w:space="0" w:color="000000"/>
            </w:tcBorders>
          </w:tcPr>
          <w:p w14:paraId="37333ED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L5, L9</w:t>
            </w:r>
          </w:p>
        </w:tc>
      </w:tr>
    </w:tbl>
    <w:p w14:paraId="39577D2A" w14:textId="77777777" w:rsidR="00F50D70" w:rsidRPr="00BE4F47" w:rsidRDefault="00000000" w:rsidP="008E113B">
      <w:pPr>
        <w:spacing w:after="130" w:line="360" w:lineRule="auto"/>
        <w:ind w:left="360"/>
        <w:rPr>
          <w:rFonts w:ascii="Aptos" w:hAnsi="Aptos"/>
        </w:rPr>
      </w:pPr>
      <w:bookmarkStart w:id="35" w:name="_Toc241082788"/>
      <w:r w:rsidRPr="00BE4F47">
        <w:rPr>
          <w:rFonts w:ascii="Aptos" w:eastAsia="Calibri" w:hAnsi="Aptos" w:cs="Calibri"/>
          <w:color w:val="1A1A19"/>
          <w:sz w:val="20"/>
          <w:szCs w:val="20"/>
        </w:rPr>
        <w:t>Chaque sous-objectif porte au moins une exigence vérifiable et au moins un lot de travail, de sorte qu’aucun objectif ne reste sans moyen et aucun lot sans justification.</w:t>
      </w:r>
      <w:bookmarkEnd w:id="35"/>
    </w:p>
    <w:p w14:paraId="6C6979DD" w14:textId="77777777" w:rsidR="00F50D70" w:rsidRPr="00BE4F47" w:rsidRDefault="00F50D70" w:rsidP="008E113B">
      <w:pPr>
        <w:spacing w:line="360" w:lineRule="auto"/>
        <w:ind w:left="360"/>
        <w:rPr>
          <w:rFonts w:ascii="Aptos" w:hAnsi="Aptos"/>
        </w:rPr>
      </w:pPr>
    </w:p>
    <w:p w14:paraId="257509AC" w14:textId="77777777" w:rsidR="00F50D70" w:rsidRPr="00BE4F47" w:rsidRDefault="00000000" w:rsidP="008E113B">
      <w:pPr>
        <w:spacing w:line="360" w:lineRule="auto"/>
        <w:ind w:left="360"/>
        <w:rPr>
          <w:rFonts w:ascii="Aptos" w:hAnsi="Aptos"/>
        </w:rPr>
      </w:pPr>
      <w:bookmarkStart w:id="36" w:name="_Toc241082789"/>
      <w:r w:rsidRPr="00BE4F47">
        <w:rPr>
          <w:rFonts w:ascii="Aptos" w:eastAsia="Calibri" w:hAnsi="Aptos" w:cs="Calibri"/>
          <w:color w:val="1A1A19"/>
          <w:sz w:val="20"/>
          <w:szCs w:val="20"/>
        </w:rPr>
        <w:t>Les besoins exprimés ci-dessus se traduisent par un ensemble d’états de fonctionnement que le système doit savoir distinguer et parcourir. L’équipe les a formalisés au moyen d’un GEMMA, guide d’étude des modes de marche et d’arrêt. Ce logigramme sert de référence à l’ensemble des exigences : chaque exigence fonctionnelle du registre renvoie à l’état ou à la transition qu’elle couvre.</w:t>
      </w:r>
      <w:bookmarkEnd w:id="36"/>
      <w:r w:rsidRPr="00BE4F47">
        <w:rPr>
          <w:rFonts w:ascii="Aptos" w:eastAsia="Calibri" w:hAnsi="Aptos" w:cs="Calibri"/>
          <w:color w:val="1A1A19"/>
          <w:sz w:val="20"/>
          <w:szCs w:val="20"/>
        </w:rPr>
        <w:t xml:space="preserve"> </w:t>
      </w:r>
    </w:p>
    <w:p w14:paraId="1600E507" w14:textId="77777777" w:rsidR="00F50D70" w:rsidRPr="00BE4F47" w:rsidRDefault="00F50D70" w:rsidP="008E113B">
      <w:pPr>
        <w:spacing w:line="360" w:lineRule="auto"/>
        <w:ind w:left="360"/>
        <w:rPr>
          <w:rFonts w:ascii="Aptos" w:hAnsi="Aptos"/>
        </w:rPr>
      </w:pPr>
    </w:p>
    <w:p w14:paraId="3B5EF358" w14:textId="77777777" w:rsidR="00927E59" w:rsidRPr="00BE4F47" w:rsidRDefault="00927E59" w:rsidP="008E113B">
      <w:pPr>
        <w:spacing w:line="360" w:lineRule="auto"/>
        <w:ind w:left="360"/>
        <w:rPr>
          <w:rFonts w:ascii="Aptos" w:hAnsi="Aptos"/>
        </w:rPr>
      </w:pPr>
    </w:p>
    <w:p w14:paraId="44AA3A7B" w14:textId="77777777" w:rsidR="00927E59" w:rsidRPr="00BE4F47" w:rsidRDefault="00927E59" w:rsidP="008E113B">
      <w:pPr>
        <w:spacing w:line="360" w:lineRule="auto"/>
        <w:ind w:left="360"/>
        <w:rPr>
          <w:rFonts w:ascii="Aptos" w:hAnsi="Aptos"/>
        </w:rPr>
      </w:pPr>
    </w:p>
    <w:p w14:paraId="51924D69" w14:textId="77777777" w:rsidR="00927E59" w:rsidRPr="00BE4F47" w:rsidRDefault="00927E59" w:rsidP="008E113B">
      <w:pPr>
        <w:spacing w:line="360" w:lineRule="auto"/>
        <w:ind w:left="360"/>
        <w:rPr>
          <w:rFonts w:ascii="Aptos" w:hAnsi="Aptos"/>
        </w:rPr>
      </w:pPr>
    </w:p>
    <w:p w14:paraId="74B08EFB" w14:textId="77777777" w:rsidR="00927E59" w:rsidRPr="00BE4F47" w:rsidRDefault="00927E59" w:rsidP="008E113B">
      <w:pPr>
        <w:spacing w:line="360" w:lineRule="auto"/>
        <w:ind w:left="360"/>
        <w:rPr>
          <w:rFonts w:ascii="Aptos" w:hAnsi="Aptos"/>
        </w:rPr>
      </w:pPr>
    </w:p>
    <w:p w14:paraId="346A2B38" w14:textId="77777777" w:rsidR="00927E59" w:rsidRPr="00BE4F47" w:rsidRDefault="00927E59" w:rsidP="008E113B">
      <w:pPr>
        <w:spacing w:line="360" w:lineRule="auto"/>
        <w:ind w:left="360"/>
        <w:rPr>
          <w:rFonts w:ascii="Aptos" w:hAnsi="Aptos"/>
        </w:rPr>
      </w:pPr>
    </w:p>
    <w:p w14:paraId="6808DCE2" w14:textId="77777777" w:rsidR="00927E59" w:rsidRPr="00BE4F47" w:rsidRDefault="00927E59" w:rsidP="008E113B">
      <w:pPr>
        <w:spacing w:line="360" w:lineRule="auto"/>
        <w:ind w:left="360"/>
        <w:rPr>
          <w:rFonts w:ascii="Aptos" w:hAnsi="Aptos"/>
        </w:rPr>
      </w:pPr>
    </w:p>
    <w:p w14:paraId="370EA644" w14:textId="77777777" w:rsidR="00927E59" w:rsidRPr="00BE4F47" w:rsidRDefault="00927E59" w:rsidP="008E113B">
      <w:pPr>
        <w:spacing w:line="360" w:lineRule="auto"/>
        <w:ind w:left="360"/>
        <w:rPr>
          <w:rFonts w:ascii="Aptos" w:hAnsi="Aptos"/>
        </w:rPr>
      </w:pPr>
    </w:p>
    <w:p w14:paraId="480D4237" w14:textId="77777777" w:rsidR="00927E59" w:rsidRPr="00BE4F47" w:rsidRDefault="00927E59" w:rsidP="008E113B">
      <w:pPr>
        <w:spacing w:line="360" w:lineRule="auto"/>
        <w:ind w:left="360"/>
        <w:rPr>
          <w:rFonts w:ascii="Aptos" w:hAnsi="Aptos"/>
        </w:rPr>
      </w:pPr>
    </w:p>
    <w:p w14:paraId="3FB204B5" w14:textId="77777777" w:rsidR="00927E59" w:rsidRPr="00BE4F47" w:rsidRDefault="00927E59" w:rsidP="008E113B">
      <w:pPr>
        <w:spacing w:line="360" w:lineRule="auto"/>
        <w:ind w:left="360"/>
        <w:rPr>
          <w:rFonts w:ascii="Aptos" w:hAnsi="Aptos"/>
        </w:rPr>
      </w:pPr>
    </w:p>
    <w:p w14:paraId="2B6B6D98" w14:textId="77777777" w:rsidR="00927E59" w:rsidRPr="00BE4F47" w:rsidRDefault="00927E59" w:rsidP="008E113B">
      <w:pPr>
        <w:spacing w:line="360" w:lineRule="auto"/>
        <w:ind w:left="360"/>
        <w:rPr>
          <w:rFonts w:ascii="Aptos" w:hAnsi="Aptos"/>
        </w:rPr>
      </w:pPr>
    </w:p>
    <w:p w14:paraId="535831E4" w14:textId="77777777" w:rsidR="00927E59" w:rsidRPr="00BE4F47" w:rsidRDefault="00927E59" w:rsidP="008E113B">
      <w:pPr>
        <w:spacing w:line="360" w:lineRule="auto"/>
        <w:ind w:left="360"/>
        <w:rPr>
          <w:rFonts w:ascii="Aptos" w:hAnsi="Aptos"/>
        </w:rPr>
      </w:pPr>
    </w:p>
    <w:p w14:paraId="797ED137" w14:textId="77777777" w:rsidR="00927E59" w:rsidRPr="00BE4F47" w:rsidRDefault="00927E59" w:rsidP="008E113B">
      <w:pPr>
        <w:spacing w:line="360" w:lineRule="auto"/>
        <w:ind w:left="360"/>
        <w:rPr>
          <w:rFonts w:ascii="Aptos" w:hAnsi="Aptos"/>
        </w:rPr>
      </w:pPr>
    </w:p>
    <w:p w14:paraId="112D1F92" w14:textId="77777777" w:rsidR="00927E59" w:rsidRPr="00BE4F47" w:rsidRDefault="00927E59" w:rsidP="008E113B">
      <w:pPr>
        <w:spacing w:line="360" w:lineRule="auto"/>
        <w:ind w:left="360"/>
        <w:rPr>
          <w:rFonts w:ascii="Aptos" w:hAnsi="Aptos"/>
        </w:rPr>
      </w:pPr>
    </w:p>
    <w:p w14:paraId="0B20EFCC" w14:textId="77777777" w:rsidR="00927E59" w:rsidRPr="00BE4F47" w:rsidRDefault="00927E59" w:rsidP="008E113B">
      <w:pPr>
        <w:spacing w:line="360" w:lineRule="auto"/>
        <w:ind w:left="360"/>
        <w:rPr>
          <w:rFonts w:ascii="Aptos" w:hAnsi="Aptos"/>
        </w:rPr>
      </w:pPr>
    </w:p>
    <w:p w14:paraId="099C0ABA" w14:textId="77777777" w:rsidR="00927E59" w:rsidRPr="00BE4F47" w:rsidRDefault="00927E59" w:rsidP="008E113B">
      <w:pPr>
        <w:spacing w:line="360" w:lineRule="auto"/>
        <w:ind w:left="360"/>
        <w:rPr>
          <w:rFonts w:ascii="Aptos" w:hAnsi="Aptos"/>
        </w:rPr>
      </w:pPr>
    </w:p>
    <w:p w14:paraId="42543C17" w14:textId="77777777" w:rsidR="00927E59" w:rsidRPr="00BE4F47" w:rsidRDefault="00927E59" w:rsidP="008E113B">
      <w:pPr>
        <w:spacing w:line="360" w:lineRule="auto"/>
        <w:ind w:left="360"/>
        <w:rPr>
          <w:rFonts w:ascii="Aptos" w:hAnsi="Aptos"/>
        </w:rPr>
      </w:pPr>
    </w:p>
    <w:p w14:paraId="349212E0" w14:textId="77777777" w:rsidR="00927E59" w:rsidRPr="00BE4F47" w:rsidRDefault="00927E59" w:rsidP="008E113B">
      <w:pPr>
        <w:spacing w:line="360" w:lineRule="auto"/>
        <w:ind w:left="360"/>
        <w:rPr>
          <w:rFonts w:ascii="Aptos" w:hAnsi="Aptos"/>
        </w:rPr>
      </w:pPr>
    </w:p>
    <w:p w14:paraId="62EAF104" w14:textId="77777777" w:rsidR="00927E59" w:rsidRPr="00BE4F47" w:rsidRDefault="00927E59" w:rsidP="008E113B">
      <w:pPr>
        <w:pStyle w:val="Titre2"/>
        <w:spacing w:line="360" w:lineRule="auto"/>
        <w:rPr>
          <w:rFonts w:ascii="Aptos" w:hAnsi="Aptos"/>
        </w:rPr>
      </w:pPr>
      <w:bookmarkStart w:id="37" w:name="_Toc241082790"/>
      <w:r w:rsidRPr="00BE4F47">
        <w:rPr>
          <w:rFonts w:ascii="Aptos" w:hAnsi="Aptos"/>
        </w:rPr>
        <w:t>Modes de fonctionnement et d’arrêt retenus</w:t>
      </w:r>
      <w:bookmarkEnd w:id="37"/>
    </w:p>
    <w:p w14:paraId="6A2D17E4" w14:textId="77777777" w:rsidR="00927E59" w:rsidRPr="00BE4F47" w:rsidRDefault="00927E59" w:rsidP="008E113B">
      <w:pPr>
        <w:spacing w:line="360" w:lineRule="auto"/>
        <w:ind w:left="360"/>
        <w:rPr>
          <w:rFonts w:ascii="Aptos" w:hAnsi="Aptos"/>
        </w:rPr>
      </w:pPr>
    </w:p>
    <w:p w14:paraId="5EFA862E" w14:textId="77777777" w:rsidR="00F50D70" w:rsidRPr="00BE4F47" w:rsidRDefault="002A1CE1" w:rsidP="008E113B">
      <w:pPr>
        <w:keepNext/>
        <w:spacing w:line="360" w:lineRule="auto"/>
        <w:ind w:left="360"/>
        <w:rPr>
          <w:rFonts w:ascii="Aptos" w:hAnsi="Aptos"/>
        </w:rPr>
      </w:pPr>
      <w:bookmarkStart w:id="38" w:name="_Toc241082791"/>
      <w:r>
        <w:rPr>
          <w:rFonts w:ascii="Aptos" w:hAnsi="Aptos"/>
          <w:noProof/>
        </w:rPr>
        <w:lastRenderedPageBreak/>
        <w:drawing>
          <wp:inline distT="0" distB="0" distL="0" distR="0" wp14:anchorId="5E574FA1" wp14:editId="5FD18E7B">
            <wp:extent cx="5593080" cy="3497580"/>
            <wp:effectExtent l="0" t="0" r="0" b="0"/>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9" cstate="print">
                      <a:extLst>
                        <a:ext uri="{28A0092B-C50C-407E-A947-70E740481C1C}">
                          <a14:useLocalDpi xmlns:a14="http://schemas.microsoft.com/office/drawing/2010/main" val="0"/>
                        </a:ext>
                      </a:extLst>
                    </a:blip>
                    <a:srcRect l="-2" t="-3" r="-2" b="-3"/>
                    <a:stretch>
                      <a:fillRect/>
                    </a:stretch>
                  </pic:blipFill>
                  <pic:spPr bwMode="auto">
                    <a:xfrm>
                      <a:off x="0" y="0"/>
                      <a:ext cx="5593080" cy="3497580"/>
                    </a:xfrm>
                    <a:prstGeom prst="rect">
                      <a:avLst/>
                    </a:prstGeom>
                    <a:noFill/>
                    <a:ln>
                      <a:noFill/>
                    </a:ln>
                  </pic:spPr>
                </pic:pic>
              </a:graphicData>
            </a:graphic>
          </wp:inline>
        </w:drawing>
      </w:r>
      <w:bookmarkEnd w:id="38"/>
    </w:p>
    <w:p w14:paraId="4BFA7252" w14:textId="77777777" w:rsidR="00F50D70" w:rsidRPr="00BE4F47" w:rsidRDefault="00000000" w:rsidP="008E113B">
      <w:pPr>
        <w:pStyle w:val="Lgende"/>
        <w:spacing w:line="360" w:lineRule="auto"/>
        <w:rPr>
          <w:rFonts w:ascii="Aptos" w:hAnsi="Aptos"/>
        </w:rPr>
      </w:pPr>
      <w:bookmarkStart w:id="39" w:name="_Toc241082792"/>
      <w:r w:rsidRPr="00BE4F47">
        <w:rPr>
          <w:rFonts w:ascii="Aptos" w:hAnsi="Aptos"/>
        </w:rPr>
        <w:t>Figure 1-1. Modes de marche et d’arrêt du jumeau numérique de surveillance</w:t>
      </w:r>
      <w:bookmarkEnd w:id="39"/>
    </w:p>
    <w:p w14:paraId="620084EF" w14:textId="77777777" w:rsidR="00F50D70" w:rsidRPr="00BE4F47" w:rsidRDefault="00000000" w:rsidP="008E113B">
      <w:pPr>
        <w:spacing w:after="130" w:line="360" w:lineRule="auto"/>
        <w:ind w:left="360"/>
        <w:rPr>
          <w:rFonts w:ascii="Aptos" w:eastAsia="Calibri" w:hAnsi="Aptos" w:cs="Calibri"/>
          <w:color w:val="1A1A19"/>
          <w:sz w:val="20"/>
          <w:szCs w:val="20"/>
        </w:rPr>
      </w:pPr>
      <w:bookmarkStart w:id="40" w:name="_Toc241082793"/>
      <w:r w:rsidRPr="00BE4F47">
        <w:rPr>
          <w:rFonts w:ascii="Aptos" w:eastAsia="Calibri" w:hAnsi="Aptos" w:cs="Calibri"/>
          <w:color w:val="1A1A19"/>
          <w:sz w:val="20"/>
          <w:szCs w:val="20"/>
        </w:rPr>
        <w:t>Onze états sont retenus. La famille A couvre les procédures d’arrêt et de remise en route (A1, A2, A5, A6), la famille F les procédures de fonctionnement (F1, F2, F4, F6) et la famille D les procédures en défaillance (D1, D2, D3). Cinq états du guide sont écartés, avec leur justification, dans le document de référence du GEMMA.</w:t>
      </w:r>
      <w:bookmarkEnd w:id="40"/>
    </w:p>
    <w:p w14:paraId="48F8BA29" w14:textId="77777777" w:rsidR="00F50D70" w:rsidRPr="00BE4F47" w:rsidRDefault="00000000" w:rsidP="008E113B">
      <w:pPr>
        <w:spacing w:line="360" w:lineRule="auto"/>
        <w:ind w:left="360"/>
        <w:rPr>
          <w:rFonts w:ascii="Aptos" w:hAnsi="Aptos"/>
        </w:rPr>
      </w:pPr>
      <w:bookmarkStart w:id="41" w:name="_Toc241082794"/>
      <w:r w:rsidRPr="00BE4F47">
        <w:rPr>
          <w:rFonts w:ascii="Aptos" w:eastAsia="Calibri" w:hAnsi="Aptos" w:cs="Calibri"/>
          <w:color w:val="1A1A19"/>
          <w:sz w:val="20"/>
          <w:szCs w:val="20"/>
        </w:rPr>
        <w:t>Trois états appellent une attention particulière pour la suite. F1 est la surveillance normale, où s’exécute la comparaison entre le comportement observé et le comportement attendu. D2 est le diagnostic, atteint dès qu’une dérive ou une anomalie est confirmée, et par lequel passe obligatoirement toute sortie de défaillance. D3 est le fonctionnement dégradé autorisé, qui exige une validation humaine explicite. Ce sont ces trois états que les exigences EX-F-06 à EX-F-09 traduisent en comportements observables.</w:t>
      </w:r>
      <w:bookmarkEnd w:id="41"/>
    </w:p>
    <w:p w14:paraId="090AA1F9" w14:textId="77777777" w:rsidR="00F50D70" w:rsidRPr="00BE4F47" w:rsidRDefault="00000000" w:rsidP="008E113B">
      <w:pPr>
        <w:pStyle w:val="Titre2"/>
        <w:spacing w:line="360" w:lineRule="auto"/>
        <w:rPr>
          <w:rFonts w:ascii="Aptos" w:hAnsi="Aptos"/>
        </w:rPr>
      </w:pPr>
      <w:bookmarkStart w:id="42" w:name="_Toc241082795"/>
      <w:r w:rsidRPr="00BE4F47">
        <w:rPr>
          <w:rFonts w:ascii="Aptos" w:hAnsi="Aptos"/>
        </w:rPr>
        <w:t>Analyse fonctionnelle</w:t>
      </w:r>
      <w:bookmarkEnd w:id="42"/>
    </w:p>
    <w:p w14:paraId="77F47038" w14:textId="77777777" w:rsidR="00F50D70" w:rsidRPr="00BE4F47" w:rsidRDefault="00000000" w:rsidP="008E113B">
      <w:pPr>
        <w:spacing w:after="130" w:line="360" w:lineRule="auto"/>
        <w:ind w:left="360"/>
        <w:rPr>
          <w:rFonts w:ascii="Aptos" w:hAnsi="Aptos"/>
        </w:rPr>
      </w:pPr>
      <w:bookmarkStart w:id="43" w:name="_Toc241082796"/>
      <w:r w:rsidRPr="00BE4F47">
        <w:rPr>
          <w:rFonts w:ascii="Aptos" w:eastAsia="Calibri" w:hAnsi="Aptos" w:cs="Calibri"/>
          <w:color w:val="1A1A19"/>
          <w:sz w:val="20"/>
          <w:szCs w:val="20"/>
        </w:rPr>
        <w:t>L’analyse fonctionnelle décompose le prototype en six sous-systèmes, nomme leurs intrants et leurs extrants, et établit les liens entre eux. Ce découpage commande l’architecture de la section 8 et le plan d’essais de la section 2.</w:t>
      </w:r>
      <w:bookmarkEnd w:id="43"/>
    </w:p>
    <w:p w14:paraId="77821F55" w14:textId="77777777" w:rsidR="00F50D70" w:rsidRPr="00BE4F47" w:rsidRDefault="00000000" w:rsidP="008E113B">
      <w:pPr>
        <w:spacing w:after="130" w:line="360" w:lineRule="auto"/>
        <w:ind w:left="360"/>
        <w:rPr>
          <w:rFonts w:ascii="Aptos" w:hAnsi="Aptos"/>
        </w:rPr>
      </w:pPr>
      <w:bookmarkStart w:id="44" w:name="_Toc241082797"/>
      <w:r w:rsidRPr="00BE4F47">
        <w:rPr>
          <w:rFonts w:ascii="Aptos" w:eastAsia="Calibri" w:hAnsi="Aptos" w:cs="Calibri"/>
          <w:color w:val="1A1A19"/>
          <w:sz w:val="20"/>
          <w:szCs w:val="20"/>
        </w:rPr>
        <w:t>Le principe de découpage est la testabilité : un sous-système est une frontière à laquelle on peut mesurer quelque chose. Chaque flux du schéma est un point d’observation où un essai peut être posé.</w:t>
      </w:r>
      <w:bookmarkEnd w:id="44"/>
    </w:p>
    <w:p w14:paraId="55F8FDFB" w14:textId="77777777" w:rsidR="00F50D70" w:rsidRPr="00BE4F47" w:rsidRDefault="002A1CE1" w:rsidP="008E113B">
      <w:pPr>
        <w:spacing w:line="360" w:lineRule="auto"/>
        <w:jc w:val="center"/>
        <w:rPr>
          <w:rFonts w:ascii="Aptos" w:hAnsi="Aptos"/>
        </w:rPr>
      </w:pPr>
      <w:bookmarkStart w:id="45" w:name="_Toc241082798"/>
      <w:r>
        <w:rPr>
          <w:noProof/>
        </w:rPr>
        <w:lastRenderedPageBreak/>
        <w:drawing>
          <wp:anchor distT="0" distB="0" distL="114300" distR="114300" simplePos="0" relativeHeight="251658752" behindDoc="1" locked="0" layoutInCell="1" allowOverlap="1" wp14:anchorId="22AAA29F" wp14:editId="3E8664E1">
            <wp:simplePos x="0" y="0"/>
            <wp:positionH relativeFrom="column">
              <wp:posOffset>184785</wp:posOffset>
            </wp:positionH>
            <wp:positionV relativeFrom="paragraph">
              <wp:posOffset>5080</wp:posOffset>
            </wp:positionV>
            <wp:extent cx="5364480" cy="7132320"/>
            <wp:effectExtent l="0" t="0" r="0" b="0"/>
            <wp:wrapTight wrapText="bothSides">
              <wp:wrapPolygon edited="0">
                <wp:start x="0" y="0"/>
                <wp:lineTo x="0" y="21519"/>
                <wp:lineTo x="21554" y="21519"/>
                <wp:lineTo x="21554" y="0"/>
                <wp:lineTo x="0" y="0"/>
              </wp:wrapPolygon>
            </wp:wrapTight>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480" cy="7132320"/>
                    </a:xfrm>
                    <a:prstGeom prst="rect">
                      <a:avLst/>
                    </a:prstGeom>
                    <a:noFill/>
                  </pic:spPr>
                </pic:pic>
              </a:graphicData>
            </a:graphic>
            <wp14:sizeRelH relativeFrom="page">
              <wp14:pctWidth>0</wp14:pctWidth>
            </wp14:sizeRelH>
            <wp14:sizeRelV relativeFrom="page">
              <wp14:pctHeight>0</wp14:pctHeight>
            </wp14:sizeRelV>
          </wp:anchor>
        </w:drawing>
      </w:r>
      <w:bookmarkEnd w:id="45"/>
    </w:p>
    <w:p w14:paraId="4C347AFF" w14:textId="77777777" w:rsidR="00F50D70" w:rsidRPr="00BE4F47" w:rsidRDefault="00000000" w:rsidP="008E113B">
      <w:pPr>
        <w:pStyle w:val="Lgende"/>
        <w:spacing w:line="360" w:lineRule="auto"/>
        <w:rPr>
          <w:rFonts w:ascii="Aptos" w:hAnsi="Aptos"/>
        </w:rPr>
      </w:pPr>
      <w:bookmarkStart w:id="46" w:name="_Toc241082799"/>
      <w:r w:rsidRPr="00BE4F47">
        <w:rPr>
          <w:rFonts w:ascii="Aptos" w:hAnsi="Aptos"/>
        </w:rPr>
        <w:t>Figure 1-2. Décomposition fonctionnelle et flux d’information du prototype</w:t>
      </w:r>
      <w:bookmarkEnd w:id="46"/>
    </w:p>
    <w:p w14:paraId="145F694C" w14:textId="77777777" w:rsidR="00F50D70" w:rsidRPr="00BE4F47" w:rsidRDefault="00000000" w:rsidP="008E113B">
      <w:pPr>
        <w:pStyle w:val="Lgende"/>
        <w:spacing w:line="360" w:lineRule="auto"/>
        <w:rPr>
          <w:rFonts w:ascii="Aptos" w:hAnsi="Aptos"/>
        </w:rPr>
      </w:pPr>
      <w:bookmarkStart w:id="47" w:name="_Toc241082800"/>
      <w:r w:rsidRPr="00BE4F47">
        <w:rPr>
          <w:rFonts w:ascii="Aptos" w:hAnsi="Aptos"/>
        </w:rPr>
        <w:t>Tableau 1-3. Sous-systèmes, intrants et extrants</w:t>
      </w:r>
      <w:bookmarkEnd w:id="47"/>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650"/>
        <w:gridCol w:w="2300"/>
        <w:gridCol w:w="2300"/>
        <w:gridCol w:w="2400"/>
        <w:gridCol w:w="907"/>
      </w:tblGrid>
      <w:tr w:rsidR="00F50D70" w:rsidRPr="00BE4F47" w14:paraId="4AE9144A" w14:textId="77777777" w:rsidTr="0036725C">
        <w:trPr>
          <w:trHeight w:val="227"/>
          <w:tblHeader/>
        </w:trPr>
        <w:tc>
          <w:tcPr>
            <w:tcW w:w="6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B57483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lastRenderedPageBreak/>
              <w:t>Réf.</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E7A94B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Fonction principale</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FA7FA6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Intrants</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A3F58E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Extrants</w:t>
            </w:r>
          </w:p>
        </w:tc>
        <w:tc>
          <w:tcPr>
            <w:tcW w:w="90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B41806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r>
      <w:tr w:rsidR="00F50D70" w:rsidRPr="00BE4F47" w14:paraId="5BC7BCFD"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6ABC3F5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SS-1</w:t>
            </w:r>
          </w:p>
        </w:tc>
        <w:tc>
          <w:tcPr>
            <w:tcW w:w="2300" w:type="dxa"/>
            <w:tcBorders>
              <w:top w:val="single" w:sz="4" w:space="0" w:color="000000"/>
              <w:left w:val="single" w:sz="4" w:space="0" w:color="000000"/>
              <w:bottom w:val="single" w:sz="4" w:space="0" w:color="000000"/>
              <w:right w:val="single" w:sz="4" w:space="0" w:color="000000"/>
            </w:tcBorders>
          </w:tcPr>
          <w:p w14:paraId="52D79C8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Simuler le comportement physique de la boucle </w:t>
            </w:r>
            <w:proofErr w:type="spellStart"/>
            <w:r w:rsidRPr="00BE4F47">
              <w:rPr>
                <w:rFonts w:ascii="Aptos" w:eastAsia="Calibri" w:hAnsi="Aptos" w:cs="Calibri"/>
                <w:color w:val="1A1A19"/>
                <w:sz w:val="16"/>
                <w:szCs w:val="16"/>
              </w:rPr>
              <w:t>thermohydraulique</w:t>
            </w:r>
            <w:proofErr w:type="spellEnd"/>
            <w:r w:rsidRPr="00BE4F47">
              <w:rPr>
                <w:rFonts w:ascii="Aptos" w:eastAsia="Calibri" w:hAnsi="Aptos" w:cs="Calibri"/>
                <w:color w:val="1A1A19"/>
                <w:sz w:val="16"/>
                <w:szCs w:val="16"/>
              </w:rPr>
              <w:t>, en fonctionnement normal comme en défaillance.</w:t>
            </w:r>
          </w:p>
        </w:tc>
        <w:tc>
          <w:tcPr>
            <w:tcW w:w="2300" w:type="dxa"/>
            <w:tcBorders>
              <w:top w:val="single" w:sz="4" w:space="0" w:color="000000"/>
              <w:left w:val="single" w:sz="4" w:space="0" w:color="000000"/>
              <w:bottom w:val="single" w:sz="4" w:space="0" w:color="000000"/>
              <w:right w:val="single" w:sz="4" w:space="0" w:color="000000"/>
            </w:tcBorders>
          </w:tcPr>
          <w:p w14:paraId="349C439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Consignes du scénario, paramètres physiques, ordre d’injection d’une défaillance.</w:t>
            </w:r>
          </w:p>
        </w:tc>
        <w:tc>
          <w:tcPr>
            <w:tcW w:w="2400" w:type="dxa"/>
            <w:tcBorders>
              <w:top w:val="single" w:sz="4" w:space="0" w:color="000000"/>
              <w:left w:val="single" w:sz="4" w:space="0" w:color="000000"/>
              <w:bottom w:val="single" w:sz="4" w:space="0" w:color="000000"/>
              <w:right w:val="single" w:sz="4" w:space="0" w:color="000000"/>
            </w:tcBorders>
          </w:tcPr>
          <w:p w14:paraId="69DA480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Grandeurs vraies de température, de pression et de débit, échantillonnées dans le temps.</w:t>
            </w:r>
          </w:p>
        </w:tc>
        <w:tc>
          <w:tcPr>
            <w:tcW w:w="907" w:type="dxa"/>
            <w:tcBorders>
              <w:top w:val="single" w:sz="4" w:space="0" w:color="000000"/>
              <w:left w:val="single" w:sz="4" w:space="0" w:color="000000"/>
              <w:bottom w:val="single" w:sz="4" w:space="0" w:color="000000"/>
              <w:right w:val="single" w:sz="4" w:space="0" w:color="000000"/>
            </w:tcBorders>
          </w:tcPr>
          <w:p w14:paraId="76093F2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L4</w:t>
            </w:r>
          </w:p>
        </w:tc>
      </w:tr>
      <w:tr w:rsidR="00F50D70" w:rsidRPr="00BE4F47" w14:paraId="02D53838"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18AA143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SS-2</w:t>
            </w:r>
          </w:p>
        </w:tc>
        <w:tc>
          <w:tcPr>
            <w:tcW w:w="2300" w:type="dxa"/>
            <w:tcBorders>
              <w:top w:val="single" w:sz="4" w:space="0" w:color="000000"/>
              <w:left w:val="single" w:sz="4" w:space="0" w:color="000000"/>
              <w:bottom w:val="single" w:sz="4" w:space="0" w:color="000000"/>
              <w:right w:val="single" w:sz="4" w:space="0" w:color="000000"/>
            </w:tcBorders>
          </w:tcPr>
          <w:p w14:paraId="4FD782A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Acquérir les grandeurs, les dégrader de façon réaliste, et qualifier ce qui est acquis.</w:t>
            </w:r>
          </w:p>
        </w:tc>
        <w:tc>
          <w:tcPr>
            <w:tcW w:w="2300" w:type="dxa"/>
            <w:tcBorders>
              <w:top w:val="single" w:sz="4" w:space="0" w:color="000000"/>
              <w:left w:val="single" w:sz="4" w:space="0" w:color="000000"/>
              <w:bottom w:val="single" w:sz="4" w:space="0" w:color="000000"/>
              <w:right w:val="single" w:sz="4" w:space="0" w:color="000000"/>
            </w:tcBorders>
          </w:tcPr>
          <w:p w14:paraId="19BC7C1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Grandeurs vraies de SS-1, modèles de bruit, de dérive de capteur et de perte de données.</w:t>
            </w:r>
          </w:p>
        </w:tc>
        <w:tc>
          <w:tcPr>
            <w:tcW w:w="2400" w:type="dxa"/>
            <w:tcBorders>
              <w:top w:val="single" w:sz="4" w:space="0" w:color="000000"/>
              <w:left w:val="single" w:sz="4" w:space="0" w:color="000000"/>
              <w:bottom w:val="single" w:sz="4" w:space="0" w:color="000000"/>
              <w:right w:val="single" w:sz="4" w:space="0" w:color="000000"/>
            </w:tcBorders>
          </w:tcPr>
          <w:p w14:paraId="6EF0568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Mesures horodatées, indice de qualité par mesure, signalement des données manquantes.</w:t>
            </w:r>
          </w:p>
        </w:tc>
        <w:tc>
          <w:tcPr>
            <w:tcW w:w="907" w:type="dxa"/>
            <w:tcBorders>
              <w:top w:val="single" w:sz="4" w:space="0" w:color="000000"/>
              <w:left w:val="single" w:sz="4" w:space="0" w:color="000000"/>
              <w:bottom w:val="single" w:sz="4" w:space="0" w:color="000000"/>
              <w:right w:val="single" w:sz="4" w:space="0" w:color="000000"/>
            </w:tcBorders>
          </w:tcPr>
          <w:p w14:paraId="1533E49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r>
      <w:tr w:rsidR="00F50D70" w:rsidRPr="00BE4F47" w14:paraId="36FD23C1"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48DA7B2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SS-3</w:t>
            </w:r>
          </w:p>
        </w:tc>
        <w:tc>
          <w:tcPr>
            <w:tcW w:w="2300" w:type="dxa"/>
            <w:tcBorders>
              <w:top w:val="single" w:sz="4" w:space="0" w:color="000000"/>
              <w:left w:val="single" w:sz="4" w:space="0" w:color="000000"/>
              <w:bottom w:val="single" w:sz="4" w:space="0" w:color="000000"/>
              <w:right w:val="single" w:sz="4" w:space="0" w:color="000000"/>
            </w:tcBorders>
          </w:tcPr>
          <w:p w14:paraId="00B2A97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Calculer le comportement attendu et le comparer au comportement observé.</w:t>
            </w:r>
          </w:p>
        </w:tc>
        <w:tc>
          <w:tcPr>
            <w:tcW w:w="2300" w:type="dxa"/>
            <w:tcBorders>
              <w:top w:val="single" w:sz="4" w:space="0" w:color="000000"/>
              <w:left w:val="single" w:sz="4" w:space="0" w:color="000000"/>
              <w:bottom w:val="single" w:sz="4" w:space="0" w:color="000000"/>
              <w:right w:val="single" w:sz="4" w:space="0" w:color="000000"/>
            </w:tcBorders>
          </w:tcPr>
          <w:p w14:paraId="611AEF4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Mesures horodatées de SS-2, paramètres du modèle de référence.</w:t>
            </w:r>
          </w:p>
        </w:tc>
        <w:tc>
          <w:tcPr>
            <w:tcW w:w="2400" w:type="dxa"/>
            <w:tcBorders>
              <w:top w:val="single" w:sz="4" w:space="0" w:color="000000"/>
              <w:left w:val="single" w:sz="4" w:space="0" w:color="000000"/>
              <w:bottom w:val="single" w:sz="4" w:space="0" w:color="000000"/>
              <w:right w:val="single" w:sz="4" w:space="0" w:color="000000"/>
            </w:tcBorders>
          </w:tcPr>
          <w:p w14:paraId="6159419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Comportement attendu, résidus définis comme l’écart entre observé et attendu.</w:t>
            </w:r>
          </w:p>
        </w:tc>
        <w:tc>
          <w:tcPr>
            <w:tcW w:w="907" w:type="dxa"/>
            <w:tcBorders>
              <w:top w:val="single" w:sz="4" w:space="0" w:color="000000"/>
              <w:left w:val="single" w:sz="4" w:space="0" w:color="000000"/>
              <w:bottom w:val="single" w:sz="4" w:space="0" w:color="000000"/>
              <w:right w:val="single" w:sz="4" w:space="0" w:color="000000"/>
            </w:tcBorders>
          </w:tcPr>
          <w:p w14:paraId="383727C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L4, L6</w:t>
            </w:r>
          </w:p>
        </w:tc>
      </w:tr>
      <w:tr w:rsidR="00F50D70" w:rsidRPr="00BE4F47" w14:paraId="2605B8CC"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28517AA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SS-4</w:t>
            </w:r>
          </w:p>
        </w:tc>
        <w:tc>
          <w:tcPr>
            <w:tcW w:w="2300" w:type="dxa"/>
            <w:tcBorders>
              <w:top w:val="single" w:sz="4" w:space="0" w:color="000000"/>
              <w:left w:val="single" w:sz="4" w:space="0" w:color="000000"/>
              <w:bottom w:val="single" w:sz="4" w:space="0" w:color="000000"/>
              <w:right w:val="single" w:sz="4" w:space="0" w:color="000000"/>
            </w:tcBorders>
          </w:tcPr>
          <w:p w14:paraId="58DA525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Décider si un résidu traduit une anomalie, et dire avec quelle confiance.</w:t>
            </w:r>
          </w:p>
        </w:tc>
        <w:tc>
          <w:tcPr>
            <w:tcW w:w="2300" w:type="dxa"/>
            <w:tcBorders>
              <w:top w:val="single" w:sz="4" w:space="0" w:color="000000"/>
              <w:left w:val="single" w:sz="4" w:space="0" w:color="000000"/>
              <w:bottom w:val="single" w:sz="4" w:space="0" w:color="000000"/>
              <w:right w:val="single" w:sz="4" w:space="0" w:color="000000"/>
            </w:tcBorders>
          </w:tcPr>
          <w:p w14:paraId="4A94F9D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Résidus de SS-3, indice de qualité de SS-2.</w:t>
            </w:r>
          </w:p>
        </w:tc>
        <w:tc>
          <w:tcPr>
            <w:tcW w:w="2400" w:type="dxa"/>
            <w:tcBorders>
              <w:top w:val="single" w:sz="4" w:space="0" w:color="000000"/>
              <w:left w:val="single" w:sz="4" w:space="0" w:color="000000"/>
              <w:bottom w:val="single" w:sz="4" w:space="0" w:color="000000"/>
              <w:right w:val="single" w:sz="4" w:space="0" w:color="000000"/>
            </w:tcBorders>
          </w:tcPr>
          <w:p w14:paraId="5041961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estimé parmi normal, dérive, anomalie et incertain ; niveau de confiance ; variables contributrices.</w:t>
            </w:r>
          </w:p>
        </w:tc>
        <w:tc>
          <w:tcPr>
            <w:tcW w:w="907" w:type="dxa"/>
            <w:tcBorders>
              <w:top w:val="single" w:sz="4" w:space="0" w:color="000000"/>
              <w:left w:val="single" w:sz="4" w:space="0" w:color="000000"/>
              <w:bottom w:val="single" w:sz="4" w:space="0" w:color="000000"/>
              <w:right w:val="single" w:sz="4" w:space="0" w:color="000000"/>
            </w:tcBorders>
          </w:tcPr>
          <w:p w14:paraId="7F27697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w:t>
            </w:r>
          </w:p>
        </w:tc>
      </w:tr>
      <w:tr w:rsidR="00F50D70" w:rsidRPr="00BE4F47" w14:paraId="6AF27FB0"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448F375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SS-5</w:t>
            </w:r>
          </w:p>
        </w:tc>
        <w:tc>
          <w:tcPr>
            <w:tcW w:w="2300" w:type="dxa"/>
            <w:tcBorders>
              <w:top w:val="single" w:sz="4" w:space="0" w:color="000000"/>
              <w:left w:val="single" w:sz="4" w:space="0" w:color="000000"/>
              <w:bottom w:val="single" w:sz="4" w:space="0" w:color="000000"/>
              <w:right w:val="single" w:sz="4" w:space="0" w:color="000000"/>
            </w:tcBorders>
          </w:tcPr>
          <w:p w14:paraId="454BA8A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Présenter l’état, la confiance et les contributions à l’opérateur, sans commander l’installation.</w:t>
            </w:r>
          </w:p>
        </w:tc>
        <w:tc>
          <w:tcPr>
            <w:tcW w:w="2300" w:type="dxa"/>
            <w:tcBorders>
              <w:top w:val="single" w:sz="4" w:space="0" w:color="000000"/>
              <w:left w:val="single" w:sz="4" w:space="0" w:color="000000"/>
              <w:bottom w:val="single" w:sz="4" w:space="0" w:color="000000"/>
              <w:right w:val="single" w:sz="4" w:space="0" w:color="000000"/>
            </w:tcBorders>
          </w:tcPr>
          <w:p w14:paraId="0292D00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Sortie de SS-4, journal de SS-2.</w:t>
            </w:r>
          </w:p>
        </w:tc>
        <w:tc>
          <w:tcPr>
            <w:tcW w:w="2400" w:type="dxa"/>
            <w:tcBorders>
              <w:top w:val="single" w:sz="4" w:space="0" w:color="000000"/>
              <w:left w:val="single" w:sz="4" w:space="0" w:color="000000"/>
              <w:bottom w:val="single" w:sz="4" w:space="0" w:color="000000"/>
              <w:right w:val="single" w:sz="4" w:space="0" w:color="000000"/>
            </w:tcBorders>
          </w:tcPr>
          <w:p w14:paraId="5543C54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Affichage, recommandation, mention explicite de l’incertitude, demande de validation humaine.</w:t>
            </w:r>
          </w:p>
        </w:tc>
        <w:tc>
          <w:tcPr>
            <w:tcW w:w="907" w:type="dxa"/>
            <w:tcBorders>
              <w:top w:val="single" w:sz="4" w:space="0" w:color="000000"/>
              <w:left w:val="single" w:sz="4" w:space="0" w:color="000000"/>
              <w:bottom w:val="single" w:sz="4" w:space="0" w:color="000000"/>
              <w:right w:val="single" w:sz="4" w:space="0" w:color="000000"/>
            </w:tcBorders>
          </w:tcPr>
          <w:p w14:paraId="23F4371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w:t>
            </w:r>
          </w:p>
        </w:tc>
      </w:tr>
      <w:tr w:rsidR="00F50D70" w:rsidRPr="00BE4F47" w14:paraId="52BEA088"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7419795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SS-6</w:t>
            </w:r>
          </w:p>
        </w:tc>
        <w:tc>
          <w:tcPr>
            <w:tcW w:w="2300" w:type="dxa"/>
            <w:tcBorders>
              <w:top w:val="single" w:sz="4" w:space="0" w:color="000000"/>
              <w:left w:val="single" w:sz="4" w:space="0" w:color="000000"/>
              <w:bottom w:val="single" w:sz="4" w:space="0" w:color="000000"/>
              <w:right w:val="single" w:sz="4" w:space="0" w:color="000000"/>
            </w:tcBorders>
          </w:tcPr>
          <w:p w14:paraId="10503EB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Journaliser, horodater et protéger l’intégrité de la chaîne, de l’acquisition à l’affichage.</w:t>
            </w:r>
          </w:p>
        </w:tc>
        <w:tc>
          <w:tcPr>
            <w:tcW w:w="2300" w:type="dxa"/>
            <w:tcBorders>
              <w:top w:val="single" w:sz="4" w:space="0" w:color="000000"/>
              <w:left w:val="single" w:sz="4" w:space="0" w:color="000000"/>
              <w:bottom w:val="single" w:sz="4" w:space="0" w:color="000000"/>
              <w:right w:val="single" w:sz="4" w:space="0" w:color="000000"/>
            </w:tcBorders>
          </w:tcPr>
          <w:p w14:paraId="7181E88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Événements émis par SS-2, SS-3, SS-4 et SS-5.</w:t>
            </w:r>
          </w:p>
        </w:tc>
        <w:tc>
          <w:tcPr>
            <w:tcW w:w="2400" w:type="dxa"/>
            <w:tcBorders>
              <w:top w:val="single" w:sz="4" w:space="0" w:color="000000"/>
              <w:left w:val="single" w:sz="4" w:space="0" w:color="000000"/>
              <w:bottom w:val="single" w:sz="4" w:space="0" w:color="000000"/>
              <w:right w:val="single" w:sz="4" w:space="0" w:color="000000"/>
            </w:tcBorders>
          </w:tcPr>
          <w:p w14:paraId="1FC2C09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 horodaté et vérifiable, contrôles d’intégrité, cloisonnement des interfaces.</w:t>
            </w:r>
          </w:p>
        </w:tc>
        <w:tc>
          <w:tcPr>
            <w:tcW w:w="907" w:type="dxa"/>
            <w:tcBorders>
              <w:top w:val="single" w:sz="4" w:space="0" w:color="000000"/>
              <w:left w:val="single" w:sz="4" w:space="0" w:color="000000"/>
              <w:bottom w:val="single" w:sz="4" w:space="0" w:color="000000"/>
              <w:right w:val="single" w:sz="4" w:space="0" w:color="000000"/>
            </w:tcBorders>
          </w:tcPr>
          <w:p w14:paraId="0D640FC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L5</w:t>
            </w:r>
          </w:p>
        </w:tc>
      </w:tr>
    </w:tbl>
    <w:p w14:paraId="76216DAD" w14:textId="77777777" w:rsidR="00F50D70" w:rsidRPr="00BE4F47" w:rsidRDefault="00000000" w:rsidP="008E113B">
      <w:pPr>
        <w:spacing w:after="130" w:line="360" w:lineRule="auto"/>
        <w:ind w:left="360"/>
        <w:rPr>
          <w:rFonts w:ascii="Aptos" w:hAnsi="Aptos"/>
        </w:rPr>
      </w:pPr>
      <w:bookmarkStart w:id="48" w:name="_Toc241082801"/>
      <w:r w:rsidRPr="00BE4F47">
        <w:rPr>
          <w:rFonts w:ascii="Aptos" w:eastAsia="Calibri" w:hAnsi="Aptos" w:cs="Calibri"/>
          <w:color w:val="1A1A19"/>
          <w:sz w:val="20"/>
          <w:szCs w:val="20"/>
        </w:rPr>
        <w:t>Les six sous-systèmes se relient par six flux d’information. Chaque flux porte un contenu identifié et un moyen de vérification.</w:t>
      </w:r>
      <w:bookmarkEnd w:id="48"/>
    </w:p>
    <w:p w14:paraId="7B7971BE" w14:textId="77777777" w:rsidR="00F50D70" w:rsidRPr="00BE4F47" w:rsidRDefault="00000000" w:rsidP="008E113B">
      <w:pPr>
        <w:pStyle w:val="Lgende"/>
        <w:spacing w:line="360" w:lineRule="auto"/>
        <w:rPr>
          <w:rFonts w:ascii="Aptos" w:hAnsi="Aptos"/>
        </w:rPr>
      </w:pPr>
      <w:bookmarkStart w:id="49" w:name="_Toc241082802"/>
      <w:r w:rsidRPr="00BE4F47">
        <w:rPr>
          <w:rFonts w:ascii="Aptos" w:hAnsi="Aptos"/>
        </w:rPr>
        <w:t>Tableau 1-4. Flux d’information entre les sous-systèmes</w:t>
      </w:r>
      <w:bookmarkEnd w:id="49"/>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600"/>
        <w:gridCol w:w="900"/>
        <w:gridCol w:w="900"/>
        <w:gridCol w:w="3000"/>
        <w:gridCol w:w="3157"/>
      </w:tblGrid>
      <w:tr w:rsidR="00F50D70" w:rsidRPr="00BE4F47" w14:paraId="37526D3B" w14:textId="77777777" w:rsidTr="0036725C">
        <w:trPr>
          <w:trHeight w:val="227"/>
          <w:tblHeader/>
        </w:trPr>
        <w:tc>
          <w:tcPr>
            <w:tcW w:w="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D0D757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Flux</w:t>
            </w:r>
          </w:p>
        </w:tc>
        <w:tc>
          <w:tcPr>
            <w:tcW w:w="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85F4DC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De</w:t>
            </w:r>
          </w:p>
        </w:tc>
        <w:tc>
          <w:tcPr>
            <w:tcW w:w="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B37FAD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Vers</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D9F471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Contenu</w:t>
            </w:r>
          </w:p>
        </w:tc>
        <w:tc>
          <w:tcPr>
            <w:tcW w:w="31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276817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qu’il permet de vérifier</w:t>
            </w:r>
          </w:p>
        </w:tc>
      </w:tr>
      <w:tr w:rsidR="00F50D70" w:rsidRPr="00BE4F47" w14:paraId="3B1E868E"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70353B9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F1</w:t>
            </w:r>
          </w:p>
        </w:tc>
        <w:tc>
          <w:tcPr>
            <w:tcW w:w="900" w:type="dxa"/>
            <w:tcBorders>
              <w:top w:val="single" w:sz="4" w:space="0" w:color="000000"/>
              <w:left w:val="single" w:sz="4" w:space="0" w:color="000000"/>
              <w:bottom w:val="single" w:sz="4" w:space="0" w:color="000000"/>
              <w:right w:val="single" w:sz="4" w:space="0" w:color="000000"/>
            </w:tcBorders>
          </w:tcPr>
          <w:p w14:paraId="453BCA7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Scénario d’essai</w:t>
            </w:r>
          </w:p>
        </w:tc>
        <w:tc>
          <w:tcPr>
            <w:tcW w:w="900" w:type="dxa"/>
            <w:tcBorders>
              <w:top w:val="single" w:sz="4" w:space="0" w:color="000000"/>
              <w:left w:val="single" w:sz="4" w:space="0" w:color="000000"/>
              <w:bottom w:val="single" w:sz="4" w:space="0" w:color="000000"/>
              <w:right w:val="single" w:sz="4" w:space="0" w:color="000000"/>
            </w:tcBorders>
          </w:tcPr>
          <w:p w14:paraId="21D2796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SS-1</w:t>
            </w:r>
          </w:p>
        </w:tc>
        <w:tc>
          <w:tcPr>
            <w:tcW w:w="3000" w:type="dxa"/>
            <w:tcBorders>
              <w:top w:val="single" w:sz="4" w:space="0" w:color="000000"/>
              <w:left w:val="single" w:sz="4" w:space="0" w:color="000000"/>
              <w:bottom w:val="single" w:sz="4" w:space="0" w:color="000000"/>
              <w:right w:val="single" w:sz="4" w:space="0" w:color="000000"/>
            </w:tcBorders>
          </w:tcPr>
          <w:p w14:paraId="2288B6F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Consigne de fonctionnement et ordre d’injection de défaillance.</w:t>
            </w:r>
          </w:p>
        </w:tc>
        <w:tc>
          <w:tcPr>
            <w:tcW w:w="3157" w:type="dxa"/>
            <w:tcBorders>
              <w:top w:val="single" w:sz="4" w:space="0" w:color="000000"/>
              <w:left w:val="single" w:sz="4" w:space="0" w:color="000000"/>
              <w:bottom w:val="single" w:sz="4" w:space="0" w:color="000000"/>
              <w:right w:val="single" w:sz="4" w:space="0" w:color="000000"/>
            </w:tcBorders>
          </w:tcPr>
          <w:p w14:paraId="71E00B4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Qu’un même scénario produit deux fois la même trajectoire (EX-Q-05).</w:t>
            </w:r>
          </w:p>
        </w:tc>
      </w:tr>
      <w:tr w:rsidR="00F50D70" w:rsidRPr="00BE4F47" w14:paraId="7C14221F"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1D1CB98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F2</w:t>
            </w:r>
          </w:p>
        </w:tc>
        <w:tc>
          <w:tcPr>
            <w:tcW w:w="900" w:type="dxa"/>
            <w:tcBorders>
              <w:top w:val="single" w:sz="4" w:space="0" w:color="000000"/>
              <w:left w:val="single" w:sz="4" w:space="0" w:color="000000"/>
              <w:bottom w:val="single" w:sz="4" w:space="0" w:color="000000"/>
              <w:right w:val="single" w:sz="4" w:space="0" w:color="000000"/>
            </w:tcBorders>
          </w:tcPr>
          <w:p w14:paraId="7207000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SS-1</w:t>
            </w:r>
          </w:p>
        </w:tc>
        <w:tc>
          <w:tcPr>
            <w:tcW w:w="900" w:type="dxa"/>
            <w:tcBorders>
              <w:top w:val="single" w:sz="4" w:space="0" w:color="000000"/>
              <w:left w:val="single" w:sz="4" w:space="0" w:color="000000"/>
              <w:bottom w:val="single" w:sz="4" w:space="0" w:color="000000"/>
              <w:right w:val="single" w:sz="4" w:space="0" w:color="000000"/>
            </w:tcBorders>
          </w:tcPr>
          <w:p w14:paraId="11991A6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SS-2</w:t>
            </w:r>
          </w:p>
        </w:tc>
        <w:tc>
          <w:tcPr>
            <w:tcW w:w="3000" w:type="dxa"/>
            <w:tcBorders>
              <w:top w:val="single" w:sz="4" w:space="0" w:color="000000"/>
              <w:left w:val="single" w:sz="4" w:space="0" w:color="000000"/>
              <w:bottom w:val="single" w:sz="4" w:space="0" w:color="000000"/>
              <w:right w:val="single" w:sz="4" w:space="0" w:color="000000"/>
            </w:tcBorders>
          </w:tcPr>
          <w:p w14:paraId="3995F59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Grandeurs vraies de température, de pression et de débit.</w:t>
            </w:r>
          </w:p>
        </w:tc>
        <w:tc>
          <w:tcPr>
            <w:tcW w:w="3157" w:type="dxa"/>
            <w:tcBorders>
              <w:top w:val="single" w:sz="4" w:space="0" w:color="000000"/>
              <w:left w:val="single" w:sz="4" w:space="0" w:color="000000"/>
              <w:bottom w:val="single" w:sz="4" w:space="0" w:color="000000"/>
              <w:right w:val="single" w:sz="4" w:space="0" w:color="000000"/>
            </w:tcBorders>
          </w:tcPr>
          <w:p w14:paraId="48FBB9C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la boucle simulée reste dans son domaine de validité (EX-C-01).</w:t>
            </w:r>
          </w:p>
        </w:tc>
      </w:tr>
      <w:tr w:rsidR="00F50D70" w:rsidRPr="00BE4F47" w14:paraId="6BC1E8FF"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2B6DFCF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F3</w:t>
            </w:r>
          </w:p>
        </w:tc>
        <w:tc>
          <w:tcPr>
            <w:tcW w:w="900" w:type="dxa"/>
            <w:tcBorders>
              <w:top w:val="single" w:sz="4" w:space="0" w:color="000000"/>
              <w:left w:val="single" w:sz="4" w:space="0" w:color="000000"/>
              <w:bottom w:val="single" w:sz="4" w:space="0" w:color="000000"/>
              <w:right w:val="single" w:sz="4" w:space="0" w:color="000000"/>
            </w:tcBorders>
          </w:tcPr>
          <w:p w14:paraId="358F6E5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SS-2</w:t>
            </w:r>
          </w:p>
        </w:tc>
        <w:tc>
          <w:tcPr>
            <w:tcW w:w="900" w:type="dxa"/>
            <w:tcBorders>
              <w:top w:val="single" w:sz="4" w:space="0" w:color="000000"/>
              <w:left w:val="single" w:sz="4" w:space="0" w:color="000000"/>
              <w:bottom w:val="single" w:sz="4" w:space="0" w:color="000000"/>
              <w:right w:val="single" w:sz="4" w:space="0" w:color="000000"/>
            </w:tcBorders>
          </w:tcPr>
          <w:p w14:paraId="5A8815A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SS-3</w:t>
            </w:r>
          </w:p>
        </w:tc>
        <w:tc>
          <w:tcPr>
            <w:tcW w:w="3000" w:type="dxa"/>
            <w:tcBorders>
              <w:top w:val="single" w:sz="4" w:space="0" w:color="000000"/>
              <w:left w:val="single" w:sz="4" w:space="0" w:color="000000"/>
              <w:bottom w:val="single" w:sz="4" w:space="0" w:color="000000"/>
              <w:right w:val="single" w:sz="4" w:space="0" w:color="000000"/>
            </w:tcBorders>
          </w:tcPr>
          <w:p w14:paraId="31B3AE0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Mesures horodatées assorties d’un indice de qualité.</w:t>
            </w:r>
          </w:p>
        </w:tc>
        <w:tc>
          <w:tcPr>
            <w:tcW w:w="3157" w:type="dxa"/>
            <w:tcBorders>
              <w:top w:val="single" w:sz="4" w:space="0" w:color="000000"/>
              <w:left w:val="single" w:sz="4" w:space="0" w:color="000000"/>
              <w:bottom w:val="single" w:sz="4" w:space="0" w:color="000000"/>
              <w:right w:val="single" w:sz="4" w:space="0" w:color="000000"/>
            </w:tcBorders>
          </w:tcPr>
          <w:p w14:paraId="55279D1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Que la dégradation appliquée </w:t>
            </w:r>
            <w:proofErr w:type="gramStart"/>
            <w:r w:rsidRPr="00BE4F47">
              <w:rPr>
                <w:rFonts w:ascii="Aptos" w:eastAsia="Calibri" w:hAnsi="Aptos" w:cs="Calibri"/>
                <w:color w:val="1A1A19"/>
                <w:sz w:val="16"/>
                <w:szCs w:val="16"/>
              </w:rPr>
              <w:t>est</w:t>
            </w:r>
            <w:proofErr w:type="gramEnd"/>
            <w:r w:rsidRPr="00BE4F47">
              <w:rPr>
                <w:rFonts w:ascii="Aptos" w:eastAsia="Calibri" w:hAnsi="Aptos" w:cs="Calibri"/>
                <w:color w:val="1A1A19"/>
                <w:sz w:val="16"/>
                <w:szCs w:val="16"/>
              </w:rPr>
              <w:t xml:space="preserve"> celle qui était demandée (EX-F-03).</w:t>
            </w:r>
          </w:p>
        </w:tc>
      </w:tr>
      <w:tr w:rsidR="00F50D70" w:rsidRPr="00BE4F47" w14:paraId="5AC29D9C"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09146B9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F4</w:t>
            </w:r>
          </w:p>
        </w:tc>
        <w:tc>
          <w:tcPr>
            <w:tcW w:w="900" w:type="dxa"/>
            <w:tcBorders>
              <w:top w:val="single" w:sz="4" w:space="0" w:color="000000"/>
              <w:left w:val="single" w:sz="4" w:space="0" w:color="000000"/>
              <w:bottom w:val="single" w:sz="4" w:space="0" w:color="000000"/>
              <w:right w:val="single" w:sz="4" w:space="0" w:color="000000"/>
            </w:tcBorders>
          </w:tcPr>
          <w:p w14:paraId="6F70112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SS-3</w:t>
            </w:r>
          </w:p>
        </w:tc>
        <w:tc>
          <w:tcPr>
            <w:tcW w:w="900" w:type="dxa"/>
            <w:tcBorders>
              <w:top w:val="single" w:sz="4" w:space="0" w:color="000000"/>
              <w:left w:val="single" w:sz="4" w:space="0" w:color="000000"/>
              <w:bottom w:val="single" w:sz="4" w:space="0" w:color="000000"/>
              <w:right w:val="single" w:sz="4" w:space="0" w:color="000000"/>
            </w:tcBorders>
          </w:tcPr>
          <w:p w14:paraId="394F508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SS-4</w:t>
            </w:r>
          </w:p>
        </w:tc>
        <w:tc>
          <w:tcPr>
            <w:tcW w:w="3000" w:type="dxa"/>
            <w:tcBorders>
              <w:top w:val="single" w:sz="4" w:space="0" w:color="000000"/>
              <w:left w:val="single" w:sz="4" w:space="0" w:color="000000"/>
              <w:bottom w:val="single" w:sz="4" w:space="0" w:color="000000"/>
              <w:right w:val="single" w:sz="4" w:space="0" w:color="000000"/>
            </w:tcBorders>
          </w:tcPr>
          <w:p w14:paraId="32D0FD9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Résidus entre comportement observé et comportement attendu.</w:t>
            </w:r>
          </w:p>
        </w:tc>
        <w:tc>
          <w:tcPr>
            <w:tcW w:w="3157" w:type="dxa"/>
            <w:tcBorders>
              <w:top w:val="single" w:sz="4" w:space="0" w:color="000000"/>
              <w:left w:val="single" w:sz="4" w:space="0" w:color="000000"/>
              <w:bottom w:val="single" w:sz="4" w:space="0" w:color="000000"/>
              <w:right w:val="single" w:sz="4" w:space="0" w:color="000000"/>
            </w:tcBorders>
          </w:tcPr>
          <w:p w14:paraId="169E878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l’écart entre les deux modèles reste sous le seuil retenu (EX-Q-01).</w:t>
            </w:r>
          </w:p>
        </w:tc>
      </w:tr>
      <w:tr w:rsidR="00F50D70" w:rsidRPr="00BE4F47" w14:paraId="1EB00297"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772559C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F5</w:t>
            </w:r>
          </w:p>
        </w:tc>
        <w:tc>
          <w:tcPr>
            <w:tcW w:w="900" w:type="dxa"/>
            <w:tcBorders>
              <w:top w:val="single" w:sz="4" w:space="0" w:color="000000"/>
              <w:left w:val="single" w:sz="4" w:space="0" w:color="000000"/>
              <w:bottom w:val="single" w:sz="4" w:space="0" w:color="000000"/>
              <w:right w:val="single" w:sz="4" w:space="0" w:color="000000"/>
            </w:tcBorders>
          </w:tcPr>
          <w:p w14:paraId="6EF183D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SS-4</w:t>
            </w:r>
          </w:p>
        </w:tc>
        <w:tc>
          <w:tcPr>
            <w:tcW w:w="900" w:type="dxa"/>
            <w:tcBorders>
              <w:top w:val="single" w:sz="4" w:space="0" w:color="000000"/>
              <w:left w:val="single" w:sz="4" w:space="0" w:color="000000"/>
              <w:bottom w:val="single" w:sz="4" w:space="0" w:color="000000"/>
              <w:right w:val="single" w:sz="4" w:space="0" w:color="000000"/>
            </w:tcBorders>
          </w:tcPr>
          <w:p w14:paraId="425C1F5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SS-5</w:t>
            </w:r>
          </w:p>
        </w:tc>
        <w:tc>
          <w:tcPr>
            <w:tcW w:w="3000" w:type="dxa"/>
            <w:tcBorders>
              <w:top w:val="single" w:sz="4" w:space="0" w:color="000000"/>
              <w:left w:val="single" w:sz="4" w:space="0" w:color="000000"/>
              <w:bottom w:val="single" w:sz="4" w:space="0" w:color="000000"/>
              <w:right w:val="single" w:sz="4" w:space="0" w:color="000000"/>
            </w:tcBorders>
          </w:tcPr>
          <w:p w14:paraId="632AD15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estimé, niveau de confiance, variables contributrices.</w:t>
            </w:r>
          </w:p>
        </w:tc>
        <w:tc>
          <w:tcPr>
            <w:tcW w:w="3157" w:type="dxa"/>
            <w:tcBorders>
              <w:top w:val="single" w:sz="4" w:space="0" w:color="000000"/>
              <w:left w:val="single" w:sz="4" w:space="0" w:color="000000"/>
              <w:bottom w:val="single" w:sz="4" w:space="0" w:color="000000"/>
              <w:right w:val="single" w:sz="4" w:space="0" w:color="000000"/>
            </w:tcBorders>
          </w:tcPr>
          <w:p w14:paraId="7CAD47F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l’état « incertain » apparaît bien quand les données manquent (EX-F-06).</w:t>
            </w:r>
          </w:p>
        </w:tc>
      </w:tr>
      <w:tr w:rsidR="00F50D70" w:rsidRPr="00BE4F47" w14:paraId="0C6AAAB2"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6160258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F6</w:t>
            </w:r>
          </w:p>
        </w:tc>
        <w:tc>
          <w:tcPr>
            <w:tcW w:w="900" w:type="dxa"/>
            <w:tcBorders>
              <w:top w:val="single" w:sz="4" w:space="0" w:color="000000"/>
              <w:left w:val="single" w:sz="4" w:space="0" w:color="000000"/>
              <w:bottom w:val="single" w:sz="4" w:space="0" w:color="000000"/>
              <w:right w:val="single" w:sz="4" w:space="0" w:color="000000"/>
            </w:tcBorders>
          </w:tcPr>
          <w:p w14:paraId="408DBC7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SS-5</w:t>
            </w:r>
          </w:p>
        </w:tc>
        <w:tc>
          <w:tcPr>
            <w:tcW w:w="900" w:type="dxa"/>
            <w:tcBorders>
              <w:top w:val="single" w:sz="4" w:space="0" w:color="000000"/>
              <w:left w:val="single" w:sz="4" w:space="0" w:color="000000"/>
              <w:bottom w:val="single" w:sz="4" w:space="0" w:color="000000"/>
              <w:right w:val="single" w:sz="4" w:space="0" w:color="000000"/>
            </w:tcBorders>
          </w:tcPr>
          <w:p w14:paraId="1883C8B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Opérateur</w:t>
            </w:r>
          </w:p>
        </w:tc>
        <w:tc>
          <w:tcPr>
            <w:tcW w:w="3000" w:type="dxa"/>
            <w:tcBorders>
              <w:top w:val="single" w:sz="4" w:space="0" w:color="000000"/>
              <w:left w:val="single" w:sz="4" w:space="0" w:color="000000"/>
              <w:bottom w:val="single" w:sz="4" w:space="0" w:color="000000"/>
              <w:right w:val="single" w:sz="4" w:space="0" w:color="000000"/>
            </w:tcBorders>
          </w:tcPr>
          <w:p w14:paraId="12B80A1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Affichage, recommandation, demande de validation.</w:t>
            </w:r>
          </w:p>
        </w:tc>
        <w:tc>
          <w:tcPr>
            <w:tcW w:w="3157" w:type="dxa"/>
            <w:tcBorders>
              <w:top w:val="single" w:sz="4" w:space="0" w:color="000000"/>
              <w:left w:val="single" w:sz="4" w:space="0" w:color="000000"/>
              <w:bottom w:val="single" w:sz="4" w:space="0" w:color="000000"/>
              <w:right w:val="single" w:sz="4" w:space="0" w:color="000000"/>
            </w:tcBorders>
          </w:tcPr>
          <w:p w14:paraId="3969017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Qu’aucune commande n’est émise vers l’installation (EX-F-08).</w:t>
            </w:r>
          </w:p>
        </w:tc>
      </w:tr>
    </w:tbl>
    <w:p w14:paraId="73232E6D" w14:textId="77777777" w:rsidR="00F50D70" w:rsidRPr="00BE4F47" w:rsidRDefault="00000000" w:rsidP="008E113B">
      <w:pPr>
        <w:spacing w:after="130" w:line="360" w:lineRule="auto"/>
        <w:ind w:left="360"/>
        <w:rPr>
          <w:rFonts w:ascii="Aptos" w:hAnsi="Aptos"/>
        </w:rPr>
      </w:pPr>
      <w:bookmarkStart w:id="50" w:name="_Toc241082803"/>
      <w:r w:rsidRPr="00BE4F47">
        <w:rPr>
          <w:rFonts w:ascii="Aptos" w:eastAsia="Calibri" w:hAnsi="Aptos" w:cs="Calibri"/>
          <w:color w:val="1A1A19"/>
          <w:sz w:val="20"/>
          <w:szCs w:val="20"/>
        </w:rPr>
        <w:t>SS-6 est transverse : il accompagne la chaîne de bout en bout au lieu d’y prendre place, ce qui correspond à l’exigence de journalisation EX-F-10 et au corpus de cybersécurité de la section 6. La chaîne s’arrête à SS-5 et aucun flux ne repart vers la boucle. Cette absence de boucle de retour est une décision de conception qui matérialise l’exclusion de toute commande automatique.</w:t>
      </w:r>
      <w:bookmarkEnd w:id="50"/>
    </w:p>
    <w:p w14:paraId="27B8FB8B" w14:textId="77777777" w:rsidR="00F50D70" w:rsidRPr="00BE4F47" w:rsidRDefault="00F50D70" w:rsidP="008E113B">
      <w:pPr>
        <w:spacing w:line="360" w:lineRule="auto"/>
        <w:ind w:left="360"/>
        <w:rPr>
          <w:rFonts w:ascii="Aptos" w:hAnsi="Aptos"/>
        </w:rPr>
      </w:pPr>
    </w:p>
    <w:p w14:paraId="7E96C55B" w14:textId="77777777" w:rsidR="00F50D70" w:rsidRDefault="00000000" w:rsidP="008E113B">
      <w:pPr>
        <w:pStyle w:val="Titre2"/>
        <w:spacing w:line="360" w:lineRule="auto"/>
        <w:rPr>
          <w:rFonts w:ascii="Aptos" w:hAnsi="Aptos"/>
        </w:rPr>
      </w:pPr>
      <w:bookmarkStart w:id="51" w:name="__RefHeading___Toc240715072"/>
      <w:bookmarkStart w:id="52" w:name="_Toc241082804"/>
      <w:bookmarkEnd w:id="51"/>
      <w:r w:rsidRPr="00BE4F47">
        <w:rPr>
          <w:rFonts w:ascii="Aptos" w:hAnsi="Aptos"/>
        </w:rPr>
        <w:lastRenderedPageBreak/>
        <w:t>Périmètre inclus/exclus</w:t>
      </w:r>
      <w:bookmarkEnd w:id="52"/>
    </w:p>
    <w:p w14:paraId="791E274C" w14:textId="77777777" w:rsidR="00136F18" w:rsidRPr="00BE4F47" w:rsidRDefault="00136F18" w:rsidP="008E113B">
      <w:pPr>
        <w:spacing w:line="360" w:lineRule="auto"/>
        <w:ind w:left="360"/>
        <w:rPr>
          <w:rFonts w:ascii="Aptos" w:eastAsia="Calibri" w:hAnsi="Aptos" w:cs="Calibri"/>
          <w:color w:val="1A1A19"/>
          <w:sz w:val="20"/>
          <w:szCs w:val="20"/>
        </w:rPr>
      </w:pPr>
      <w:bookmarkStart w:id="53" w:name="_Toc241082805"/>
      <w:r w:rsidRPr="00BE4F47">
        <w:rPr>
          <w:rFonts w:ascii="Aptos" w:eastAsia="Calibri" w:hAnsi="Aptos" w:cs="Calibri"/>
          <w:color w:val="1A1A19"/>
          <w:sz w:val="20"/>
          <w:szCs w:val="20"/>
        </w:rPr>
        <w:t>Sont exclus du périmètre : la modélisation complète de la centrale, le raccordement à une installation nucléaire réelle, la connexion à des équipements réels, et toute forme de commande automatique de l’installation. Ces exclusions sont reprises comme exigences de périmètre en 1.7.4 et comme exclusions de livrables en 2.4.</w:t>
      </w:r>
      <w:bookmarkEnd w:id="53"/>
    </w:p>
    <w:p w14:paraId="14D6768A" w14:textId="77777777" w:rsidR="00136F18" w:rsidRPr="00136F18" w:rsidRDefault="00136F18" w:rsidP="008E113B">
      <w:pPr>
        <w:spacing w:line="360" w:lineRule="auto"/>
      </w:pPr>
    </w:p>
    <w:p w14:paraId="028E3D37" w14:textId="77777777" w:rsidR="00F50D70" w:rsidRPr="00BE4F47" w:rsidRDefault="00000000" w:rsidP="008E113B">
      <w:pPr>
        <w:pStyle w:val="Titre2"/>
        <w:spacing w:line="360" w:lineRule="auto"/>
        <w:rPr>
          <w:rFonts w:ascii="Aptos" w:hAnsi="Aptos"/>
        </w:rPr>
      </w:pPr>
      <w:bookmarkStart w:id="54" w:name="_Toc241082806"/>
      <w:r w:rsidRPr="00BE4F47">
        <w:rPr>
          <w:rFonts w:ascii="Aptos" w:hAnsi="Aptos"/>
        </w:rPr>
        <w:t>Priorisation des besoins</w:t>
      </w:r>
      <w:bookmarkEnd w:id="54"/>
    </w:p>
    <w:p w14:paraId="25CF197C" w14:textId="77777777" w:rsidR="00F50D70" w:rsidRPr="00BE4F47" w:rsidRDefault="00000000" w:rsidP="008E113B">
      <w:pPr>
        <w:spacing w:after="130" w:line="360" w:lineRule="auto"/>
        <w:ind w:left="360"/>
        <w:rPr>
          <w:rFonts w:ascii="Aptos" w:hAnsi="Aptos"/>
        </w:rPr>
      </w:pPr>
      <w:bookmarkStart w:id="55" w:name="_Toc241082807"/>
      <w:r w:rsidRPr="00BE4F47">
        <w:rPr>
          <w:rFonts w:ascii="Aptos" w:eastAsia="Calibri" w:hAnsi="Aptos" w:cs="Calibri"/>
          <w:color w:val="1A1A19"/>
          <w:sz w:val="20"/>
          <w:szCs w:val="20"/>
        </w:rPr>
        <w:t>La classification ci-dessous sert à décider quoi réduire en premier si l’enveloppe de 1 080 heures devient insuffisante, ce que le risque RP2 envisage. L’urgence dit à quel jalon le besoin doit être couvert, l’importance ce qui arrive s’il ne l’est pas.</w:t>
      </w:r>
      <w:bookmarkEnd w:id="55"/>
    </w:p>
    <w:p w14:paraId="15116DDD" w14:textId="77777777" w:rsidR="00F50D70" w:rsidRPr="00BE4F47" w:rsidRDefault="00000000" w:rsidP="008E113B">
      <w:pPr>
        <w:pStyle w:val="Lgende"/>
        <w:spacing w:line="360" w:lineRule="auto"/>
        <w:rPr>
          <w:rFonts w:ascii="Aptos" w:hAnsi="Aptos"/>
        </w:rPr>
      </w:pPr>
      <w:bookmarkStart w:id="56" w:name="_Toc241082808"/>
      <w:r w:rsidRPr="00BE4F47">
        <w:rPr>
          <w:rFonts w:ascii="Aptos" w:hAnsi="Aptos"/>
        </w:rPr>
        <w:t>Tableau 1-5. Priorisation des besoins par urgence et par importance</w:t>
      </w:r>
      <w:bookmarkEnd w:id="56"/>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600"/>
        <w:gridCol w:w="2700"/>
        <w:gridCol w:w="800"/>
        <w:gridCol w:w="1000"/>
        <w:gridCol w:w="3457"/>
      </w:tblGrid>
      <w:tr w:rsidR="00F50D70" w:rsidRPr="00BE4F47" w14:paraId="5AE060BA" w14:textId="77777777" w:rsidTr="0036725C">
        <w:trPr>
          <w:trHeight w:val="227"/>
          <w:tblHeader/>
        </w:trPr>
        <w:tc>
          <w:tcPr>
            <w:tcW w:w="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8B06A2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Rang</w:t>
            </w:r>
          </w:p>
        </w:tc>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2E58D8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Besoin</w:t>
            </w:r>
          </w:p>
        </w:tc>
        <w:tc>
          <w:tcPr>
            <w:tcW w:w="8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B7407D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Urgence</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D5E27C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Importance</w:t>
            </w:r>
          </w:p>
        </w:tc>
        <w:tc>
          <w:tcPr>
            <w:tcW w:w="34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02948F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si non couvert</w:t>
            </w:r>
          </w:p>
        </w:tc>
      </w:tr>
      <w:tr w:rsidR="00F50D70" w:rsidRPr="00BE4F47" w14:paraId="66263B66"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6CEBA03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1</w:t>
            </w:r>
          </w:p>
        </w:tc>
        <w:tc>
          <w:tcPr>
            <w:tcW w:w="2700" w:type="dxa"/>
            <w:tcBorders>
              <w:top w:val="single" w:sz="4" w:space="0" w:color="000000"/>
              <w:left w:val="single" w:sz="4" w:space="0" w:color="000000"/>
              <w:bottom w:val="single" w:sz="4" w:space="0" w:color="000000"/>
              <w:right w:val="single" w:sz="4" w:space="0" w:color="000000"/>
            </w:tcBorders>
          </w:tcPr>
          <w:p w14:paraId="266EB70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Rejouer des scénarios de défaillance de façon reproductible.</w:t>
            </w:r>
          </w:p>
        </w:tc>
        <w:tc>
          <w:tcPr>
            <w:tcW w:w="800" w:type="dxa"/>
            <w:tcBorders>
              <w:top w:val="single" w:sz="4" w:space="0" w:color="000000"/>
              <w:left w:val="single" w:sz="4" w:space="0" w:color="000000"/>
              <w:bottom w:val="single" w:sz="4" w:space="0" w:color="000000"/>
              <w:right w:val="single" w:sz="4" w:space="0" w:color="000000"/>
            </w:tcBorders>
          </w:tcPr>
          <w:p w14:paraId="0071297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000" w:type="dxa"/>
            <w:tcBorders>
              <w:top w:val="single" w:sz="4" w:space="0" w:color="000000"/>
              <w:left w:val="single" w:sz="4" w:space="0" w:color="000000"/>
              <w:bottom w:val="single" w:sz="4" w:space="0" w:color="000000"/>
              <w:right w:val="single" w:sz="4" w:space="0" w:color="000000"/>
            </w:tcBorders>
          </w:tcPr>
          <w:p w14:paraId="104FA4F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Critique</w:t>
            </w:r>
          </w:p>
        </w:tc>
        <w:tc>
          <w:tcPr>
            <w:tcW w:w="3457" w:type="dxa"/>
            <w:tcBorders>
              <w:top w:val="single" w:sz="4" w:space="0" w:color="000000"/>
              <w:left w:val="single" w:sz="4" w:space="0" w:color="000000"/>
              <w:bottom w:val="single" w:sz="4" w:space="0" w:color="000000"/>
              <w:right w:val="single" w:sz="4" w:space="0" w:color="000000"/>
            </w:tcBorders>
          </w:tcPr>
          <w:p w14:paraId="5A78C4E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perd son objet. Aucun autre besoin n’a de sens sans celui-là.</w:t>
            </w:r>
          </w:p>
        </w:tc>
      </w:tr>
      <w:tr w:rsidR="00F50D70" w:rsidRPr="00BE4F47" w14:paraId="50B5A500"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63C1B50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2</w:t>
            </w:r>
          </w:p>
        </w:tc>
        <w:tc>
          <w:tcPr>
            <w:tcW w:w="2700" w:type="dxa"/>
            <w:tcBorders>
              <w:top w:val="single" w:sz="4" w:space="0" w:color="000000"/>
              <w:left w:val="single" w:sz="4" w:space="0" w:color="000000"/>
              <w:bottom w:val="single" w:sz="4" w:space="0" w:color="000000"/>
              <w:right w:val="single" w:sz="4" w:space="0" w:color="000000"/>
            </w:tcBorders>
          </w:tcPr>
          <w:p w14:paraId="194AF33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Signaler l’incertitude plutôt que présenter un état douteux comme normal.</w:t>
            </w:r>
          </w:p>
        </w:tc>
        <w:tc>
          <w:tcPr>
            <w:tcW w:w="800" w:type="dxa"/>
            <w:tcBorders>
              <w:top w:val="single" w:sz="4" w:space="0" w:color="000000"/>
              <w:left w:val="single" w:sz="4" w:space="0" w:color="000000"/>
              <w:bottom w:val="single" w:sz="4" w:space="0" w:color="000000"/>
              <w:right w:val="single" w:sz="4" w:space="0" w:color="000000"/>
            </w:tcBorders>
          </w:tcPr>
          <w:p w14:paraId="6B61296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J3</w:t>
            </w:r>
          </w:p>
        </w:tc>
        <w:tc>
          <w:tcPr>
            <w:tcW w:w="1000" w:type="dxa"/>
            <w:tcBorders>
              <w:top w:val="single" w:sz="4" w:space="0" w:color="000000"/>
              <w:left w:val="single" w:sz="4" w:space="0" w:color="000000"/>
              <w:bottom w:val="single" w:sz="4" w:space="0" w:color="000000"/>
              <w:right w:val="single" w:sz="4" w:space="0" w:color="000000"/>
            </w:tcBorders>
          </w:tcPr>
          <w:p w14:paraId="097DEC2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Critique</w:t>
            </w:r>
          </w:p>
        </w:tc>
        <w:tc>
          <w:tcPr>
            <w:tcW w:w="3457" w:type="dxa"/>
            <w:tcBorders>
              <w:top w:val="single" w:sz="4" w:space="0" w:color="000000"/>
              <w:left w:val="single" w:sz="4" w:space="0" w:color="000000"/>
              <w:bottom w:val="single" w:sz="4" w:space="0" w:color="000000"/>
              <w:right w:val="single" w:sz="4" w:space="0" w:color="000000"/>
            </w:tcBorders>
          </w:tcPr>
          <w:p w14:paraId="3EDA1DC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système devient dangereux à utiliser. C’est le cœur de la protection du public.</w:t>
            </w:r>
          </w:p>
        </w:tc>
      </w:tr>
      <w:tr w:rsidR="00F50D70" w:rsidRPr="00BE4F47" w14:paraId="39A5E910"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6387C9F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3</w:t>
            </w:r>
          </w:p>
        </w:tc>
        <w:tc>
          <w:tcPr>
            <w:tcW w:w="2700" w:type="dxa"/>
            <w:tcBorders>
              <w:top w:val="single" w:sz="4" w:space="0" w:color="000000"/>
              <w:left w:val="single" w:sz="4" w:space="0" w:color="000000"/>
              <w:bottom w:val="single" w:sz="4" w:space="0" w:color="000000"/>
              <w:right w:val="single" w:sz="4" w:space="0" w:color="000000"/>
            </w:tcBorders>
          </w:tcPr>
          <w:p w14:paraId="6B5AED5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Comparer le comportement observé au comportement attendu.</w:t>
            </w:r>
          </w:p>
        </w:tc>
        <w:tc>
          <w:tcPr>
            <w:tcW w:w="800" w:type="dxa"/>
            <w:tcBorders>
              <w:top w:val="single" w:sz="4" w:space="0" w:color="000000"/>
              <w:left w:val="single" w:sz="4" w:space="0" w:color="000000"/>
              <w:bottom w:val="single" w:sz="4" w:space="0" w:color="000000"/>
              <w:right w:val="single" w:sz="4" w:space="0" w:color="000000"/>
            </w:tcBorders>
          </w:tcPr>
          <w:p w14:paraId="1A4F93F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000" w:type="dxa"/>
            <w:tcBorders>
              <w:top w:val="single" w:sz="4" w:space="0" w:color="000000"/>
              <w:left w:val="single" w:sz="4" w:space="0" w:color="000000"/>
              <w:bottom w:val="single" w:sz="4" w:space="0" w:color="000000"/>
              <w:right w:val="single" w:sz="4" w:space="0" w:color="000000"/>
            </w:tcBorders>
          </w:tcPr>
          <w:p w14:paraId="79ED677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Critique</w:t>
            </w:r>
          </w:p>
        </w:tc>
        <w:tc>
          <w:tcPr>
            <w:tcW w:w="3457" w:type="dxa"/>
            <w:tcBorders>
              <w:top w:val="single" w:sz="4" w:space="0" w:color="000000"/>
              <w:left w:val="single" w:sz="4" w:space="0" w:color="000000"/>
              <w:bottom w:val="single" w:sz="4" w:space="0" w:color="000000"/>
              <w:right w:val="single" w:sz="4" w:space="0" w:color="000000"/>
            </w:tcBorders>
          </w:tcPr>
          <w:p w14:paraId="23A630A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détection n’est possible.</w:t>
            </w:r>
          </w:p>
        </w:tc>
      </w:tr>
      <w:tr w:rsidR="00F50D70" w:rsidRPr="00BE4F47" w14:paraId="6AF3BF90"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2CEAD59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4</w:t>
            </w:r>
          </w:p>
        </w:tc>
        <w:tc>
          <w:tcPr>
            <w:tcW w:w="2700" w:type="dxa"/>
            <w:tcBorders>
              <w:top w:val="single" w:sz="4" w:space="0" w:color="000000"/>
              <w:left w:val="single" w:sz="4" w:space="0" w:color="000000"/>
              <w:bottom w:val="single" w:sz="4" w:space="0" w:color="000000"/>
              <w:right w:val="single" w:sz="4" w:space="0" w:color="000000"/>
            </w:tcBorders>
          </w:tcPr>
          <w:p w14:paraId="4810E65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Expliquer pourquoi le système conclut, en montrant les variables contributrices.</w:t>
            </w:r>
          </w:p>
        </w:tc>
        <w:tc>
          <w:tcPr>
            <w:tcW w:w="800" w:type="dxa"/>
            <w:tcBorders>
              <w:top w:val="single" w:sz="4" w:space="0" w:color="000000"/>
              <w:left w:val="single" w:sz="4" w:space="0" w:color="000000"/>
              <w:bottom w:val="single" w:sz="4" w:space="0" w:color="000000"/>
              <w:right w:val="single" w:sz="4" w:space="0" w:color="000000"/>
            </w:tcBorders>
          </w:tcPr>
          <w:p w14:paraId="4B613AF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J3</w:t>
            </w:r>
          </w:p>
        </w:tc>
        <w:tc>
          <w:tcPr>
            <w:tcW w:w="1000" w:type="dxa"/>
            <w:tcBorders>
              <w:top w:val="single" w:sz="4" w:space="0" w:color="000000"/>
              <w:left w:val="single" w:sz="4" w:space="0" w:color="000000"/>
              <w:bottom w:val="single" w:sz="4" w:space="0" w:color="000000"/>
              <w:right w:val="single" w:sz="4" w:space="0" w:color="000000"/>
            </w:tcBorders>
          </w:tcPr>
          <w:p w14:paraId="6C20321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Élevée</w:t>
            </w:r>
          </w:p>
        </w:tc>
        <w:tc>
          <w:tcPr>
            <w:tcW w:w="3457" w:type="dxa"/>
            <w:tcBorders>
              <w:top w:val="single" w:sz="4" w:space="0" w:color="000000"/>
              <w:left w:val="single" w:sz="4" w:space="0" w:color="000000"/>
              <w:bottom w:val="single" w:sz="4" w:space="0" w:color="000000"/>
              <w:right w:val="single" w:sz="4" w:space="0" w:color="000000"/>
            </w:tcBorders>
          </w:tcPr>
          <w:p w14:paraId="2A2F12D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L’outil devient une boîte noire. Les opérateurs ne peuvent plus en répondre.</w:t>
            </w:r>
          </w:p>
        </w:tc>
      </w:tr>
      <w:tr w:rsidR="00F50D70" w:rsidRPr="00BE4F47" w14:paraId="5DB0CAA2"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2408ED4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5</w:t>
            </w:r>
          </w:p>
        </w:tc>
        <w:tc>
          <w:tcPr>
            <w:tcW w:w="2700" w:type="dxa"/>
            <w:tcBorders>
              <w:top w:val="single" w:sz="4" w:space="0" w:color="000000"/>
              <w:left w:val="single" w:sz="4" w:space="0" w:color="000000"/>
              <w:bottom w:val="single" w:sz="4" w:space="0" w:color="000000"/>
              <w:right w:val="single" w:sz="4" w:space="0" w:color="000000"/>
            </w:tcBorders>
          </w:tcPr>
          <w:p w14:paraId="0582867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Journaliser toute acquisition et tout changement d’état.</w:t>
            </w:r>
          </w:p>
        </w:tc>
        <w:tc>
          <w:tcPr>
            <w:tcW w:w="800" w:type="dxa"/>
            <w:tcBorders>
              <w:top w:val="single" w:sz="4" w:space="0" w:color="000000"/>
              <w:left w:val="single" w:sz="4" w:space="0" w:color="000000"/>
              <w:bottom w:val="single" w:sz="4" w:space="0" w:color="000000"/>
              <w:right w:val="single" w:sz="4" w:space="0" w:color="000000"/>
            </w:tcBorders>
          </w:tcPr>
          <w:p w14:paraId="7B6E6C3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000" w:type="dxa"/>
            <w:tcBorders>
              <w:top w:val="single" w:sz="4" w:space="0" w:color="000000"/>
              <w:left w:val="single" w:sz="4" w:space="0" w:color="000000"/>
              <w:bottom w:val="single" w:sz="4" w:space="0" w:color="000000"/>
              <w:right w:val="single" w:sz="4" w:space="0" w:color="000000"/>
            </w:tcBorders>
          </w:tcPr>
          <w:p w14:paraId="563B192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Élevée</w:t>
            </w:r>
          </w:p>
        </w:tc>
        <w:tc>
          <w:tcPr>
            <w:tcW w:w="3457" w:type="dxa"/>
            <w:tcBorders>
              <w:top w:val="single" w:sz="4" w:space="0" w:color="000000"/>
              <w:left w:val="single" w:sz="4" w:space="0" w:color="000000"/>
              <w:bottom w:val="single" w:sz="4" w:space="0" w:color="000000"/>
              <w:right w:val="single" w:sz="4" w:space="0" w:color="000000"/>
            </w:tcBorders>
          </w:tcPr>
          <w:p w14:paraId="3441DC6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traçabilité attendue par le cadre réglementaire n’est plus démontrable.</w:t>
            </w:r>
          </w:p>
        </w:tc>
      </w:tr>
      <w:tr w:rsidR="00F50D70" w:rsidRPr="00BE4F47" w14:paraId="6858BFE5"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625A8EA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6</w:t>
            </w:r>
          </w:p>
        </w:tc>
        <w:tc>
          <w:tcPr>
            <w:tcW w:w="2700" w:type="dxa"/>
            <w:tcBorders>
              <w:top w:val="single" w:sz="4" w:space="0" w:color="000000"/>
              <w:left w:val="single" w:sz="4" w:space="0" w:color="000000"/>
              <w:bottom w:val="single" w:sz="4" w:space="0" w:color="000000"/>
              <w:right w:val="single" w:sz="4" w:space="0" w:color="000000"/>
            </w:tcBorders>
          </w:tcPr>
          <w:p w14:paraId="47207D4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Documenter le domaine de validité et les limites d’emploi.</w:t>
            </w:r>
          </w:p>
        </w:tc>
        <w:tc>
          <w:tcPr>
            <w:tcW w:w="800" w:type="dxa"/>
            <w:tcBorders>
              <w:top w:val="single" w:sz="4" w:space="0" w:color="000000"/>
              <w:left w:val="single" w:sz="4" w:space="0" w:color="000000"/>
              <w:bottom w:val="single" w:sz="4" w:space="0" w:color="000000"/>
              <w:right w:val="single" w:sz="4" w:space="0" w:color="000000"/>
            </w:tcBorders>
          </w:tcPr>
          <w:p w14:paraId="4473055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J5</w:t>
            </w:r>
          </w:p>
        </w:tc>
        <w:tc>
          <w:tcPr>
            <w:tcW w:w="1000" w:type="dxa"/>
            <w:tcBorders>
              <w:top w:val="single" w:sz="4" w:space="0" w:color="000000"/>
              <w:left w:val="single" w:sz="4" w:space="0" w:color="000000"/>
              <w:bottom w:val="single" w:sz="4" w:space="0" w:color="000000"/>
              <w:right w:val="single" w:sz="4" w:space="0" w:color="000000"/>
            </w:tcBorders>
          </w:tcPr>
          <w:p w14:paraId="0BA1318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Élevée</w:t>
            </w:r>
          </w:p>
        </w:tc>
        <w:tc>
          <w:tcPr>
            <w:tcW w:w="3457" w:type="dxa"/>
            <w:tcBorders>
              <w:top w:val="single" w:sz="4" w:space="0" w:color="000000"/>
              <w:left w:val="single" w:sz="4" w:space="0" w:color="000000"/>
              <w:bottom w:val="single" w:sz="4" w:space="0" w:color="000000"/>
              <w:right w:val="single" w:sz="4" w:space="0" w:color="000000"/>
            </w:tcBorders>
          </w:tcPr>
          <w:p w14:paraId="41F4D33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livrable ne peut pas être remis. C’est une obligation professionnelle, pas une option.</w:t>
            </w:r>
          </w:p>
        </w:tc>
      </w:tr>
      <w:tr w:rsidR="00F50D70" w:rsidRPr="00BE4F47" w14:paraId="23EB0697"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2FC6B43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7</w:t>
            </w:r>
          </w:p>
        </w:tc>
        <w:tc>
          <w:tcPr>
            <w:tcW w:w="2700" w:type="dxa"/>
            <w:tcBorders>
              <w:top w:val="single" w:sz="4" w:space="0" w:color="000000"/>
              <w:left w:val="single" w:sz="4" w:space="0" w:color="000000"/>
              <w:bottom w:val="single" w:sz="4" w:space="0" w:color="000000"/>
              <w:right w:val="single" w:sz="4" w:space="0" w:color="000000"/>
            </w:tcBorders>
          </w:tcPr>
          <w:p w14:paraId="74FD989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Quantifier l’incertitude par une méthode statistique établie.</w:t>
            </w:r>
          </w:p>
        </w:tc>
        <w:tc>
          <w:tcPr>
            <w:tcW w:w="800" w:type="dxa"/>
            <w:tcBorders>
              <w:top w:val="single" w:sz="4" w:space="0" w:color="000000"/>
              <w:left w:val="single" w:sz="4" w:space="0" w:color="000000"/>
              <w:bottom w:val="single" w:sz="4" w:space="0" w:color="000000"/>
              <w:right w:val="single" w:sz="4" w:space="0" w:color="000000"/>
            </w:tcBorders>
          </w:tcPr>
          <w:p w14:paraId="3FD4ED6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J4</w:t>
            </w:r>
          </w:p>
        </w:tc>
        <w:tc>
          <w:tcPr>
            <w:tcW w:w="1000" w:type="dxa"/>
            <w:tcBorders>
              <w:top w:val="single" w:sz="4" w:space="0" w:color="000000"/>
              <w:left w:val="single" w:sz="4" w:space="0" w:color="000000"/>
              <w:bottom w:val="single" w:sz="4" w:space="0" w:color="000000"/>
              <w:right w:val="single" w:sz="4" w:space="0" w:color="000000"/>
            </w:tcBorders>
          </w:tcPr>
          <w:p w14:paraId="66A4093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Moyenne</w:t>
            </w:r>
          </w:p>
        </w:tc>
        <w:tc>
          <w:tcPr>
            <w:tcW w:w="3457" w:type="dxa"/>
            <w:tcBorders>
              <w:top w:val="single" w:sz="4" w:space="0" w:color="000000"/>
              <w:left w:val="single" w:sz="4" w:space="0" w:color="000000"/>
              <w:bottom w:val="single" w:sz="4" w:space="0" w:color="000000"/>
              <w:right w:val="single" w:sz="4" w:space="0" w:color="000000"/>
            </w:tcBorders>
          </w:tcPr>
          <w:p w14:paraId="3E03694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niveau de confiance devient qualitatif. Le contenu est réductible si nécessaire.</w:t>
            </w:r>
          </w:p>
        </w:tc>
      </w:tr>
      <w:tr w:rsidR="00F50D70" w:rsidRPr="00BE4F47" w14:paraId="462BD81D"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0A68860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8</w:t>
            </w:r>
          </w:p>
        </w:tc>
        <w:tc>
          <w:tcPr>
            <w:tcW w:w="2700" w:type="dxa"/>
            <w:tcBorders>
              <w:top w:val="single" w:sz="4" w:space="0" w:color="000000"/>
              <w:left w:val="single" w:sz="4" w:space="0" w:color="000000"/>
              <w:bottom w:val="single" w:sz="4" w:space="0" w:color="000000"/>
              <w:right w:val="single" w:sz="4" w:space="0" w:color="000000"/>
            </w:tcBorders>
          </w:tcPr>
          <w:p w14:paraId="66E9A23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Offrir une interface graphique aboutie.</w:t>
            </w:r>
          </w:p>
        </w:tc>
        <w:tc>
          <w:tcPr>
            <w:tcW w:w="800" w:type="dxa"/>
            <w:tcBorders>
              <w:top w:val="single" w:sz="4" w:space="0" w:color="000000"/>
              <w:left w:val="single" w:sz="4" w:space="0" w:color="000000"/>
              <w:bottom w:val="single" w:sz="4" w:space="0" w:color="000000"/>
              <w:right w:val="single" w:sz="4" w:space="0" w:color="000000"/>
            </w:tcBorders>
          </w:tcPr>
          <w:p w14:paraId="2C00E74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J4</w:t>
            </w:r>
          </w:p>
        </w:tc>
        <w:tc>
          <w:tcPr>
            <w:tcW w:w="1000" w:type="dxa"/>
            <w:tcBorders>
              <w:top w:val="single" w:sz="4" w:space="0" w:color="000000"/>
              <w:left w:val="single" w:sz="4" w:space="0" w:color="000000"/>
              <w:bottom w:val="single" w:sz="4" w:space="0" w:color="000000"/>
              <w:right w:val="single" w:sz="4" w:space="0" w:color="000000"/>
            </w:tcBorders>
          </w:tcPr>
          <w:p w14:paraId="39B4893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Moyenne</w:t>
            </w:r>
          </w:p>
        </w:tc>
        <w:tc>
          <w:tcPr>
            <w:tcW w:w="3457" w:type="dxa"/>
            <w:tcBorders>
              <w:top w:val="single" w:sz="4" w:space="0" w:color="000000"/>
              <w:left w:val="single" w:sz="4" w:space="0" w:color="000000"/>
              <w:bottom w:val="single" w:sz="4" w:space="0" w:color="000000"/>
              <w:right w:val="single" w:sz="4" w:space="0" w:color="000000"/>
            </w:tcBorders>
          </w:tcPr>
          <w:p w14:paraId="5E00222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contenu est réductible. Une présentation sobre suffit à démontrer la fonction.</w:t>
            </w:r>
          </w:p>
        </w:tc>
      </w:tr>
    </w:tbl>
    <w:p w14:paraId="1B0E9A1E" w14:textId="77777777" w:rsidR="00F50D70" w:rsidRPr="00BE4F47" w:rsidRDefault="00000000" w:rsidP="008E113B">
      <w:pPr>
        <w:spacing w:after="130" w:line="360" w:lineRule="auto"/>
        <w:ind w:left="360"/>
        <w:rPr>
          <w:rFonts w:ascii="Aptos" w:hAnsi="Aptos"/>
        </w:rPr>
      </w:pPr>
      <w:bookmarkStart w:id="57" w:name="_Toc241082809"/>
      <w:r w:rsidRPr="00BE4F47">
        <w:rPr>
          <w:rFonts w:ascii="Aptos" w:eastAsia="Calibri" w:hAnsi="Aptos" w:cs="Calibri"/>
          <w:color w:val="1A1A19"/>
          <w:sz w:val="20"/>
          <w:szCs w:val="20"/>
        </w:rPr>
        <w:t>Les rangs 1 à 3 ne sont pas négociables : ils portent l’objectif directeur. Les rangs 4 à 6 relèvent d’obligations professionnelles et réglementaires, et ne peuvent être réduits qu’en ampleur, jamais supprimés. Les rangs 7 et 8 forment le contenu ajustable dont le risque RP2 prévoit la réduction. Cette liste est la liste de contenu ajustable que la section 7 annonce comme devant être arrêtée au jalon J1.</w:t>
      </w:r>
      <w:bookmarkEnd w:id="57"/>
    </w:p>
    <w:p w14:paraId="1A3B329D" w14:textId="77777777" w:rsidR="00F50D70" w:rsidRPr="00BE4F47" w:rsidRDefault="00F50D70" w:rsidP="008E113B">
      <w:pPr>
        <w:spacing w:line="360" w:lineRule="auto"/>
        <w:ind w:left="720"/>
        <w:rPr>
          <w:rFonts w:ascii="Aptos" w:hAnsi="Aptos"/>
        </w:rPr>
      </w:pPr>
    </w:p>
    <w:p w14:paraId="6C116FF9" w14:textId="77777777" w:rsidR="00F50D70" w:rsidRPr="00BE4F47" w:rsidRDefault="00000000" w:rsidP="008E113B">
      <w:pPr>
        <w:spacing w:after="130" w:line="360" w:lineRule="auto"/>
        <w:ind w:left="360"/>
        <w:rPr>
          <w:rFonts w:ascii="Aptos" w:hAnsi="Aptos"/>
        </w:rPr>
      </w:pPr>
      <w:bookmarkStart w:id="58" w:name="_Toc241082810"/>
      <w:r w:rsidRPr="00BE4F47">
        <w:rPr>
          <w:rFonts w:ascii="Aptos" w:eastAsia="Calibri" w:hAnsi="Aptos" w:cs="Calibri"/>
          <w:color w:val="1A1A19"/>
          <w:sz w:val="20"/>
          <w:szCs w:val="20"/>
        </w:rPr>
        <w:t xml:space="preserve">Le projet se limite au développement d’un prototype de jumeau numérique appliqué à une boucle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simplifiée, dans le contexte fictif décrit en 1.1. Le prototype est entièrement simulé.</w:t>
      </w:r>
      <w:bookmarkEnd w:id="58"/>
    </w:p>
    <w:p w14:paraId="74019379" w14:textId="77777777" w:rsidR="00F50D70" w:rsidRPr="00BE4F47" w:rsidRDefault="00F50D70" w:rsidP="008E113B">
      <w:pPr>
        <w:spacing w:line="360" w:lineRule="auto"/>
        <w:ind w:left="0"/>
        <w:rPr>
          <w:rFonts w:ascii="Aptos" w:eastAsia="Calibri" w:hAnsi="Aptos" w:cs="Calibri"/>
          <w:color w:val="1A1A19"/>
          <w:sz w:val="20"/>
          <w:szCs w:val="20"/>
        </w:rPr>
      </w:pPr>
    </w:p>
    <w:p w14:paraId="7B837813" w14:textId="77777777" w:rsidR="00F50D70" w:rsidRPr="005E5B35" w:rsidRDefault="00000000" w:rsidP="008E113B">
      <w:pPr>
        <w:pStyle w:val="Titre2"/>
        <w:spacing w:line="360" w:lineRule="auto"/>
      </w:pPr>
      <w:bookmarkStart w:id="59" w:name="__RefHeading___Toc240715075"/>
      <w:bookmarkStart w:id="60" w:name="_Toc241082811"/>
      <w:r w:rsidRPr="00136F18">
        <w:lastRenderedPageBreak/>
        <w:t>Hypothèses</w:t>
      </w:r>
      <w:bookmarkEnd w:id="59"/>
      <w:bookmarkEnd w:id="60"/>
      <w:r w:rsidRPr="00136F18">
        <w:t xml:space="preserve"> </w:t>
      </w:r>
    </w:p>
    <w:p w14:paraId="7DA25920" w14:textId="77777777" w:rsidR="00F50D70" w:rsidRPr="00BE4F47" w:rsidRDefault="00000000" w:rsidP="008E113B">
      <w:pPr>
        <w:spacing w:line="360" w:lineRule="auto"/>
        <w:ind w:left="360"/>
        <w:rPr>
          <w:rFonts w:ascii="Aptos" w:hAnsi="Aptos"/>
        </w:rPr>
      </w:pPr>
      <w:bookmarkStart w:id="61" w:name="_Toc241082812"/>
      <w:r w:rsidRPr="00BE4F47">
        <w:rPr>
          <w:rFonts w:ascii="Aptos" w:eastAsia="Calibri" w:hAnsi="Aptos" w:cs="Calibri"/>
          <w:color w:val="1A1A19"/>
          <w:sz w:val="20"/>
          <w:szCs w:val="20"/>
        </w:rPr>
        <w:t>Quatre hypothèses sont posées à cette étape du projet. Chacune est assortie de la conséquence qu’entraînerait son invalidation et du traitement prévu. Une hypothèse sans conséquence identifiée n’est pas exploitable pour la gestion des risques</w:t>
      </w:r>
      <w:bookmarkEnd w:id="61"/>
      <w:r w:rsidRPr="00BE4F47">
        <w:rPr>
          <w:rFonts w:ascii="Aptos" w:eastAsia="Calibri" w:hAnsi="Aptos" w:cs="Calibri"/>
          <w:color w:val="1A1A19"/>
          <w:sz w:val="20"/>
          <w:szCs w:val="20"/>
        </w:rPr>
        <w:tab/>
      </w:r>
    </w:p>
    <w:p w14:paraId="584213F0" w14:textId="77777777" w:rsidR="00F50D70" w:rsidRPr="00BE4F47" w:rsidRDefault="00F50D70" w:rsidP="008E113B">
      <w:pPr>
        <w:spacing w:line="360" w:lineRule="auto"/>
        <w:ind w:left="360"/>
        <w:rPr>
          <w:rFonts w:ascii="Aptos" w:eastAsia="Calibri" w:hAnsi="Aptos" w:cs="Calibri"/>
          <w:color w:val="1A1A19"/>
          <w:sz w:val="20"/>
          <w:szCs w:val="20"/>
        </w:rPr>
      </w:pPr>
    </w:p>
    <w:p w14:paraId="7A03CD01" w14:textId="77777777" w:rsidR="00F50D70" w:rsidRPr="00BE4F47" w:rsidRDefault="00000000" w:rsidP="008E113B">
      <w:pPr>
        <w:pStyle w:val="Lgende"/>
        <w:spacing w:line="360" w:lineRule="auto"/>
        <w:rPr>
          <w:rFonts w:ascii="Aptos" w:hAnsi="Aptos"/>
        </w:rPr>
      </w:pPr>
      <w:bookmarkStart w:id="62" w:name="_Toc241082813"/>
      <w:r w:rsidRPr="00BE4F47">
        <w:rPr>
          <w:rFonts w:ascii="Aptos" w:hAnsi="Aptos"/>
        </w:rPr>
        <w:t>Tableau 1-6. Hypothèses de l’analyse des besoins</w:t>
      </w:r>
      <w:bookmarkEnd w:id="62"/>
    </w:p>
    <w:tbl>
      <w:tblPr>
        <w:tblW w:w="8466" w:type="dxa"/>
        <w:tblInd w:w="478" w:type="dxa"/>
        <w:tblLayout w:type="fixed"/>
        <w:tblCellMar>
          <w:top w:w="60" w:type="dxa"/>
          <w:left w:w="90" w:type="dxa"/>
          <w:bottom w:w="60" w:type="dxa"/>
          <w:right w:w="90" w:type="dxa"/>
        </w:tblCellMar>
        <w:tblLook w:val="04A0" w:firstRow="1" w:lastRow="0" w:firstColumn="1" w:lastColumn="0" w:noHBand="0" w:noVBand="1"/>
      </w:tblPr>
      <w:tblGrid>
        <w:gridCol w:w="542"/>
        <w:gridCol w:w="2895"/>
        <w:gridCol w:w="2605"/>
        <w:gridCol w:w="2424"/>
      </w:tblGrid>
      <w:tr w:rsidR="00F50D70" w:rsidRPr="00BE4F47" w14:paraId="0E6F8F75" w14:textId="77777777" w:rsidTr="0036725C">
        <w:trPr>
          <w:trHeight w:val="229"/>
          <w:tblHeader/>
        </w:trPr>
        <w:tc>
          <w:tcPr>
            <w:tcW w:w="54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EDC920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Réf.</w:t>
            </w:r>
          </w:p>
        </w:tc>
        <w:tc>
          <w:tcPr>
            <w:tcW w:w="289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EDA06E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Hypothèse</w:t>
            </w:r>
          </w:p>
        </w:tc>
        <w:tc>
          <w:tcPr>
            <w:tcW w:w="260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D47C45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Si elle se révèle fausse</w:t>
            </w:r>
          </w:p>
        </w:tc>
        <w:tc>
          <w:tcPr>
            <w:tcW w:w="242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543A07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Traitement prévu</w:t>
            </w:r>
          </w:p>
        </w:tc>
      </w:tr>
      <w:tr w:rsidR="00F50D70" w:rsidRPr="00BE4F47" w14:paraId="0C07FD1B" w14:textId="77777777">
        <w:trPr>
          <w:cantSplit/>
          <w:trHeight w:val="792"/>
        </w:trPr>
        <w:tc>
          <w:tcPr>
            <w:tcW w:w="542" w:type="dxa"/>
            <w:tcBorders>
              <w:top w:val="single" w:sz="4" w:space="0" w:color="000000"/>
              <w:left w:val="single" w:sz="4" w:space="0" w:color="000000"/>
              <w:bottom w:val="single" w:sz="4" w:space="0" w:color="000000"/>
              <w:right w:val="single" w:sz="4" w:space="0" w:color="000000"/>
            </w:tcBorders>
          </w:tcPr>
          <w:p w14:paraId="68DF450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H1</w:t>
            </w:r>
          </w:p>
        </w:tc>
        <w:tc>
          <w:tcPr>
            <w:tcW w:w="2895" w:type="dxa"/>
            <w:tcBorders>
              <w:top w:val="single" w:sz="4" w:space="0" w:color="000000"/>
              <w:left w:val="single" w:sz="4" w:space="0" w:color="000000"/>
              <w:bottom w:val="single" w:sz="4" w:space="0" w:color="000000"/>
              <w:right w:val="single" w:sz="4" w:space="0" w:color="000000"/>
            </w:tcBorders>
          </w:tcPr>
          <w:p w14:paraId="58673ED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Les données nécessaires au développement et à l’évaluation du prototype peuvent être obtenues par simulation ou à partir du système expérimental.</w:t>
            </w:r>
          </w:p>
        </w:tc>
        <w:tc>
          <w:tcPr>
            <w:tcW w:w="2605" w:type="dxa"/>
            <w:tcBorders>
              <w:top w:val="single" w:sz="4" w:space="0" w:color="000000"/>
              <w:left w:val="single" w:sz="4" w:space="0" w:color="000000"/>
              <w:bottom w:val="single" w:sz="4" w:space="0" w:color="000000"/>
              <w:right w:val="single" w:sz="4" w:space="0" w:color="000000"/>
            </w:tcBorders>
          </w:tcPr>
          <w:p w14:paraId="0BE25AC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ne peut être validé faute de référence à laquelle se comparer.</w:t>
            </w:r>
          </w:p>
        </w:tc>
        <w:tc>
          <w:tcPr>
            <w:tcW w:w="2424" w:type="dxa"/>
            <w:tcBorders>
              <w:top w:val="single" w:sz="4" w:space="0" w:color="000000"/>
              <w:left w:val="single" w:sz="4" w:space="0" w:color="000000"/>
              <w:bottom w:val="single" w:sz="4" w:space="0" w:color="000000"/>
              <w:right w:val="single" w:sz="4" w:space="0" w:color="000000"/>
            </w:tcBorders>
          </w:tcPr>
          <w:p w14:paraId="05C25A1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Recours au système expérimental ; risque inscrit au registre des risques.</w:t>
            </w:r>
          </w:p>
        </w:tc>
      </w:tr>
      <w:tr w:rsidR="00F50D70" w:rsidRPr="00BE4F47" w14:paraId="39732101" w14:textId="77777777">
        <w:trPr>
          <w:cantSplit/>
          <w:trHeight w:val="613"/>
        </w:trPr>
        <w:tc>
          <w:tcPr>
            <w:tcW w:w="542" w:type="dxa"/>
            <w:tcBorders>
              <w:top w:val="single" w:sz="4" w:space="0" w:color="000000"/>
              <w:left w:val="single" w:sz="4" w:space="0" w:color="000000"/>
              <w:bottom w:val="single" w:sz="4" w:space="0" w:color="000000"/>
              <w:right w:val="single" w:sz="4" w:space="0" w:color="000000"/>
            </w:tcBorders>
          </w:tcPr>
          <w:p w14:paraId="29859DD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H2</w:t>
            </w:r>
          </w:p>
        </w:tc>
        <w:tc>
          <w:tcPr>
            <w:tcW w:w="2895" w:type="dxa"/>
            <w:tcBorders>
              <w:top w:val="single" w:sz="4" w:space="0" w:color="000000"/>
              <w:left w:val="single" w:sz="4" w:space="0" w:color="000000"/>
              <w:bottom w:val="single" w:sz="4" w:space="0" w:color="000000"/>
              <w:right w:val="single" w:sz="4" w:space="0" w:color="000000"/>
            </w:tcBorders>
          </w:tcPr>
          <w:p w14:paraId="06063C2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température, la pression et le débit suffisent à caractériser l’état de la boucle pour les scénarios étudiés.</w:t>
            </w:r>
          </w:p>
        </w:tc>
        <w:tc>
          <w:tcPr>
            <w:tcW w:w="2605" w:type="dxa"/>
            <w:tcBorders>
              <w:top w:val="single" w:sz="4" w:space="0" w:color="000000"/>
              <w:left w:val="single" w:sz="4" w:space="0" w:color="000000"/>
              <w:bottom w:val="single" w:sz="4" w:space="0" w:color="000000"/>
              <w:right w:val="single" w:sz="4" w:space="0" w:color="000000"/>
            </w:tcBorders>
          </w:tcPr>
          <w:p w14:paraId="383F146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détection manque certains modes de défaillance.</w:t>
            </w:r>
          </w:p>
        </w:tc>
        <w:tc>
          <w:tcPr>
            <w:tcW w:w="2424" w:type="dxa"/>
            <w:tcBorders>
              <w:top w:val="single" w:sz="4" w:space="0" w:color="000000"/>
              <w:left w:val="single" w:sz="4" w:space="0" w:color="000000"/>
              <w:bottom w:val="single" w:sz="4" w:space="0" w:color="000000"/>
              <w:right w:val="single" w:sz="4" w:space="0" w:color="000000"/>
            </w:tcBorders>
          </w:tcPr>
          <w:p w14:paraId="66FE00D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Revue avec le client au jalon J1 ; ajout éventuel d’une variable.</w:t>
            </w:r>
          </w:p>
        </w:tc>
      </w:tr>
      <w:tr w:rsidR="00F50D70" w:rsidRPr="00BE4F47" w14:paraId="0AD7D23E" w14:textId="77777777">
        <w:trPr>
          <w:cantSplit/>
          <w:trHeight w:val="605"/>
        </w:trPr>
        <w:tc>
          <w:tcPr>
            <w:tcW w:w="542" w:type="dxa"/>
            <w:tcBorders>
              <w:top w:val="single" w:sz="4" w:space="0" w:color="000000"/>
              <w:left w:val="single" w:sz="4" w:space="0" w:color="000000"/>
              <w:bottom w:val="single" w:sz="4" w:space="0" w:color="000000"/>
              <w:right w:val="single" w:sz="4" w:space="0" w:color="000000"/>
            </w:tcBorders>
          </w:tcPr>
          <w:p w14:paraId="10C6089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H3</w:t>
            </w:r>
          </w:p>
        </w:tc>
        <w:tc>
          <w:tcPr>
            <w:tcW w:w="2895" w:type="dxa"/>
            <w:tcBorders>
              <w:top w:val="single" w:sz="4" w:space="0" w:color="000000"/>
              <w:left w:val="single" w:sz="4" w:space="0" w:color="000000"/>
              <w:bottom w:val="single" w:sz="4" w:space="0" w:color="000000"/>
              <w:right w:val="single" w:sz="4" w:space="0" w:color="000000"/>
            </w:tcBorders>
          </w:tcPr>
          <w:p w14:paraId="184471E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Les seuils de dérive et les critères de criticité peuvent être fixés par l’analyse de risques et les essais.</w:t>
            </w:r>
          </w:p>
        </w:tc>
        <w:tc>
          <w:tcPr>
            <w:tcW w:w="2605" w:type="dxa"/>
            <w:tcBorders>
              <w:top w:val="single" w:sz="4" w:space="0" w:color="000000"/>
              <w:left w:val="single" w:sz="4" w:space="0" w:color="000000"/>
              <w:bottom w:val="single" w:sz="4" w:space="0" w:color="000000"/>
              <w:right w:val="single" w:sz="4" w:space="0" w:color="000000"/>
            </w:tcBorders>
          </w:tcPr>
          <w:p w14:paraId="14D29E1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Les critères d’alarme resteraient arbitraires et indéfendables.</w:t>
            </w:r>
          </w:p>
        </w:tc>
        <w:tc>
          <w:tcPr>
            <w:tcW w:w="2424" w:type="dxa"/>
            <w:tcBorders>
              <w:top w:val="single" w:sz="4" w:space="0" w:color="000000"/>
              <w:left w:val="single" w:sz="4" w:space="0" w:color="000000"/>
              <w:bottom w:val="single" w:sz="4" w:space="0" w:color="000000"/>
              <w:right w:val="single" w:sz="4" w:space="0" w:color="000000"/>
            </w:tcBorders>
          </w:tcPr>
          <w:p w14:paraId="6F076C6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Décision au jalon J2, consignée avec sa justification.</w:t>
            </w:r>
          </w:p>
        </w:tc>
      </w:tr>
      <w:tr w:rsidR="00F50D70" w:rsidRPr="00BE4F47" w14:paraId="1A8016B3" w14:textId="77777777">
        <w:trPr>
          <w:cantSplit/>
          <w:trHeight w:val="613"/>
        </w:trPr>
        <w:tc>
          <w:tcPr>
            <w:tcW w:w="542" w:type="dxa"/>
            <w:tcBorders>
              <w:top w:val="single" w:sz="4" w:space="0" w:color="000000"/>
              <w:left w:val="single" w:sz="4" w:space="0" w:color="000000"/>
              <w:bottom w:val="single" w:sz="4" w:space="0" w:color="000000"/>
              <w:right w:val="single" w:sz="4" w:space="0" w:color="000000"/>
            </w:tcBorders>
          </w:tcPr>
          <w:p w14:paraId="14A9480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H4</w:t>
            </w:r>
          </w:p>
        </w:tc>
        <w:tc>
          <w:tcPr>
            <w:tcW w:w="2895" w:type="dxa"/>
            <w:tcBorders>
              <w:top w:val="single" w:sz="4" w:space="0" w:color="000000"/>
              <w:left w:val="single" w:sz="4" w:space="0" w:color="000000"/>
              <w:bottom w:val="single" w:sz="4" w:space="0" w:color="000000"/>
              <w:right w:val="single" w:sz="4" w:space="0" w:color="000000"/>
            </w:tcBorders>
          </w:tcPr>
          <w:p w14:paraId="3D3BF9A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L’équipe a accès au texte intégral des normes dont elle reprend des exigences.</w:t>
            </w:r>
          </w:p>
        </w:tc>
        <w:tc>
          <w:tcPr>
            <w:tcW w:w="2605" w:type="dxa"/>
            <w:tcBorders>
              <w:top w:val="single" w:sz="4" w:space="0" w:color="000000"/>
              <w:left w:val="single" w:sz="4" w:space="0" w:color="000000"/>
              <w:bottom w:val="single" w:sz="4" w:space="0" w:color="000000"/>
              <w:right w:val="single" w:sz="4" w:space="0" w:color="000000"/>
            </w:tcBorders>
          </w:tcPr>
          <w:p w14:paraId="40E614E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Certaines normes ne seraient connues que par leur fiche descriptive.</w:t>
            </w:r>
          </w:p>
        </w:tc>
        <w:tc>
          <w:tcPr>
            <w:tcW w:w="2424" w:type="dxa"/>
            <w:tcBorders>
              <w:top w:val="single" w:sz="4" w:space="0" w:color="000000"/>
              <w:left w:val="single" w:sz="4" w:space="0" w:color="000000"/>
              <w:bottom w:val="single" w:sz="4" w:space="0" w:color="000000"/>
              <w:right w:val="single" w:sz="4" w:space="0" w:color="000000"/>
            </w:tcBorders>
          </w:tcPr>
          <w:p w14:paraId="55BBA39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Déclaration d’applicabilité de la section 5 ; mention « fiche descriptive seulement ».</w:t>
            </w:r>
          </w:p>
        </w:tc>
      </w:tr>
    </w:tbl>
    <w:p w14:paraId="3EF39D01" w14:textId="77777777" w:rsidR="00F50D70" w:rsidRPr="00BE4F47" w:rsidRDefault="00F50D70" w:rsidP="008E113B">
      <w:pPr>
        <w:spacing w:line="360" w:lineRule="auto"/>
        <w:ind w:left="360"/>
        <w:rPr>
          <w:rFonts w:ascii="Aptos" w:hAnsi="Aptos"/>
        </w:rPr>
      </w:pPr>
    </w:p>
    <w:p w14:paraId="22DB103F" w14:textId="77777777" w:rsidR="00F50D70" w:rsidRPr="00136F18" w:rsidRDefault="00000000" w:rsidP="008E113B">
      <w:pPr>
        <w:pStyle w:val="Titre2"/>
        <w:spacing w:line="360" w:lineRule="auto"/>
      </w:pPr>
      <w:bookmarkStart w:id="63" w:name="__RefHeading___Toc240715077"/>
      <w:bookmarkStart w:id="64" w:name="_Toc241082814"/>
      <w:bookmarkEnd w:id="63"/>
      <w:r w:rsidRPr="00136F18">
        <w:t>Registre des exigences</w:t>
      </w:r>
      <w:bookmarkEnd w:id="64"/>
    </w:p>
    <w:p w14:paraId="490B1568" w14:textId="77777777" w:rsidR="00F50D70" w:rsidRPr="00BE4F47" w:rsidRDefault="00F50D70" w:rsidP="008E113B">
      <w:pPr>
        <w:spacing w:line="360" w:lineRule="auto"/>
        <w:ind w:left="720"/>
        <w:rPr>
          <w:rFonts w:ascii="Aptos" w:hAnsi="Aptos"/>
        </w:rPr>
      </w:pPr>
    </w:p>
    <w:p w14:paraId="49410C6D" w14:textId="77777777" w:rsidR="00F50D70" w:rsidRPr="00BE4F47" w:rsidRDefault="00F50D70" w:rsidP="008E113B">
      <w:pPr>
        <w:pStyle w:val="Paragraphedeliste"/>
        <w:numPr>
          <w:ilvl w:val="0"/>
          <w:numId w:val="7"/>
        </w:numPr>
        <w:spacing w:after="0" w:line="360" w:lineRule="auto"/>
        <w:contextualSpacing w:val="0"/>
        <w:jc w:val="both"/>
        <w:outlineLvl w:val="2"/>
        <w:rPr>
          <w:rFonts w:ascii="Aptos" w:eastAsia="Times New Roman" w:hAnsi="Aptos" w:cs="Times"/>
          <w:vanish/>
          <w:lang w:val="fr-CA" w:eastAsia="fr-FR" w:bidi="ar-SA"/>
        </w:rPr>
      </w:pPr>
      <w:bookmarkStart w:id="65" w:name="_Toc241082815"/>
      <w:bookmarkEnd w:id="65"/>
    </w:p>
    <w:p w14:paraId="5F867CAD"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bookmarkStart w:id="66" w:name="_Toc241082816"/>
      <w:bookmarkEnd w:id="66"/>
    </w:p>
    <w:p w14:paraId="4569D2D6"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bookmarkStart w:id="67" w:name="_Toc241082817"/>
      <w:bookmarkEnd w:id="67"/>
    </w:p>
    <w:p w14:paraId="07CA3B5B"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bookmarkStart w:id="68" w:name="_Toc241082818"/>
      <w:bookmarkEnd w:id="68"/>
    </w:p>
    <w:p w14:paraId="7453BCD7"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bookmarkStart w:id="69" w:name="_Toc241082819"/>
      <w:bookmarkEnd w:id="69"/>
    </w:p>
    <w:p w14:paraId="4B807971"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bookmarkStart w:id="70" w:name="_Toc241082820"/>
      <w:bookmarkEnd w:id="70"/>
    </w:p>
    <w:p w14:paraId="1ABFCF47"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bookmarkStart w:id="71" w:name="_Toc241082821"/>
      <w:bookmarkEnd w:id="71"/>
    </w:p>
    <w:p w14:paraId="4B7F877F"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bookmarkStart w:id="72" w:name="_Toc241082822"/>
      <w:bookmarkEnd w:id="72"/>
    </w:p>
    <w:p w14:paraId="767DEF85" w14:textId="77777777" w:rsidR="00F50D70" w:rsidRPr="00BE4F47" w:rsidRDefault="00F50D70" w:rsidP="008E113B">
      <w:pPr>
        <w:pStyle w:val="Paragraphedeliste"/>
        <w:numPr>
          <w:ilvl w:val="0"/>
          <w:numId w:val="14"/>
        </w:numPr>
        <w:spacing w:after="0" w:line="360" w:lineRule="auto"/>
        <w:contextualSpacing w:val="0"/>
        <w:jc w:val="both"/>
        <w:outlineLvl w:val="2"/>
        <w:rPr>
          <w:rFonts w:ascii="Aptos" w:eastAsia="Times New Roman" w:hAnsi="Aptos" w:cs="Times"/>
          <w:vanish/>
          <w:lang w:val="fr-CA" w:eastAsia="fr-FR" w:bidi="ar-SA"/>
        </w:rPr>
      </w:pPr>
      <w:bookmarkStart w:id="73" w:name="_Toc241082823"/>
      <w:bookmarkEnd w:id="73"/>
    </w:p>
    <w:p w14:paraId="585AC018"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bookmarkStart w:id="74" w:name="_Toc241082824"/>
      <w:bookmarkEnd w:id="74"/>
    </w:p>
    <w:p w14:paraId="2C883F72"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bookmarkStart w:id="75" w:name="_Toc241082825"/>
      <w:bookmarkEnd w:id="75"/>
    </w:p>
    <w:p w14:paraId="01F6D362"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bookmarkStart w:id="76" w:name="_Toc241082826"/>
      <w:bookmarkEnd w:id="76"/>
    </w:p>
    <w:p w14:paraId="7517F758"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bookmarkStart w:id="77" w:name="_Toc241082827"/>
      <w:bookmarkEnd w:id="77"/>
    </w:p>
    <w:p w14:paraId="3378D346"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bookmarkStart w:id="78" w:name="_Toc241082828"/>
      <w:bookmarkEnd w:id="78"/>
    </w:p>
    <w:p w14:paraId="3D4DE8FD"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bookmarkStart w:id="79" w:name="_Toc241082829"/>
      <w:bookmarkEnd w:id="79"/>
    </w:p>
    <w:p w14:paraId="70F01377"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bookmarkStart w:id="80" w:name="_Toc241082830"/>
      <w:bookmarkEnd w:id="80"/>
    </w:p>
    <w:p w14:paraId="4527A91A" w14:textId="77777777" w:rsidR="00F50D70" w:rsidRPr="005E5B35" w:rsidRDefault="00000000" w:rsidP="008E113B">
      <w:pPr>
        <w:pStyle w:val="Titre3"/>
        <w:numPr>
          <w:ilvl w:val="2"/>
          <w:numId w:val="1"/>
        </w:numPr>
        <w:suppressAutoHyphens w:val="0"/>
        <w:spacing w:line="360" w:lineRule="auto"/>
        <w:rPr>
          <w:lang w:eastAsia="fr-FR"/>
        </w:rPr>
      </w:pPr>
      <w:bookmarkStart w:id="81" w:name="__RefHeading___Toc240715094"/>
      <w:bookmarkStart w:id="82" w:name="_Toc241082831"/>
      <w:r w:rsidRPr="00B36301">
        <w:rPr>
          <w:lang w:eastAsia="fr-FR"/>
        </w:rPr>
        <w:t>Méthodes et convention de rédaction</w:t>
      </w:r>
      <w:bookmarkEnd w:id="81"/>
      <w:bookmarkEnd w:id="82"/>
      <w:r w:rsidRPr="00B36301">
        <w:rPr>
          <w:lang w:eastAsia="fr-FR"/>
        </w:rPr>
        <w:t xml:space="preserve"> </w:t>
      </w:r>
    </w:p>
    <w:p w14:paraId="1D8F2171" w14:textId="77777777" w:rsidR="00F50D70" w:rsidRPr="00BE4F47" w:rsidRDefault="00000000" w:rsidP="008E113B">
      <w:pPr>
        <w:spacing w:after="130" w:line="360" w:lineRule="auto"/>
        <w:ind w:left="992"/>
        <w:rPr>
          <w:rFonts w:ascii="Aptos" w:hAnsi="Aptos"/>
        </w:rPr>
      </w:pPr>
      <w:bookmarkStart w:id="83" w:name="_Toc241082832"/>
      <w:r w:rsidRPr="00BE4F47">
        <w:rPr>
          <w:rFonts w:ascii="Aptos" w:eastAsia="Calibri" w:hAnsi="Aptos" w:cs="Calibri"/>
          <w:color w:val="1A1A19"/>
          <w:sz w:val="20"/>
          <w:szCs w:val="20"/>
        </w:rPr>
        <w:t xml:space="preserve">Une exigence n’est exploitable que si l’on peut écrire un essai qui réussit </w:t>
      </w:r>
      <w:proofErr w:type="gramStart"/>
      <w:r w:rsidRPr="00BE4F47">
        <w:rPr>
          <w:rFonts w:ascii="Aptos" w:eastAsia="Calibri" w:hAnsi="Aptos" w:cs="Calibri"/>
          <w:color w:val="1A1A19"/>
          <w:sz w:val="20"/>
          <w:szCs w:val="20"/>
        </w:rPr>
        <w:t>ou</w:t>
      </w:r>
      <w:proofErr w:type="gramEnd"/>
      <w:r w:rsidRPr="00BE4F47">
        <w:rPr>
          <w:rFonts w:ascii="Aptos" w:eastAsia="Calibri" w:hAnsi="Aptos" w:cs="Calibri"/>
          <w:color w:val="1A1A19"/>
          <w:sz w:val="20"/>
          <w:szCs w:val="20"/>
        </w:rPr>
        <w:t xml:space="preserve"> qui échoue. Toutes les exigences ci-dessous respectent trois règles : un verbe d’action observable, une condition de déclenchement explicite lorsqu’elle s’applique, et un moyen de vérification nommé. Les formulations d’intention telles que « prendre en compte » ou « considérer » ont été écartées, car aucun essai ne peut les contredire.</w:t>
      </w:r>
      <w:bookmarkEnd w:id="83"/>
    </w:p>
    <w:p w14:paraId="17029B1C" w14:textId="77777777" w:rsidR="00F50D70" w:rsidRPr="00BE4F47" w:rsidRDefault="00000000" w:rsidP="008E113B">
      <w:pPr>
        <w:spacing w:after="130" w:line="360" w:lineRule="auto"/>
        <w:ind w:left="992"/>
        <w:rPr>
          <w:rFonts w:ascii="Aptos" w:hAnsi="Aptos"/>
        </w:rPr>
      </w:pPr>
      <w:bookmarkStart w:id="84" w:name="_Toc241082833"/>
      <w:r w:rsidRPr="00BE4F47">
        <w:rPr>
          <w:rFonts w:ascii="Aptos" w:eastAsia="Calibri" w:hAnsi="Aptos" w:cs="Calibri"/>
          <w:color w:val="1A1A19"/>
          <w:sz w:val="20"/>
          <w:szCs w:val="20"/>
        </w:rPr>
        <w:t>Les caractéristiques de qualité employées en 1.7.3 proviennent d’ISO/IEC 25010, la norme que la section 5 désigne comme source des critères d’acceptation mesurables du prototype. La démarche de rédaction s’appuie sur ISO/IEC/IEEE 29148, norme d’ingénierie des exigences ; son millésime en vigueur doit être vérifié et la norme ajoutée au tableau de la section 5.</w:t>
      </w:r>
      <w:bookmarkEnd w:id="84"/>
    </w:p>
    <w:p w14:paraId="5A053758"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85" w:name="_Toc241082834"/>
      <w:r w:rsidRPr="00BE4F47">
        <w:rPr>
          <w:rFonts w:ascii="Aptos" w:eastAsia="Calibri" w:hAnsi="Aptos" w:cs="Calibri"/>
          <w:color w:val="1A1A19"/>
          <w:sz w:val="20"/>
          <w:szCs w:val="20"/>
        </w:rPr>
        <w:t>Les valeurs notées N, T, D, S, X et Y sont des paramètres laissés ouverts à ce stade. Elles seront fixées par l’analyse de risques et les premiers essais, puis consignées au jalon J2. Aucun seuil numérique n’est posé arbitrairement.</w:t>
      </w:r>
      <w:bookmarkEnd w:id="85"/>
    </w:p>
    <w:p w14:paraId="15291153" w14:textId="77777777" w:rsidR="00F50D70" w:rsidRDefault="00000000" w:rsidP="008E113B">
      <w:pPr>
        <w:spacing w:after="130" w:line="360" w:lineRule="auto"/>
        <w:ind w:left="992"/>
        <w:rPr>
          <w:rFonts w:ascii="Aptos" w:eastAsia="Calibri" w:hAnsi="Aptos" w:cs="Calibri"/>
          <w:color w:val="1A1A19"/>
          <w:sz w:val="20"/>
          <w:szCs w:val="20"/>
        </w:rPr>
      </w:pPr>
      <w:bookmarkStart w:id="86" w:name="_Toc241082835"/>
      <w:r w:rsidRPr="00BE4F47">
        <w:rPr>
          <w:rFonts w:ascii="Aptos" w:eastAsia="Calibri" w:hAnsi="Aptos" w:cs="Calibri"/>
          <w:b/>
          <w:bCs/>
          <w:color w:val="1A1A19"/>
          <w:sz w:val="20"/>
          <w:szCs w:val="20"/>
        </w:rPr>
        <w:lastRenderedPageBreak/>
        <w:t xml:space="preserve">Conventions de numérotation : </w:t>
      </w:r>
      <w:r w:rsidRPr="00BE4F47">
        <w:rPr>
          <w:rFonts w:ascii="Aptos" w:eastAsia="Calibri" w:hAnsi="Aptos" w:cs="Calibri"/>
          <w:color w:val="1A1A19"/>
          <w:sz w:val="20"/>
          <w:szCs w:val="20"/>
        </w:rPr>
        <w:t>EX-F pour les exigences fonctionnelles, EX-Q pour les exigences de qualité, EX-C pour les exigences de périmètre et de contrainte. La colonne « GEMMA » renvoie aux états de la figure 1. La colonne « Lot » renvoie aux lots de travaux L1 à L9 de la structure de découpage du projet.</w:t>
      </w:r>
      <w:bookmarkEnd w:id="86"/>
    </w:p>
    <w:p w14:paraId="638A5546" w14:textId="77777777" w:rsidR="0036725C" w:rsidRPr="005E5B35" w:rsidRDefault="0036725C" w:rsidP="008E113B">
      <w:pPr>
        <w:spacing w:line="360" w:lineRule="auto"/>
      </w:pPr>
    </w:p>
    <w:p w14:paraId="4CF63A24" w14:textId="77777777" w:rsidR="0036725C" w:rsidRPr="005E5B35" w:rsidRDefault="0036725C" w:rsidP="008E113B">
      <w:pPr>
        <w:spacing w:line="360" w:lineRule="auto"/>
      </w:pPr>
    </w:p>
    <w:p w14:paraId="1D215D82" w14:textId="77777777" w:rsidR="0036725C" w:rsidRPr="005E5B35" w:rsidRDefault="0036725C" w:rsidP="008E113B">
      <w:pPr>
        <w:spacing w:line="360" w:lineRule="auto"/>
      </w:pPr>
    </w:p>
    <w:p w14:paraId="240D0351" w14:textId="77777777" w:rsidR="005E5B35" w:rsidRDefault="005E5B35" w:rsidP="008E113B">
      <w:pPr>
        <w:spacing w:line="360" w:lineRule="auto"/>
      </w:pPr>
    </w:p>
    <w:p w14:paraId="22451205" w14:textId="77777777" w:rsidR="005E5B35" w:rsidRDefault="005E5B35" w:rsidP="008E113B">
      <w:pPr>
        <w:spacing w:line="360" w:lineRule="auto"/>
      </w:pPr>
    </w:p>
    <w:p w14:paraId="4ED10A41" w14:textId="77777777" w:rsidR="005E5B35" w:rsidRDefault="005E5B35" w:rsidP="008E113B">
      <w:pPr>
        <w:spacing w:line="360" w:lineRule="auto"/>
      </w:pPr>
    </w:p>
    <w:p w14:paraId="4483418B" w14:textId="77777777" w:rsidR="005E5B35" w:rsidRDefault="005E5B35" w:rsidP="008E113B">
      <w:pPr>
        <w:spacing w:line="360" w:lineRule="auto"/>
      </w:pPr>
    </w:p>
    <w:p w14:paraId="7A765AD8" w14:textId="77777777" w:rsidR="005E5B35" w:rsidRDefault="005E5B35" w:rsidP="008E113B">
      <w:pPr>
        <w:spacing w:line="360" w:lineRule="auto"/>
      </w:pPr>
    </w:p>
    <w:p w14:paraId="2987F925" w14:textId="77777777" w:rsidR="005E5B35" w:rsidRPr="005E5B35" w:rsidRDefault="005E5B35" w:rsidP="008E113B">
      <w:pPr>
        <w:spacing w:line="360" w:lineRule="auto"/>
      </w:pPr>
    </w:p>
    <w:p w14:paraId="606DD0D6" w14:textId="77777777" w:rsidR="0036725C" w:rsidRPr="005E5B35" w:rsidRDefault="0036725C" w:rsidP="008E113B">
      <w:pPr>
        <w:spacing w:line="360" w:lineRule="auto"/>
      </w:pPr>
    </w:p>
    <w:p w14:paraId="6FF19E1F" w14:textId="77777777" w:rsidR="00F50D70" w:rsidRPr="00BE4F47" w:rsidRDefault="00000000" w:rsidP="008E113B">
      <w:pPr>
        <w:pStyle w:val="Titre4"/>
        <w:spacing w:line="360" w:lineRule="auto"/>
      </w:pPr>
      <w:bookmarkStart w:id="87" w:name="__RefHeading___Toc240715099"/>
      <w:bookmarkEnd w:id="87"/>
      <w:r w:rsidRPr="00BE4F47">
        <w:t>Exigences fonctionnelles</w:t>
      </w:r>
    </w:p>
    <w:p w14:paraId="234BF92F" w14:textId="77777777" w:rsidR="00F50D70" w:rsidRPr="00BE4F47" w:rsidRDefault="00000000" w:rsidP="008E113B">
      <w:pPr>
        <w:pStyle w:val="Lgende"/>
        <w:spacing w:line="360" w:lineRule="auto"/>
        <w:rPr>
          <w:rFonts w:ascii="Aptos" w:hAnsi="Aptos"/>
        </w:rPr>
      </w:pPr>
      <w:bookmarkStart w:id="88" w:name="_Toc241082836"/>
      <w:r w:rsidRPr="00BE4F47">
        <w:rPr>
          <w:rFonts w:ascii="Aptos" w:hAnsi="Aptos"/>
        </w:rPr>
        <w:t>Tableau 1-7. Registre des exigences fonctionnelles</w:t>
      </w:r>
      <w:bookmarkEnd w:id="88"/>
    </w:p>
    <w:tbl>
      <w:tblPr>
        <w:tblpPr w:leftFromText="141" w:vertAnchor="text" w:horzAnchor="margin" w:tblpXSpec="right" w:tblpY="333"/>
        <w:tblW w:w="7895" w:type="dxa"/>
        <w:tblLayout w:type="fixed"/>
        <w:tblCellMar>
          <w:top w:w="60" w:type="dxa"/>
          <w:left w:w="90" w:type="dxa"/>
          <w:bottom w:w="60" w:type="dxa"/>
          <w:right w:w="90" w:type="dxa"/>
        </w:tblCellMar>
        <w:tblLook w:val="04A0" w:firstRow="1" w:lastRow="0" w:firstColumn="1" w:lastColumn="0" w:noHBand="0" w:noVBand="1"/>
      </w:tblPr>
      <w:tblGrid>
        <w:gridCol w:w="640"/>
        <w:gridCol w:w="2803"/>
        <w:gridCol w:w="977"/>
        <w:gridCol w:w="741"/>
        <w:gridCol w:w="472"/>
        <w:gridCol w:w="2262"/>
      </w:tblGrid>
      <w:tr w:rsidR="00F50D70" w:rsidRPr="00BE4F47" w14:paraId="74A71649" w14:textId="77777777" w:rsidTr="0036725C">
        <w:trPr>
          <w:trHeight w:val="218"/>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4A3458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80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6AF5AD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03D655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Source</w:t>
            </w:r>
          </w:p>
        </w:tc>
        <w:tc>
          <w:tcPr>
            <w:tcW w:w="74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E65961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GEMMA</w:t>
            </w:r>
          </w:p>
        </w:tc>
        <w:tc>
          <w:tcPr>
            <w:tcW w:w="47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A3BE83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7495DF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Moyen de vérification</w:t>
            </w:r>
          </w:p>
        </w:tc>
      </w:tr>
      <w:tr w:rsidR="00F50D70" w:rsidRPr="00BE4F47" w14:paraId="78B54CA2" w14:textId="77777777">
        <w:trPr>
          <w:trHeight w:val="713"/>
        </w:trPr>
        <w:tc>
          <w:tcPr>
            <w:tcW w:w="640" w:type="dxa"/>
            <w:tcBorders>
              <w:top w:val="single" w:sz="4" w:space="0" w:color="000000"/>
              <w:left w:val="single" w:sz="4" w:space="0" w:color="000000"/>
              <w:bottom w:val="single" w:sz="4" w:space="0" w:color="000000"/>
              <w:right w:val="single" w:sz="4" w:space="0" w:color="000000"/>
            </w:tcBorders>
          </w:tcPr>
          <w:p w14:paraId="490EDFE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EX-F-01</w:t>
            </w:r>
          </w:p>
        </w:tc>
        <w:tc>
          <w:tcPr>
            <w:tcW w:w="2803" w:type="dxa"/>
            <w:tcBorders>
              <w:top w:val="single" w:sz="4" w:space="0" w:color="000000"/>
              <w:left w:val="single" w:sz="4" w:space="0" w:color="000000"/>
              <w:bottom w:val="single" w:sz="4" w:space="0" w:color="000000"/>
              <w:right w:val="single" w:sz="4" w:space="0" w:color="000000"/>
            </w:tcBorders>
          </w:tcPr>
          <w:p w14:paraId="5AAFDA8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 xml:space="preserve">Le prototype simule une boucle </w:t>
            </w:r>
            <w:proofErr w:type="spellStart"/>
            <w:r w:rsidRPr="00BE4F47">
              <w:rPr>
                <w:rFonts w:ascii="Aptos" w:eastAsia="Calibri" w:hAnsi="Aptos" w:cs="Calibri"/>
                <w:color w:val="1A1A19"/>
                <w:sz w:val="15"/>
                <w:szCs w:val="15"/>
              </w:rPr>
              <w:t>thermohydraulique</w:t>
            </w:r>
            <w:proofErr w:type="spellEnd"/>
            <w:r w:rsidRPr="00BE4F47">
              <w:rPr>
                <w:rFonts w:ascii="Aptos" w:eastAsia="Calibri" w:hAnsi="Aptos" w:cs="Calibri"/>
                <w:color w:val="1A1A19"/>
                <w:sz w:val="15"/>
                <w:szCs w:val="15"/>
              </w:rPr>
              <w:t xml:space="preserve"> simplifiée et produit, à chaque cycle d’acquisition, une valeur de température, de pression et de débit.</w:t>
            </w:r>
          </w:p>
        </w:tc>
        <w:tc>
          <w:tcPr>
            <w:tcW w:w="977" w:type="dxa"/>
            <w:tcBorders>
              <w:top w:val="single" w:sz="4" w:space="0" w:color="000000"/>
              <w:left w:val="single" w:sz="4" w:space="0" w:color="000000"/>
              <w:bottom w:val="single" w:sz="4" w:space="0" w:color="000000"/>
              <w:right w:val="single" w:sz="4" w:space="0" w:color="000000"/>
            </w:tcBorders>
          </w:tcPr>
          <w:p w14:paraId="27608AA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Hydro-Québec</w:t>
            </w:r>
          </w:p>
        </w:tc>
        <w:tc>
          <w:tcPr>
            <w:tcW w:w="741" w:type="dxa"/>
            <w:tcBorders>
              <w:top w:val="single" w:sz="4" w:space="0" w:color="000000"/>
              <w:left w:val="single" w:sz="4" w:space="0" w:color="000000"/>
              <w:bottom w:val="single" w:sz="4" w:space="0" w:color="000000"/>
              <w:right w:val="single" w:sz="4" w:space="0" w:color="000000"/>
            </w:tcBorders>
          </w:tcPr>
          <w:p w14:paraId="3DB3CEF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w:t>
            </w:r>
          </w:p>
        </w:tc>
        <w:tc>
          <w:tcPr>
            <w:tcW w:w="472" w:type="dxa"/>
            <w:tcBorders>
              <w:top w:val="single" w:sz="4" w:space="0" w:color="000000"/>
              <w:left w:val="single" w:sz="4" w:space="0" w:color="000000"/>
              <w:bottom w:val="single" w:sz="4" w:space="0" w:color="000000"/>
              <w:right w:val="single" w:sz="4" w:space="0" w:color="000000"/>
            </w:tcBorders>
          </w:tcPr>
          <w:p w14:paraId="36175FE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L6</w:t>
            </w:r>
          </w:p>
        </w:tc>
        <w:tc>
          <w:tcPr>
            <w:tcW w:w="2262" w:type="dxa"/>
            <w:tcBorders>
              <w:top w:val="single" w:sz="4" w:space="0" w:color="000000"/>
              <w:left w:val="single" w:sz="4" w:space="0" w:color="000000"/>
              <w:bottom w:val="single" w:sz="4" w:space="0" w:color="000000"/>
              <w:right w:val="single" w:sz="4" w:space="0" w:color="000000"/>
            </w:tcBorders>
          </w:tcPr>
          <w:p w14:paraId="39C5EA2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de fonctionnement normal : 100 cycles consécutifs sans valeur manquante.</w:t>
            </w:r>
          </w:p>
        </w:tc>
      </w:tr>
      <w:tr w:rsidR="00F50D70" w:rsidRPr="00BE4F47" w14:paraId="6370C6D6" w14:textId="77777777">
        <w:trPr>
          <w:trHeight w:val="875"/>
        </w:trPr>
        <w:tc>
          <w:tcPr>
            <w:tcW w:w="640" w:type="dxa"/>
            <w:tcBorders>
              <w:top w:val="single" w:sz="4" w:space="0" w:color="000000"/>
              <w:left w:val="single" w:sz="4" w:space="0" w:color="000000"/>
              <w:bottom w:val="single" w:sz="4" w:space="0" w:color="000000"/>
              <w:right w:val="single" w:sz="4" w:space="0" w:color="000000"/>
            </w:tcBorders>
          </w:tcPr>
          <w:p w14:paraId="5E49DAF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EX-F-02</w:t>
            </w:r>
          </w:p>
        </w:tc>
        <w:tc>
          <w:tcPr>
            <w:tcW w:w="2803" w:type="dxa"/>
            <w:tcBorders>
              <w:top w:val="single" w:sz="4" w:space="0" w:color="000000"/>
              <w:left w:val="single" w:sz="4" w:space="0" w:color="000000"/>
              <w:bottom w:val="single" w:sz="4" w:space="0" w:color="000000"/>
              <w:right w:val="single" w:sz="4" w:space="0" w:color="000000"/>
            </w:tcBorders>
          </w:tcPr>
          <w:p w14:paraId="5261EFC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prototype permet d’exécuter des scénarios prédéfinis et reproductibles couvrant au minimum le fonctionnement normal, la dérive lente d’un capteur, la perte de communication et la valeur hors plage.</w:t>
            </w:r>
          </w:p>
        </w:tc>
        <w:tc>
          <w:tcPr>
            <w:tcW w:w="977" w:type="dxa"/>
            <w:tcBorders>
              <w:top w:val="single" w:sz="4" w:space="0" w:color="000000"/>
              <w:left w:val="single" w:sz="4" w:space="0" w:color="000000"/>
              <w:bottom w:val="single" w:sz="4" w:space="0" w:color="000000"/>
              <w:right w:val="single" w:sz="4" w:space="0" w:color="000000"/>
            </w:tcBorders>
          </w:tcPr>
          <w:p w14:paraId="12395C8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Hydro-Québec</w:t>
            </w:r>
          </w:p>
        </w:tc>
        <w:tc>
          <w:tcPr>
            <w:tcW w:w="741" w:type="dxa"/>
            <w:tcBorders>
              <w:top w:val="single" w:sz="4" w:space="0" w:color="000000"/>
              <w:left w:val="single" w:sz="4" w:space="0" w:color="000000"/>
              <w:bottom w:val="single" w:sz="4" w:space="0" w:color="000000"/>
              <w:right w:val="single" w:sz="4" w:space="0" w:color="000000"/>
            </w:tcBorders>
          </w:tcPr>
          <w:p w14:paraId="3DA02ED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 F6, D2</w:t>
            </w:r>
          </w:p>
        </w:tc>
        <w:tc>
          <w:tcPr>
            <w:tcW w:w="472" w:type="dxa"/>
            <w:tcBorders>
              <w:top w:val="single" w:sz="4" w:space="0" w:color="000000"/>
              <w:left w:val="single" w:sz="4" w:space="0" w:color="000000"/>
              <w:bottom w:val="single" w:sz="4" w:space="0" w:color="000000"/>
              <w:right w:val="single" w:sz="4" w:space="0" w:color="000000"/>
            </w:tcBorders>
          </w:tcPr>
          <w:p w14:paraId="4532C37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L9</w:t>
            </w:r>
          </w:p>
        </w:tc>
        <w:tc>
          <w:tcPr>
            <w:tcW w:w="2262" w:type="dxa"/>
            <w:tcBorders>
              <w:top w:val="single" w:sz="4" w:space="0" w:color="000000"/>
              <w:left w:val="single" w:sz="4" w:space="0" w:color="000000"/>
              <w:bottom w:val="single" w:sz="4" w:space="0" w:color="000000"/>
              <w:right w:val="single" w:sz="4" w:space="0" w:color="000000"/>
            </w:tcBorders>
          </w:tcPr>
          <w:p w14:paraId="47820E7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Campagne d’essais : un essai documenté par scénario, rejouable à l’identique.</w:t>
            </w:r>
          </w:p>
        </w:tc>
      </w:tr>
      <w:tr w:rsidR="00F50D70" w:rsidRPr="00BE4F47" w14:paraId="2E52FDCB" w14:textId="77777777">
        <w:trPr>
          <w:trHeight w:val="543"/>
        </w:trPr>
        <w:tc>
          <w:tcPr>
            <w:tcW w:w="640" w:type="dxa"/>
            <w:tcBorders>
              <w:top w:val="single" w:sz="4" w:space="0" w:color="000000"/>
              <w:left w:val="single" w:sz="4" w:space="0" w:color="000000"/>
              <w:bottom w:val="single" w:sz="4" w:space="0" w:color="000000"/>
              <w:right w:val="single" w:sz="4" w:space="0" w:color="000000"/>
            </w:tcBorders>
          </w:tcPr>
          <w:p w14:paraId="7888EC0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EX-F-03</w:t>
            </w:r>
          </w:p>
        </w:tc>
        <w:tc>
          <w:tcPr>
            <w:tcW w:w="2803" w:type="dxa"/>
            <w:tcBorders>
              <w:top w:val="single" w:sz="4" w:space="0" w:color="000000"/>
              <w:left w:val="single" w:sz="4" w:space="0" w:color="000000"/>
              <w:bottom w:val="single" w:sz="4" w:space="0" w:color="000000"/>
              <w:right w:val="single" w:sz="4" w:space="0" w:color="000000"/>
            </w:tcBorders>
          </w:tcPr>
          <w:p w14:paraId="37D31AF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À chaque cycle, le prototype compare la valeur observée à la valeur attendue par le modèle et calcule l’écart correspondant.</w:t>
            </w:r>
          </w:p>
        </w:tc>
        <w:tc>
          <w:tcPr>
            <w:tcW w:w="977" w:type="dxa"/>
            <w:tcBorders>
              <w:top w:val="single" w:sz="4" w:space="0" w:color="000000"/>
              <w:left w:val="single" w:sz="4" w:space="0" w:color="000000"/>
              <w:bottom w:val="single" w:sz="4" w:space="0" w:color="000000"/>
              <w:right w:val="single" w:sz="4" w:space="0" w:color="000000"/>
            </w:tcBorders>
          </w:tcPr>
          <w:p w14:paraId="38BF24F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Hydro-Québec</w:t>
            </w:r>
          </w:p>
        </w:tc>
        <w:tc>
          <w:tcPr>
            <w:tcW w:w="741" w:type="dxa"/>
            <w:tcBorders>
              <w:top w:val="single" w:sz="4" w:space="0" w:color="000000"/>
              <w:left w:val="single" w:sz="4" w:space="0" w:color="000000"/>
              <w:bottom w:val="single" w:sz="4" w:space="0" w:color="000000"/>
              <w:right w:val="single" w:sz="4" w:space="0" w:color="000000"/>
            </w:tcBorders>
          </w:tcPr>
          <w:p w14:paraId="17F9F56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w:t>
            </w:r>
          </w:p>
        </w:tc>
        <w:tc>
          <w:tcPr>
            <w:tcW w:w="472" w:type="dxa"/>
            <w:tcBorders>
              <w:top w:val="single" w:sz="4" w:space="0" w:color="000000"/>
              <w:left w:val="single" w:sz="4" w:space="0" w:color="000000"/>
              <w:bottom w:val="single" w:sz="4" w:space="0" w:color="000000"/>
              <w:right w:val="single" w:sz="4" w:space="0" w:color="000000"/>
            </w:tcBorders>
          </w:tcPr>
          <w:p w14:paraId="6B47D91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L6, L7</w:t>
            </w:r>
          </w:p>
        </w:tc>
        <w:tc>
          <w:tcPr>
            <w:tcW w:w="2262" w:type="dxa"/>
            <w:tcBorders>
              <w:top w:val="single" w:sz="4" w:space="0" w:color="000000"/>
              <w:left w:val="single" w:sz="4" w:space="0" w:color="000000"/>
              <w:bottom w:val="single" w:sz="4" w:space="0" w:color="000000"/>
              <w:right w:val="single" w:sz="4" w:space="0" w:color="000000"/>
            </w:tcBorders>
          </w:tcPr>
          <w:p w14:paraId="3E611AE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unitaire sur jeu de données connu, écart attendu calculé à la main.</w:t>
            </w:r>
          </w:p>
        </w:tc>
      </w:tr>
      <w:tr w:rsidR="00F50D70" w:rsidRPr="00BE4F47" w14:paraId="7CA61AEB" w14:textId="77777777">
        <w:trPr>
          <w:trHeight w:val="543"/>
        </w:trPr>
        <w:tc>
          <w:tcPr>
            <w:tcW w:w="640" w:type="dxa"/>
            <w:tcBorders>
              <w:top w:val="single" w:sz="4" w:space="0" w:color="000000"/>
              <w:left w:val="single" w:sz="4" w:space="0" w:color="000000"/>
              <w:bottom w:val="single" w:sz="4" w:space="0" w:color="000000"/>
              <w:right w:val="single" w:sz="4" w:space="0" w:color="000000"/>
            </w:tcBorders>
          </w:tcPr>
          <w:p w14:paraId="40DF2CB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EX-F-04</w:t>
            </w:r>
          </w:p>
        </w:tc>
        <w:tc>
          <w:tcPr>
            <w:tcW w:w="2803" w:type="dxa"/>
            <w:tcBorders>
              <w:top w:val="single" w:sz="4" w:space="0" w:color="000000"/>
              <w:left w:val="single" w:sz="4" w:space="0" w:color="000000"/>
              <w:bottom w:val="single" w:sz="4" w:space="0" w:color="000000"/>
              <w:right w:val="single" w:sz="4" w:space="0" w:color="000000"/>
            </w:tcBorders>
          </w:tcPr>
          <w:p w14:paraId="4CC3256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L’interface affiche en permanence les trois variables surveillées, leur écart au modèle et l’horodatage de la dernière acquisition valide.</w:t>
            </w:r>
          </w:p>
        </w:tc>
        <w:tc>
          <w:tcPr>
            <w:tcW w:w="977" w:type="dxa"/>
            <w:tcBorders>
              <w:top w:val="single" w:sz="4" w:space="0" w:color="000000"/>
              <w:left w:val="single" w:sz="4" w:space="0" w:color="000000"/>
              <w:bottom w:val="single" w:sz="4" w:space="0" w:color="000000"/>
              <w:right w:val="single" w:sz="4" w:space="0" w:color="000000"/>
            </w:tcBorders>
          </w:tcPr>
          <w:p w14:paraId="757E876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Ingénieurs et opérateurs</w:t>
            </w:r>
          </w:p>
        </w:tc>
        <w:tc>
          <w:tcPr>
            <w:tcW w:w="741" w:type="dxa"/>
            <w:tcBorders>
              <w:top w:val="single" w:sz="4" w:space="0" w:color="000000"/>
              <w:left w:val="single" w:sz="4" w:space="0" w:color="000000"/>
              <w:bottom w:val="single" w:sz="4" w:space="0" w:color="000000"/>
              <w:right w:val="single" w:sz="4" w:space="0" w:color="000000"/>
            </w:tcBorders>
          </w:tcPr>
          <w:p w14:paraId="121C7F7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w:t>
            </w:r>
          </w:p>
        </w:tc>
        <w:tc>
          <w:tcPr>
            <w:tcW w:w="472" w:type="dxa"/>
            <w:tcBorders>
              <w:top w:val="single" w:sz="4" w:space="0" w:color="000000"/>
              <w:left w:val="single" w:sz="4" w:space="0" w:color="000000"/>
              <w:bottom w:val="single" w:sz="4" w:space="0" w:color="000000"/>
              <w:right w:val="single" w:sz="4" w:space="0" w:color="000000"/>
            </w:tcBorders>
          </w:tcPr>
          <w:p w14:paraId="6A52A90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L8</w:t>
            </w:r>
          </w:p>
        </w:tc>
        <w:tc>
          <w:tcPr>
            <w:tcW w:w="2262" w:type="dxa"/>
            <w:tcBorders>
              <w:top w:val="single" w:sz="4" w:space="0" w:color="000000"/>
              <w:left w:val="single" w:sz="4" w:space="0" w:color="000000"/>
              <w:bottom w:val="single" w:sz="4" w:space="0" w:color="000000"/>
              <w:right w:val="single" w:sz="4" w:space="0" w:color="000000"/>
            </w:tcBorders>
          </w:tcPr>
          <w:p w14:paraId="002A951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Inspection de l’interface en fonctionnement, liste de contrôle des éléments affichés.</w:t>
            </w:r>
          </w:p>
        </w:tc>
      </w:tr>
      <w:tr w:rsidR="00F50D70" w:rsidRPr="00BE4F47" w14:paraId="54067ADE" w14:textId="77777777">
        <w:trPr>
          <w:trHeight w:val="549"/>
        </w:trPr>
        <w:tc>
          <w:tcPr>
            <w:tcW w:w="640" w:type="dxa"/>
            <w:tcBorders>
              <w:top w:val="single" w:sz="4" w:space="0" w:color="000000"/>
              <w:left w:val="single" w:sz="4" w:space="0" w:color="000000"/>
              <w:bottom w:val="single" w:sz="4" w:space="0" w:color="000000"/>
              <w:right w:val="single" w:sz="4" w:space="0" w:color="000000"/>
            </w:tcBorders>
          </w:tcPr>
          <w:p w14:paraId="0B63B6D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EX-F-05</w:t>
            </w:r>
          </w:p>
        </w:tc>
        <w:tc>
          <w:tcPr>
            <w:tcW w:w="2803" w:type="dxa"/>
            <w:tcBorders>
              <w:top w:val="single" w:sz="4" w:space="0" w:color="000000"/>
              <w:left w:val="single" w:sz="4" w:space="0" w:color="000000"/>
              <w:bottom w:val="single" w:sz="4" w:space="0" w:color="000000"/>
              <w:right w:val="single" w:sz="4" w:space="0" w:color="000000"/>
            </w:tcBorders>
          </w:tcPr>
          <w:p w14:paraId="0B6A159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Lorsqu’une anomalie est signalée, l’interface affiche les variables ayant contribué à la détection.</w:t>
            </w:r>
          </w:p>
        </w:tc>
        <w:tc>
          <w:tcPr>
            <w:tcW w:w="977" w:type="dxa"/>
            <w:tcBorders>
              <w:top w:val="single" w:sz="4" w:space="0" w:color="000000"/>
              <w:left w:val="single" w:sz="4" w:space="0" w:color="000000"/>
              <w:bottom w:val="single" w:sz="4" w:space="0" w:color="000000"/>
              <w:right w:val="single" w:sz="4" w:space="0" w:color="000000"/>
            </w:tcBorders>
          </w:tcPr>
          <w:p w14:paraId="7FCA561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Ingénieurs et opérateurs</w:t>
            </w:r>
          </w:p>
        </w:tc>
        <w:tc>
          <w:tcPr>
            <w:tcW w:w="741" w:type="dxa"/>
            <w:tcBorders>
              <w:top w:val="single" w:sz="4" w:space="0" w:color="000000"/>
              <w:left w:val="single" w:sz="4" w:space="0" w:color="000000"/>
              <w:bottom w:val="single" w:sz="4" w:space="0" w:color="000000"/>
              <w:right w:val="single" w:sz="4" w:space="0" w:color="000000"/>
            </w:tcBorders>
          </w:tcPr>
          <w:p w14:paraId="1056425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D2</w:t>
            </w:r>
          </w:p>
        </w:tc>
        <w:tc>
          <w:tcPr>
            <w:tcW w:w="472" w:type="dxa"/>
            <w:tcBorders>
              <w:top w:val="single" w:sz="4" w:space="0" w:color="000000"/>
              <w:left w:val="single" w:sz="4" w:space="0" w:color="000000"/>
              <w:bottom w:val="single" w:sz="4" w:space="0" w:color="000000"/>
              <w:right w:val="single" w:sz="4" w:space="0" w:color="000000"/>
            </w:tcBorders>
          </w:tcPr>
          <w:p w14:paraId="583CF40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L8</w:t>
            </w:r>
          </w:p>
        </w:tc>
        <w:tc>
          <w:tcPr>
            <w:tcW w:w="2262" w:type="dxa"/>
            <w:tcBorders>
              <w:top w:val="single" w:sz="4" w:space="0" w:color="000000"/>
              <w:left w:val="single" w:sz="4" w:space="0" w:color="000000"/>
              <w:bottom w:val="single" w:sz="4" w:space="0" w:color="000000"/>
              <w:right w:val="single" w:sz="4" w:space="0" w:color="000000"/>
            </w:tcBorders>
          </w:tcPr>
          <w:p w14:paraId="356A8F4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d’injection d’anomalie : les variables affichées correspondent à celles injectées.</w:t>
            </w:r>
          </w:p>
        </w:tc>
      </w:tr>
      <w:tr w:rsidR="00F50D70" w:rsidRPr="00BE4F47" w14:paraId="02BD3ED0" w14:textId="77777777">
        <w:trPr>
          <w:trHeight w:val="875"/>
        </w:trPr>
        <w:tc>
          <w:tcPr>
            <w:tcW w:w="640" w:type="dxa"/>
            <w:tcBorders>
              <w:top w:val="single" w:sz="4" w:space="0" w:color="000000"/>
              <w:left w:val="single" w:sz="4" w:space="0" w:color="000000"/>
              <w:bottom w:val="single" w:sz="4" w:space="0" w:color="000000"/>
              <w:right w:val="single" w:sz="4" w:space="0" w:color="000000"/>
            </w:tcBorders>
          </w:tcPr>
          <w:p w14:paraId="17A470B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EX-F-06</w:t>
            </w:r>
          </w:p>
        </w:tc>
        <w:tc>
          <w:tcPr>
            <w:tcW w:w="2803" w:type="dxa"/>
            <w:tcBorders>
              <w:top w:val="single" w:sz="4" w:space="0" w:color="000000"/>
              <w:left w:val="single" w:sz="4" w:space="0" w:color="000000"/>
              <w:bottom w:val="single" w:sz="4" w:space="0" w:color="000000"/>
              <w:right w:val="single" w:sz="4" w:space="0" w:color="000000"/>
            </w:tcBorders>
          </w:tcPr>
          <w:p w14:paraId="1A84DCB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Lorsqu’au moins une des trois variables est indisponible ou hors de sa plage de validité pendant plus de N cycles, l’interface affiche l’état « incertain » et n’affiche aucune estimation d’état normal.</w:t>
            </w:r>
          </w:p>
        </w:tc>
        <w:tc>
          <w:tcPr>
            <w:tcW w:w="977" w:type="dxa"/>
            <w:tcBorders>
              <w:top w:val="single" w:sz="4" w:space="0" w:color="000000"/>
              <w:left w:val="single" w:sz="4" w:space="0" w:color="000000"/>
              <w:bottom w:val="single" w:sz="4" w:space="0" w:color="000000"/>
              <w:right w:val="single" w:sz="4" w:space="0" w:color="000000"/>
            </w:tcBorders>
          </w:tcPr>
          <w:p w14:paraId="761365B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Sûreté</w:t>
            </w:r>
          </w:p>
        </w:tc>
        <w:tc>
          <w:tcPr>
            <w:tcW w:w="741" w:type="dxa"/>
            <w:tcBorders>
              <w:top w:val="single" w:sz="4" w:space="0" w:color="000000"/>
              <w:left w:val="single" w:sz="4" w:space="0" w:color="000000"/>
              <w:bottom w:val="single" w:sz="4" w:space="0" w:color="000000"/>
              <w:right w:val="single" w:sz="4" w:space="0" w:color="000000"/>
            </w:tcBorders>
          </w:tcPr>
          <w:p w14:paraId="613106A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D2</w:t>
            </w:r>
          </w:p>
        </w:tc>
        <w:tc>
          <w:tcPr>
            <w:tcW w:w="472" w:type="dxa"/>
            <w:tcBorders>
              <w:top w:val="single" w:sz="4" w:space="0" w:color="000000"/>
              <w:left w:val="single" w:sz="4" w:space="0" w:color="000000"/>
              <w:bottom w:val="single" w:sz="4" w:space="0" w:color="000000"/>
              <w:right w:val="single" w:sz="4" w:space="0" w:color="000000"/>
            </w:tcBorders>
          </w:tcPr>
          <w:p w14:paraId="30D8F5E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L7, L8</w:t>
            </w:r>
          </w:p>
        </w:tc>
        <w:tc>
          <w:tcPr>
            <w:tcW w:w="2262" w:type="dxa"/>
            <w:tcBorders>
              <w:top w:val="single" w:sz="4" w:space="0" w:color="000000"/>
              <w:left w:val="single" w:sz="4" w:space="0" w:color="000000"/>
              <w:bottom w:val="single" w:sz="4" w:space="0" w:color="000000"/>
              <w:right w:val="single" w:sz="4" w:space="0" w:color="000000"/>
            </w:tcBorders>
          </w:tcPr>
          <w:p w14:paraId="0E5F8D5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de perte de capteur et essai de valeur hors plage.</w:t>
            </w:r>
          </w:p>
        </w:tc>
      </w:tr>
      <w:tr w:rsidR="00F50D70" w:rsidRPr="00BE4F47" w14:paraId="5D11E4A6" w14:textId="77777777">
        <w:trPr>
          <w:trHeight w:val="543"/>
        </w:trPr>
        <w:tc>
          <w:tcPr>
            <w:tcW w:w="640" w:type="dxa"/>
            <w:tcBorders>
              <w:top w:val="single" w:sz="4" w:space="0" w:color="000000"/>
              <w:left w:val="single" w:sz="4" w:space="0" w:color="000000"/>
              <w:bottom w:val="single" w:sz="4" w:space="0" w:color="000000"/>
              <w:right w:val="single" w:sz="4" w:space="0" w:color="000000"/>
            </w:tcBorders>
          </w:tcPr>
          <w:p w14:paraId="311F51A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EX-F-07</w:t>
            </w:r>
          </w:p>
        </w:tc>
        <w:tc>
          <w:tcPr>
            <w:tcW w:w="2803" w:type="dxa"/>
            <w:tcBorders>
              <w:top w:val="single" w:sz="4" w:space="0" w:color="000000"/>
              <w:left w:val="single" w:sz="4" w:space="0" w:color="000000"/>
              <w:bottom w:val="single" w:sz="4" w:space="0" w:color="000000"/>
              <w:right w:val="single" w:sz="4" w:space="0" w:color="000000"/>
            </w:tcBorders>
          </w:tcPr>
          <w:p w14:paraId="198B83C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 xml:space="preserve">Toute estimation d’état produite par le prototype est accompagnée d’un niveau </w:t>
            </w:r>
            <w:r w:rsidRPr="00BE4F47">
              <w:rPr>
                <w:rFonts w:ascii="Aptos" w:eastAsia="Calibri" w:hAnsi="Aptos" w:cs="Calibri"/>
                <w:color w:val="1A1A19"/>
                <w:sz w:val="15"/>
                <w:szCs w:val="15"/>
              </w:rPr>
              <w:lastRenderedPageBreak/>
              <w:t>de confiance ou d’un intervalle d’incertitude.</w:t>
            </w:r>
          </w:p>
        </w:tc>
        <w:tc>
          <w:tcPr>
            <w:tcW w:w="977" w:type="dxa"/>
            <w:tcBorders>
              <w:top w:val="single" w:sz="4" w:space="0" w:color="000000"/>
              <w:left w:val="single" w:sz="4" w:space="0" w:color="000000"/>
              <w:bottom w:val="single" w:sz="4" w:space="0" w:color="000000"/>
              <w:right w:val="single" w:sz="4" w:space="0" w:color="000000"/>
            </w:tcBorders>
          </w:tcPr>
          <w:p w14:paraId="184C390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lastRenderedPageBreak/>
              <w:t>Sûreté</w:t>
            </w:r>
          </w:p>
        </w:tc>
        <w:tc>
          <w:tcPr>
            <w:tcW w:w="741" w:type="dxa"/>
            <w:tcBorders>
              <w:top w:val="single" w:sz="4" w:space="0" w:color="000000"/>
              <w:left w:val="single" w:sz="4" w:space="0" w:color="000000"/>
              <w:bottom w:val="single" w:sz="4" w:space="0" w:color="000000"/>
              <w:right w:val="single" w:sz="4" w:space="0" w:color="000000"/>
            </w:tcBorders>
          </w:tcPr>
          <w:p w14:paraId="3F35589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 D3</w:t>
            </w:r>
          </w:p>
        </w:tc>
        <w:tc>
          <w:tcPr>
            <w:tcW w:w="472" w:type="dxa"/>
            <w:tcBorders>
              <w:top w:val="single" w:sz="4" w:space="0" w:color="000000"/>
              <w:left w:val="single" w:sz="4" w:space="0" w:color="000000"/>
              <w:bottom w:val="single" w:sz="4" w:space="0" w:color="000000"/>
              <w:right w:val="single" w:sz="4" w:space="0" w:color="000000"/>
            </w:tcBorders>
          </w:tcPr>
          <w:p w14:paraId="7C93E9B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L7</w:t>
            </w:r>
          </w:p>
        </w:tc>
        <w:tc>
          <w:tcPr>
            <w:tcW w:w="2262" w:type="dxa"/>
            <w:tcBorders>
              <w:top w:val="single" w:sz="4" w:space="0" w:color="000000"/>
              <w:left w:val="single" w:sz="4" w:space="0" w:color="000000"/>
              <w:bottom w:val="single" w:sz="4" w:space="0" w:color="000000"/>
              <w:right w:val="single" w:sz="4" w:space="0" w:color="000000"/>
            </w:tcBorders>
          </w:tcPr>
          <w:p w14:paraId="517A54B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 xml:space="preserve">Essai de comparaison : l’écart affiché est rapporté à </w:t>
            </w:r>
            <w:r w:rsidRPr="00BE4F47">
              <w:rPr>
                <w:rFonts w:ascii="Aptos" w:eastAsia="Calibri" w:hAnsi="Aptos" w:cs="Calibri"/>
                <w:color w:val="1A1A19"/>
                <w:sz w:val="15"/>
                <w:szCs w:val="15"/>
              </w:rPr>
              <w:lastRenderedPageBreak/>
              <w:t>l’incertitude de validation (ASME V&amp;V 20).</w:t>
            </w:r>
          </w:p>
        </w:tc>
      </w:tr>
      <w:tr w:rsidR="00F50D70" w:rsidRPr="00BE4F47" w14:paraId="44794A63" w14:textId="77777777">
        <w:trPr>
          <w:trHeight w:val="713"/>
        </w:trPr>
        <w:tc>
          <w:tcPr>
            <w:tcW w:w="640" w:type="dxa"/>
            <w:tcBorders>
              <w:top w:val="single" w:sz="4" w:space="0" w:color="000000"/>
              <w:left w:val="single" w:sz="4" w:space="0" w:color="000000"/>
              <w:bottom w:val="single" w:sz="4" w:space="0" w:color="000000"/>
              <w:right w:val="single" w:sz="4" w:space="0" w:color="000000"/>
            </w:tcBorders>
          </w:tcPr>
          <w:p w14:paraId="127D962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lastRenderedPageBreak/>
              <w:t>EX-F-08</w:t>
            </w:r>
          </w:p>
        </w:tc>
        <w:tc>
          <w:tcPr>
            <w:tcW w:w="2803" w:type="dxa"/>
            <w:tcBorders>
              <w:top w:val="single" w:sz="4" w:space="0" w:color="000000"/>
              <w:left w:val="single" w:sz="4" w:space="0" w:color="000000"/>
              <w:bottom w:val="single" w:sz="4" w:space="0" w:color="000000"/>
              <w:right w:val="single" w:sz="4" w:space="0" w:color="000000"/>
            </w:tcBorders>
          </w:tcPr>
          <w:p w14:paraId="76F6854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prototype n’émet aucune commande vers un équipement. Toute action proposée est une recommandation nécessitant une validation de l’opérateur.</w:t>
            </w:r>
          </w:p>
        </w:tc>
        <w:tc>
          <w:tcPr>
            <w:tcW w:w="977" w:type="dxa"/>
            <w:tcBorders>
              <w:top w:val="single" w:sz="4" w:space="0" w:color="000000"/>
              <w:left w:val="single" w:sz="4" w:space="0" w:color="000000"/>
              <w:bottom w:val="single" w:sz="4" w:space="0" w:color="000000"/>
              <w:right w:val="single" w:sz="4" w:space="0" w:color="000000"/>
            </w:tcBorders>
          </w:tcPr>
          <w:p w14:paraId="6A63BB3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Opérateurs et sûreté</w:t>
            </w:r>
          </w:p>
        </w:tc>
        <w:tc>
          <w:tcPr>
            <w:tcW w:w="741" w:type="dxa"/>
            <w:tcBorders>
              <w:top w:val="single" w:sz="4" w:space="0" w:color="000000"/>
              <w:left w:val="single" w:sz="4" w:space="0" w:color="000000"/>
              <w:bottom w:val="single" w:sz="4" w:space="0" w:color="000000"/>
              <w:right w:val="single" w:sz="4" w:space="0" w:color="000000"/>
            </w:tcBorders>
          </w:tcPr>
          <w:p w14:paraId="0F12700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D3</w:t>
            </w:r>
          </w:p>
        </w:tc>
        <w:tc>
          <w:tcPr>
            <w:tcW w:w="472" w:type="dxa"/>
            <w:tcBorders>
              <w:top w:val="single" w:sz="4" w:space="0" w:color="000000"/>
              <w:left w:val="single" w:sz="4" w:space="0" w:color="000000"/>
              <w:bottom w:val="single" w:sz="4" w:space="0" w:color="000000"/>
              <w:right w:val="single" w:sz="4" w:space="0" w:color="000000"/>
            </w:tcBorders>
          </w:tcPr>
          <w:p w14:paraId="5160426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L6, L8</w:t>
            </w:r>
          </w:p>
        </w:tc>
        <w:tc>
          <w:tcPr>
            <w:tcW w:w="2262" w:type="dxa"/>
            <w:tcBorders>
              <w:top w:val="single" w:sz="4" w:space="0" w:color="000000"/>
              <w:left w:val="single" w:sz="4" w:space="0" w:color="000000"/>
              <w:bottom w:val="single" w:sz="4" w:space="0" w:color="000000"/>
              <w:right w:val="single" w:sz="4" w:space="0" w:color="000000"/>
            </w:tcBorders>
          </w:tcPr>
          <w:p w14:paraId="74DFB03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Revue de code et inspection des interfaces de sortie : aucune écriture vers un actionneur.</w:t>
            </w:r>
          </w:p>
        </w:tc>
      </w:tr>
      <w:tr w:rsidR="00F50D70" w:rsidRPr="00BE4F47" w14:paraId="5D0F4054" w14:textId="77777777">
        <w:trPr>
          <w:trHeight w:val="543"/>
        </w:trPr>
        <w:tc>
          <w:tcPr>
            <w:tcW w:w="640" w:type="dxa"/>
            <w:tcBorders>
              <w:top w:val="single" w:sz="4" w:space="0" w:color="000000"/>
              <w:left w:val="single" w:sz="4" w:space="0" w:color="000000"/>
              <w:bottom w:val="single" w:sz="4" w:space="0" w:color="000000"/>
              <w:right w:val="single" w:sz="4" w:space="0" w:color="000000"/>
            </w:tcBorders>
          </w:tcPr>
          <w:p w14:paraId="7C27883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EX-F-09</w:t>
            </w:r>
          </w:p>
        </w:tc>
        <w:tc>
          <w:tcPr>
            <w:tcW w:w="2803" w:type="dxa"/>
            <w:tcBorders>
              <w:top w:val="single" w:sz="4" w:space="0" w:color="000000"/>
              <w:left w:val="single" w:sz="4" w:space="0" w:color="000000"/>
              <w:bottom w:val="single" w:sz="4" w:space="0" w:color="000000"/>
              <w:right w:val="single" w:sz="4" w:space="0" w:color="000000"/>
            </w:tcBorders>
          </w:tcPr>
          <w:p w14:paraId="13A16E1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passage en fonctionnement dégradé exige une confirmation explicite de l’opérateur et est journalisé avec son horodatage.</w:t>
            </w:r>
          </w:p>
        </w:tc>
        <w:tc>
          <w:tcPr>
            <w:tcW w:w="977" w:type="dxa"/>
            <w:tcBorders>
              <w:top w:val="single" w:sz="4" w:space="0" w:color="000000"/>
              <w:left w:val="single" w:sz="4" w:space="0" w:color="000000"/>
              <w:bottom w:val="single" w:sz="4" w:space="0" w:color="000000"/>
              <w:right w:val="single" w:sz="4" w:space="0" w:color="000000"/>
            </w:tcBorders>
          </w:tcPr>
          <w:p w14:paraId="33082BC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Sûreté</w:t>
            </w:r>
          </w:p>
        </w:tc>
        <w:tc>
          <w:tcPr>
            <w:tcW w:w="741" w:type="dxa"/>
            <w:tcBorders>
              <w:top w:val="single" w:sz="4" w:space="0" w:color="000000"/>
              <w:left w:val="single" w:sz="4" w:space="0" w:color="000000"/>
              <w:bottom w:val="single" w:sz="4" w:space="0" w:color="000000"/>
              <w:right w:val="single" w:sz="4" w:space="0" w:color="000000"/>
            </w:tcBorders>
          </w:tcPr>
          <w:p w14:paraId="5B83AA6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D3</w:t>
            </w:r>
          </w:p>
        </w:tc>
        <w:tc>
          <w:tcPr>
            <w:tcW w:w="472" w:type="dxa"/>
            <w:tcBorders>
              <w:top w:val="single" w:sz="4" w:space="0" w:color="000000"/>
              <w:left w:val="single" w:sz="4" w:space="0" w:color="000000"/>
              <w:bottom w:val="single" w:sz="4" w:space="0" w:color="000000"/>
              <w:right w:val="single" w:sz="4" w:space="0" w:color="000000"/>
            </w:tcBorders>
          </w:tcPr>
          <w:p w14:paraId="652D5E6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L6</w:t>
            </w:r>
          </w:p>
        </w:tc>
        <w:tc>
          <w:tcPr>
            <w:tcW w:w="2262" w:type="dxa"/>
            <w:tcBorders>
              <w:top w:val="single" w:sz="4" w:space="0" w:color="000000"/>
              <w:left w:val="single" w:sz="4" w:space="0" w:color="000000"/>
              <w:bottom w:val="single" w:sz="4" w:space="0" w:color="000000"/>
              <w:right w:val="single" w:sz="4" w:space="0" w:color="000000"/>
            </w:tcBorders>
          </w:tcPr>
          <w:p w14:paraId="188C651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de bascule : vérification de la présence de l’entrée au journal.</w:t>
            </w:r>
          </w:p>
        </w:tc>
      </w:tr>
      <w:tr w:rsidR="00F50D70" w:rsidRPr="00BE4F47" w14:paraId="5C71057F" w14:textId="77777777">
        <w:trPr>
          <w:trHeight w:val="549"/>
        </w:trPr>
        <w:tc>
          <w:tcPr>
            <w:tcW w:w="640" w:type="dxa"/>
            <w:tcBorders>
              <w:top w:val="single" w:sz="4" w:space="0" w:color="000000"/>
              <w:left w:val="single" w:sz="4" w:space="0" w:color="000000"/>
              <w:bottom w:val="single" w:sz="4" w:space="0" w:color="000000"/>
              <w:right w:val="single" w:sz="4" w:space="0" w:color="000000"/>
            </w:tcBorders>
          </w:tcPr>
          <w:p w14:paraId="2D23C4F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EX-F-10</w:t>
            </w:r>
          </w:p>
        </w:tc>
        <w:tc>
          <w:tcPr>
            <w:tcW w:w="2803" w:type="dxa"/>
            <w:tcBorders>
              <w:top w:val="single" w:sz="4" w:space="0" w:color="000000"/>
              <w:left w:val="single" w:sz="4" w:space="0" w:color="000000"/>
              <w:bottom w:val="single" w:sz="4" w:space="0" w:color="000000"/>
              <w:right w:val="single" w:sz="4" w:space="0" w:color="000000"/>
            </w:tcBorders>
          </w:tcPr>
          <w:p w14:paraId="5047E12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prototype journalise chaque acquisition, chaque détection d’anomalie et chaque changement d’état, avec horodatage.</w:t>
            </w:r>
          </w:p>
        </w:tc>
        <w:tc>
          <w:tcPr>
            <w:tcW w:w="977" w:type="dxa"/>
            <w:tcBorders>
              <w:top w:val="single" w:sz="4" w:space="0" w:color="000000"/>
              <w:left w:val="single" w:sz="4" w:space="0" w:color="000000"/>
              <w:bottom w:val="single" w:sz="4" w:space="0" w:color="000000"/>
              <w:right w:val="single" w:sz="4" w:space="0" w:color="000000"/>
            </w:tcBorders>
          </w:tcPr>
          <w:p w14:paraId="7095F34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CCSN, REGDOC-2.1.1</w:t>
            </w:r>
          </w:p>
        </w:tc>
        <w:tc>
          <w:tcPr>
            <w:tcW w:w="741" w:type="dxa"/>
            <w:tcBorders>
              <w:top w:val="single" w:sz="4" w:space="0" w:color="000000"/>
              <w:left w:val="single" w:sz="4" w:space="0" w:color="000000"/>
              <w:bottom w:val="single" w:sz="4" w:space="0" w:color="000000"/>
              <w:right w:val="single" w:sz="4" w:space="0" w:color="000000"/>
            </w:tcBorders>
          </w:tcPr>
          <w:p w14:paraId="43A1ED2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A1, F1, D1, D2, D3</w:t>
            </w:r>
          </w:p>
        </w:tc>
        <w:tc>
          <w:tcPr>
            <w:tcW w:w="472" w:type="dxa"/>
            <w:tcBorders>
              <w:top w:val="single" w:sz="4" w:space="0" w:color="000000"/>
              <w:left w:val="single" w:sz="4" w:space="0" w:color="000000"/>
              <w:bottom w:val="single" w:sz="4" w:space="0" w:color="000000"/>
              <w:right w:val="single" w:sz="4" w:space="0" w:color="000000"/>
            </w:tcBorders>
          </w:tcPr>
          <w:p w14:paraId="3613408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L6</w:t>
            </w:r>
          </w:p>
        </w:tc>
        <w:tc>
          <w:tcPr>
            <w:tcW w:w="2262" w:type="dxa"/>
            <w:tcBorders>
              <w:top w:val="single" w:sz="4" w:space="0" w:color="000000"/>
              <w:left w:val="single" w:sz="4" w:space="0" w:color="000000"/>
              <w:bottom w:val="single" w:sz="4" w:space="0" w:color="000000"/>
              <w:right w:val="single" w:sz="4" w:space="0" w:color="000000"/>
            </w:tcBorders>
          </w:tcPr>
          <w:p w14:paraId="1B9FCC6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Inspection du journal après une campagne complète : aucun changement d’état absent.</w:t>
            </w:r>
          </w:p>
        </w:tc>
      </w:tr>
    </w:tbl>
    <w:p w14:paraId="76ECCBED" w14:textId="77777777" w:rsidR="00F50D70" w:rsidRPr="00BE4F47" w:rsidRDefault="00F50D70" w:rsidP="008E113B">
      <w:pPr>
        <w:pStyle w:val="Retraitcorpsdetexte3"/>
        <w:spacing w:line="360" w:lineRule="auto"/>
        <w:ind w:left="0" w:firstLine="0"/>
        <w:rPr>
          <w:rFonts w:ascii="Aptos" w:hAnsi="Aptos"/>
        </w:rPr>
      </w:pPr>
    </w:p>
    <w:p w14:paraId="7558276C" w14:textId="77777777" w:rsidR="00F50D70" w:rsidRPr="0036725C" w:rsidRDefault="00F50D70" w:rsidP="008E113B">
      <w:pPr>
        <w:spacing w:line="360" w:lineRule="auto"/>
      </w:pPr>
    </w:p>
    <w:p w14:paraId="51ED62D4" w14:textId="77777777" w:rsidR="00F50D70" w:rsidRPr="0036725C" w:rsidRDefault="00F50D70" w:rsidP="008E113B">
      <w:pPr>
        <w:spacing w:line="360" w:lineRule="auto"/>
      </w:pPr>
    </w:p>
    <w:p w14:paraId="1AF53DF4" w14:textId="77777777" w:rsidR="00F50D70" w:rsidRPr="0036725C" w:rsidRDefault="00F50D70" w:rsidP="008E113B">
      <w:pPr>
        <w:spacing w:line="360" w:lineRule="auto"/>
      </w:pPr>
    </w:p>
    <w:p w14:paraId="4D567270" w14:textId="77777777" w:rsidR="00F50D70" w:rsidRPr="0036725C" w:rsidRDefault="00F50D70" w:rsidP="008E113B">
      <w:pPr>
        <w:spacing w:line="360" w:lineRule="auto"/>
      </w:pPr>
    </w:p>
    <w:p w14:paraId="08710064" w14:textId="77777777" w:rsidR="00F50D70" w:rsidRPr="0036725C" w:rsidRDefault="00F50D70" w:rsidP="008E113B">
      <w:pPr>
        <w:spacing w:line="360" w:lineRule="auto"/>
      </w:pPr>
    </w:p>
    <w:p w14:paraId="7228BDAA" w14:textId="77777777" w:rsidR="00F50D70" w:rsidRPr="0036725C" w:rsidRDefault="00F50D70" w:rsidP="008E113B">
      <w:pPr>
        <w:spacing w:line="360" w:lineRule="auto"/>
      </w:pPr>
    </w:p>
    <w:p w14:paraId="20010B96" w14:textId="77777777" w:rsidR="00F50D70" w:rsidRPr="0036725C" w:rsidRDefault="00F50D70" w:rsidP="008E113B">
      <w:pPr>
        <w:spacing w:line="360" w:lineRule="auto"/>
      </w:pPr>
    </w:p>
    <w:p w14:paraId="63263176" w14:textId="77777777" w:rsidR="00F50D70" w:rsidRPr="0036725C" w:rsidRDefault="00F50D70" w:rsidP="008E113B">
      <w:pPr>
        <w:spacing w:line="360" w:lineRule="auto"/>
      </w:pPr>
    </w:p>
    <w:p w14:paraId="4B447001" w14:textId="77777777" w:rsidR="00F50D70" w:rsidRPr="0036725C" w:rsidRDefault="00F50D70" w:rsidP="008E113B">
      <w:pPr>
        <w:spacing w:line="360" w:lineRule="auto"/>
      </w:pPr>
    </w:p>
    <w:p w14:paraId="1B89C509" w14:textId="77777777" w:rsidR="00F50D70" w:rsidRPr="0036725C" w:rsidRDefault="00F50D70" w:rsidP="008E113B">
      <w:pPr>
        <w:spacing w:line="360" w:lineRule="auto"/>
      </w:pPr>
    </w:p>
    <w:p w14:paraId="0F58A89D" w14:textId="77777777" w:rsidR="00F50D70" w:rsidRPr="0036725C" w:rsidRDefault="00F50D70" w:rsidP="008E113B">
      <w:pPr>
        <w:spacing w:line="360" w:lineRule="auto"/>
      </w:pPr>
    </w:p>
    <w:p w14:paraId="5749474E" w14:textId="77777777" w:rsidR="00F50D70" w:rsidRPr="0036725C" w:rsidRDefault="00F50D70" w:rsidP="008E113B">
      <w:pPr>
        <w:spacing w:line="360" w:lineRule="auto"/>
      </w:pPr>
    </w:p>
    <w:p w14:paraId="314164FC" w14:textId="77777777" w:rsidR="00F50D70" w:rsidRPr="0036725C" w:rsidRDefault="00F50D70" w:rsidP="008E113B">
      <w:pPr>
        <w:spacing w:line="360" w:lineRule="auto"/>
      </w:pPr>
    </w:p>
    <w:p w14:paraId="34CBF5BC" w14:textId="77777777" w:rsidR="00F50D70" w:rsidRPr="0036725C" w:rsidRDefault="00F50D70" w:rsidP="008E113B">
      <w:pPr>
        <w:spacing w:line="360" w:lineRule="auto"/>
      </w:pPr>
    </w:p>
    <w:p w14:paraId="0F9EED24" w14:textId="77777777" w:rsidR="00F50D70" w:rsidRPr="0036725C" w:rsidRDefault="00F50D70" w:rsidP="008E113B">
      <w:pPr>
        <w:spacing w:line="360" w:lineRule="auto"/>
      </w:pPr>
    </w:p>
    <w:p w14:paraId="5EFC2843" w14:textId="77777777" w:rsidR="00F50D70" w:rsidRPr="0036725C" w:rsidRDefault="00F50D70" w:rsidP="008E113B">
      <w:pPr>
        <w:spacing w:line="360" w:lineRule="auto"/>
      </w:pPr>
    </w:p>
    <w:p w14:paraId="0AA1764C" w14:textId="77777777" w:rsidR="00F50D70" w:rsidRPr="0036725C" w:rsidRDefault="00F50D70" w:rsidP="008E113B">
      <w:pPr>
        <w:spacing w:line="360" w:lineRule="auto"/>
      </w:pPr>
    </w:p>
    <w:p w14:paraId="6F4400EC" w14:textId="77777777" w:rsidR="00F50D70" w:rsidRPr="0036725C" w:rsidRDefault="00F50D70" w:rsidP="008E113B">
      <w:pPr>
        <w:spacing w:line="360" w:lineRule="auto"/>
      </w:pPr>
    </w:p>
    <w:p w14:paraId="1EE44A3C" w14:textId="77777777" w:rsidR="00F50D70" w:rsidRPr="0036725C" w:rsidRDefault="00F50D70" w:rsidP="008E113B">
      <w:pPr>
        <w:spacing w:line="360" w:lineRule="auto"/>
      </w:pPr>
    </w:p>
    <w:p w14:paraId="370093DF" w14:textId="77777777" w:rsidR="00F50D70" w:rsidRPr="0036725C" w:rsidRDefault="00F50D70" w:rsidP="008E113B">
      <w:pPr>
        <w:spacing w:line="360" w:lineRule="auto"/>
      </w:pPr>
    </w:p>
    <w:p w14:paraId="2C35B512" w14:textId="77777777" w:rsidR="00F50D70" w:rsidRPr="0036725C" w:rsidRDefault="00F50D70" w:rsidP="008E113B">
      <w:pPr>
        <w:spacing w:line="360" w:lineRule="auto"/>
      </w:pPr>
    </w:p>
    <w:p w14:paraId="23702BF6" w14:textId="77777777" w:rsidR="00F50D70" w:rsidRPr="0036725C" w:rsidRDefault="00F50D70" w:rsidP="008E113B">
      <w:pPr>
        <w:spacing w:line="360" w:lineRule="auto"/>
      </w:pPr>
    </w:p>
    <w:p w14:paraId="21534D97" w14:textId="77777777" w:rsidR="00F50D70" w:rsidRPr="0036725C" w:rsidRDefault="00F50D70" w:rsidP="008E113B">
      <w:pPr>
        <w:spacing w:line="360" w:lineRule="auto"/>
      </w:pPr>
    </w:p>
    <w:p w14:paraId="13D46FCD" w14:textId="77777777" w:rsidR="00F50D70" w:rsidRPr="0036725C" w:rsidRDefault="00F50D70" w:rsidP="008E113B">
      <w:pPr>
        <w:spacing w:line="360" w:lineRule="auto"/>
      </w:pPr>
    </w:p>
    <w:p w14:paraId="57D1CC0F" w14:textId="77777777" w:rsidR="00F50D70" w:rsidRPr="0036725C" w:rsidRDefault="00F50D70" w:rsidP="008E113B">
      <w:pPr>
        <w:spacing w:line="360" w:lineRule="auto"/>
      </w:pPr>
    </w:p>
    <w:p w14:paraId="268E4B52" w14:textId="77777777" w:rsidR="00F50D70" w:rsidRPr="00BE4F47" w:rsidRDefault="00F50D70" w:rsidP="008E113B">
      <w:pPr>
        <w:pStyle w:val="Retraitcorpsdetexte3"/>
        <w:spacing w:line="360" w:lineRule="auto"/>
        <w:ind w:left="0" w:firstLine="0"/>
        <w:rPr>
          <w:rFonts w:ascii="Aptos" w:hAnsi="Aptos"/>
        </w:rPr>
      </w:pPr>
    </w:p>
    <w:p w14:paraId="3BEC4389" w14:textId="77777777" w:rsidR="00F50D70" w:rsidRPr="00BE4F47" w:rsidRDefault="00F50D70" w:rsidP="008E113B">
      <w:pPr>
        <w:pStyle w:val="Retraitcorpsdetexte3"/>
        <w:spacing w:line="360" w:lineRule="auto"/>
        <w:ind w:left="0" w:firstLine="0"/>
        <w:rPr>
          <w:rFonts w:ascii="Aptos" w:hAnsi="Aptos"/>
        </w:rPr>
      </w:pPr>
    </w:p>
    <w:p w14:paraId="71E7A1D4" w14:textId="77777777" w:rsidR="00F50D70" w:rsidRPr="00BE4F47" w:rsidRDefault="00F50D70" w:rsidP="008E113B">
      <w:pPr>
        <w:pStyle w:val="Retraitcorpsdetexte3"/>
        <w:spacing w:line="360" w:lineRule="auto"/>
        <w:ind w:left="0" w:firstLine="0"/>
        <w:rPr>
          <w:rFonts w:ascii="Aptos" w:hAnsi="Aptos"/>
        </w:rPr>
      </w:pPr>
    </w:p>
    <w:p w14:paraId="5E3831A8" w14:textId="77777777" w:rsidR="00F50D70" w:rsidRPr="00BE4F47" w:rsidRDefault="00F50D70" w:rsidP="008E113B">
      <w:pPr>
        <w:pStyle w:val="Retraitcorpsdetexte3"/>
        <w:spacing w:line="360" w:lineRule="auto"/>
        <w:ind w:left="0" w:firstLine="0"/>
        <w:rPr>
          <w:rFonts w:ascii="Aptos" w:hAnsi="Aptos"/>
        </w:rPr>
      </w:pPr>
    </w:p>
    <w:p w14:paraId="2CD5ECBF" w14:textId="77777777" w:rsidR="00F50D70" w:rsidRPr="00BE4F47" w:rsidRDefault="00F50D70" w:rsidP="008E113B">
      <w:pPr>
        <w:pStyle w:val="Retraitcorpsdetexte3"/>
        <w:spacing w:line="360" w:lineRule="auto"/>
        <w:ind w:left="0" w:firstLine="0"/>
        <w:rPr>
          <w:rFonts w:ascii="Aptos" w:hAnsi="Aptos"/>
        </w:rPr>
      </w:pPr>
    </w:p>
    <w:p w14:paraId="25E838C0" w14:textId="77777777" w:rsidR="00F50D70" w:rsidRPr="00BE4F47" w:rsidRDefault="00F50D70" w:rsidP="008E113B">
      <w:pPr>
        <w:pStyle w:val="Retraitcorpsdetexte3"/>
        <w:spacing w:line="360" w:lineRule="auto"/>
        <w:ind w:left="0" w:firstLine="0"/>
        <w:rPr>
          <w:rFonts w:ascii="Aptos" w:hAnsi="Aptos"/>
        </w:rPr>
      </w:pPr>
    </w:p>
    <w:p w14:paraId="58D5DDAA" w14:textId="77777777" w:rsidR="00F50D70" w:rsidRPr="00BE4F47" w:rsidRDefault="00F50D70" w:rsidP="008E113B">
      <w:pPr>
        <w:pStyle w:val="Retraitcorpsdetexte3"/>
        <w:spacing w:line="360" w:lineRule="auto"/>
        <w:ind w:left="0" w:firstLine="0"/>
        <w:rPr>
          <w:rFonts w:ascii="Aptos" w:hAnsi="Aptos"/>
        </w:rPr>
      </w:pPr>
    </w:p>
    <w:p w14:paraId="1FA59A47" w14:textId="77777777" w:rsidR="00F50D70" w:rsidRPr="00BE4F47" w:rsidRDefault="00F50D70" w:rsidP="008E113B">
      <w:pPr>
        <w:pStyle w:val="Retraitcorpsdetexte3"/>
        <w:spacing w:line="360" w:lineRule="auto"/>
        <w:ind w:left="0" w:firstLine="0"/>
        <w:rPr>
          <w:rFonts w:ascii="Aptos" w:hAnsi="Aptos"/>
        </w:rPr>
      </w:pPr>
    </w:p>
    <w:p w14:paraId="2F1C4F44" w14:textId="77777777" w:rsidR="00F50D70" w:rsidRPr="00BE4F47" w:rsidRDefault="00F50D70" w:rsidP="008E113B">
      <w:pPr>
        <w:pStyle w:val="Retraitcorpsdetexte3"/>
        <w:spacing w:line="360" w:lineRule="auto"/>
        <w:ind w:left="0" w:firstLine="0"/>
        <w:rPr>
          <w:rFonts w:ascii="Aptos" w:hAnsi="Aptos"/>
        </w:rPr>
      </w:pPr>
    </w:p>
    <w:p w14:paraId="6C19A364" w14:textId="77777777" w:rsidR="00F50D70" w:rsidRPr="00BE4F47" w:rsidRDefault="00F50D70" w:rsidP="008E113B">
      <w:pPr>
        <w:pStyle w:val="Retraitcorpsdetexte3"/>
        <w:spacing w:line="360" w:lineRule="auto"/>
        <w:ind w:left="0" w:firstLine="0"/>
        <w:rPr>
          <w:rFonts w:ascii="Aptos" w:hAnsi="Aptos"/>
        </w:rPr>
      </w:pPr>
    </w:p>
    <w:p w14:paraId="2E9E1C4E" w14:textId="77777777" w:rsidR="00F50D70" w:rsidRPr="00BE4F47" w:rsidRDefault="00F50D70" w:rsidP="008E113B">
      <w:pPr>
        <w:pStyle w:val="Retraitcorpsdetexte3"/>
        <w:spacing w:line="360" w:lineRule="auto"/>
        <w:ind w:left="0" w:firstLine="0"/>
        <w:rPr>
          <w:rFonts w:ascii="Aptos" w:hAnsi="Aptos"/>
        </w:rPr>
      </w:pPr>
    </w:p>
    <w:p w14:paraId="02B0A240" w14:textId="77777777" w:rsidR="00F50D70" w:rsidRPr="00BE4F47" w:rsidRDefault="00F50D70" w:rsidP="008E113B">
      <w:pPr>
        <w:pStyle w:val="Retraitcorpsdetexte3"/>
        <w:spacing w:line="360" w:lineRule="auto"/>
        <w:ind w:left="0" w:firstLine="0"/>
        <w:rPr>
          <w:rFonts w:ascii="Aptos" w:hAnsi="Aptos"/>
        </w:rPr>
      </w:pPr>
    </w:p>
    <w:p w14:paraId="4D4D106B" w14:textId="77777777" w:rsidR="00F50D70" w:rsidRPr="00BE4F47" w:rsidRDefault="00F50D70" w:rsidP="008E113B">
      <w:pPr>
        <w:pStyle w:val="Retraitcorpsdetexte3"/>
        <w:spacing w:line="360" w:lineRule="auto"/>
        <w:ind w:left="0" w:firstLine="0"/>
        <w:rPr>
          <w:rFonts w:ascii="Aptos" w:hAnsi="Aptos"/>
        </w:rPr>
      </w:pPr>
    </w:p>
    <w:p w14:paraId="207BC84B" w14:textId="77777777" w:rsidR="00F50D70" w:rsidRPr="00BE4F47" w:rsidRDefault="00F50D70" w:rsidP="008E113B">
      <w:pPr>
        <w:pStyle w:val="Retraitcorpsdetexte3"/>
        <w:spacing w:line="360" w:lineRule="auto"/>
        <w:ind w:left="0" w:firstLine="0"/>
        <w:rPr>
          <w:rFonts w:ascii="Aptos" w:hAnsi="Aptos"/>
        </w:rPr>
      </w:pPr>
    </w:p>
    <w:p w14:paraId="47BFB38C" w14:textId="77777777" w:rsidR="00F50D70" w:rsidRPr="00BE4F47" w:rsidRDefault="00F50D70" w:rsidP="008E113B">
      <w:pPr>
        <w:pStyle w:val="Retraitcorpsdetexte3"/>
        <w:spacing w:line="360" w:lineRule="auto"/>
        <w:ind w:left="0" w:firstLine="0"/>
        <w:rPr>
          <w:rFonts w:ascii="Aptos" w:hAnsi="Aptos"/>
        </w:rPr>
      </w:pPr>
    </w:p>
    <w:p w14:paraId="2057D495" w14:textId="77777777" w:rsidR="00F50D70" w:rsidRPr="00BE4F47" w:rsidRDefault="00F50D70" w:rsidP="008E113B">
      <w:pPr>
        <w:pStyle w:val="Retraitcorpsdetexte3"/>
        <w:spacing w:line="360" w:lineRule="auto"/>
        <w:ind w:left="0" w:firstLine="0"/>
        <w:rPr>
          <w:rFonts w:ascii="Aptos" w:hAnsi="Aptos"/>
        </w:rPr>
      </w:pPr>
    </w:p>
    <w:p w14:paraId="64831FFC" w14:textId="77777777" w:rsidR="00F50D70" w:rsidRPr="00BE4F47" w:rsidRDefault="00F50D70" w:rsidP="008E113B">
      <w:pPr>
        <w:pStyle w:val="Retraitcorpsdetexte3"/>
        <w:spacing w:line="360" w:lineRule="auto"/>
        <w:ind w:left="0" w:firstLine="0"/>
        <w:rPr>
          <w:rFonts w:ascii="Aptos" w:hAnsi="Aptos"/>
        </w:rPr>
      </w:pPr>
    </w:p>
    <w:p w14:paraId="156EE7CF" w14:textId="77777777" w:rsidR="00F50D70" w:rsidRPr="00BE4F47" w:rsidRDefault="00F50D70" w:rsidP="008E113B">
      <w:pPr>
        <w:pStyle w:val="Retraitcorpsdetexte3"/>
        <w:spacing w:line="360" w:lineRule="auto"/>
        <w:ind w:left="0" w:firstLine="0"/>
        <w:rPr>
          <w:rFonts w:ascii="Aptos" w:hAnsi="Aptos"/>
        </w:rPr>
      </w:pPr>
    </w:p>
    <w:p w14:paraId="5ABF9AD5" w14:textId="77777777" w:rsidR="00F50D70" w:rsidRPr="00BE4F47" w:rsidRDefault="00F50D70" w:rsidP="008E113B">
      <w:pPr>
        <w:pStyle w:val="Retraitcorpsdetexte3"/>
        <w:spacing w:line="360" w:lineRule="auto"/>
        <w:ind w:left="0" w:firstLine="0"/>
        <w:rPr>
          <w:rFonts w:ascii="Aptos" w:hAnsi="Aptos"/>
        </w:rPr>
      </w:pPr>
    </w:p>
    <w:p w14:paraId="03A3C4C9" w14:textId="77777777" w:rsidR="00F50D70" w:rsidRPr="00BE4F47" w:rsidRDefault="00F50D70" w:rsidP="008E113B">
      <w:pPr>
        <w:pStyle w:val="Retraitcorpsdetexte3"/>
        <w:spacing w:line="360" w:lineRule="auto"/>
        <w:ind w:left="0" w:firstLine="0"/>
        <w:rPr>
          <w:rFonts w:ascii="Aptos" w:hAnsi="Aptos"/>
        </w:rPr>
      </w:pPr>
    </w:p>
    <w:p w14:paraId="3CC0F99C" w14:textId="77777777" w:rsidR="00F50D70" w:rsidRPr="00BE4F47" w:rsidRDefault="00F50D70" w:rsidP="008E113B">
      <w:pPr>
        <w:pStyle w:val="Titre3"/>
        <w:spacing w:line="360" w:lineRule="auto"/>
        <w:rPr>
          <w:rFonts w:ascii="Aptos" w:hAnsi="Aptos"/>
        </w:rPr>
      </w:pPr>
    </w:p>
    <w:p w14:paraId="52349E0D" w14:textId="77777777" w:rsidR="00F50D70" w:rsidRPr="00BE4F47" w:rsidRDefault="00000000" w:rsidP="008E113B">
      <w:pPr>
        <w:pStyle w:val="Titre4"/>
        <w:spacing w:line="360" w:lineRule="auto"/>
      </w:pPr>
      <w:bookmarkStart w:id="89" w:name="__RefHeading___Toc240715100"/>
      <w:bookmarkEnd w:id="89"/>
      <w:r w:rsidRPr="00BE4F47">
        <w:t>Les exigences non fonctionnelles</w:t>
      </w:r>
    </w:p>
    <w:p w14:paraId="47A04465" w14:textId="77777777" w:rsidR="00F50D70" w:rsidRPr="00BE4F47" w:rsidRDefault="00F50D70" w:rsidP="008E113B">
      <w:pPr>
        <w:pStyle w:val="Retraitcorpsdetexte3"/>
        <w:spacing w:line="360" w:lineRule="auto"/>
        <w:ind w:left="0" w:firstLine="0"/>
        <w:rPr>
          <w:rFonts w:ascii="Aptos" w:eastAsia="Calibri" w:hAnsi="Aptos" w:cs="Calibri"/>
          <w:color w:val="1A1A19"/>
          <w:sz w:val="20"/>
          <w:szCs w:val="20"/>
        </w:rPr>
      </w:pPr>
    </w:p>
    <w:p w14:paraId="6A6CB134" w14:textId="77777777" w:rsidR="00F50D70" w:rsidRPr="00BE4F47" w:rsidRDefault="00000000" w:rsidP="008E113B">
      <w:pPr>
        <w:pStyle w:val="Retraitcorpsdetexte3"/>
        <w:spacing w:line="360" w:lineRule="auto"/>
        <w:ind w:left="992" w:firstLine="0"/>
        <w:rPr>
          <w:rFonts w:ascii="Aptos" w:hAnsi="Aptos"/>
        </w:rPr>
      </w:pPr>
      <w:bookmarkStart w:id="90" w:name="_Toc241082837"/>
      <w:r w:rsidRPr="00BE4F47">
        <w:rPr>
          <w:rFonts w:ascii="Aptos" w:eastAsia="Calibri" w:hAnsi="Aptos" w:cs="Calibri"/>
          <w:color w:val="1A1A19"/>
          <w:sz w:val="20"/>
          <w:szCs w:val="20"/>
        </w:rPr>
        <w:t>Les cinq exigences ci-dessous reprennent les caractéristiques de qualité d’ISO/IEC 25010 que le prototype peut réellement démontrer dans les limites du mandat. Les caractéristiques non retenues, comme la portabilité, le sont parce qu’aucun essai du projet ne les mettrait à l’épreuve.</w:t>
      </w:r>
      <w:bookmarkEnd w:id="90"/>
    </w:p>
    <w:p w14:paraId="66D701EA" w14:textId="77777777" w:rsidR="00F50D70" w:rsidRPr="00BE4F47" w:rsidRDefault="00F50D70" w:rsidP="008E113B">
      <w:pPr>
        <w:pStyle w:val="Retraitcorpsdetexte3"/>
        <w:spacing w:line="360" w:lineRule="auto"/>
        <w:ind w:left="992" w:firstLine="0"/>
        <w:rPr>
          <w:rFonts w:ascii="Aptos" w:eastAsia="Calibri" w:hAnsi="Aptos" w:cs="Calibri"/>
          <w:color w:val="1A1A19"/>
          <w:sz w:val="20"/>
          <w:szCs w:val="20"/>
        </w:rPr>
      </w:pPr>
    </w:p>
    <w:p w14:paraId="617148AB" w14:textId="77777777" w:rsidR="00F50D70" w:rsidRPr="00BE4F47" w:rsidRDefault="00000000" w:rsidP="008E113B">
      <w:pPr>
        <w:pStyle w:val="Lgende"/>
        <w:spacing w:line="360" w:lineRule="auto"/>
        <w:rPr>
          <w:rFonts w:ascii="Aptos" w:hAnsi="Aptos"/>
        </w:rPr>
      </w:pPr>
      <w:bookmarkStart w:id="91" w:name="_Toc241082838"/>
      <w:r w:rsidRPr="00BE4F47">
        <w:rPr>
          <w:rFonts w:ascii="Aptos" w:hAnsi="Aptos"/>
        </w:rPr>
        <w:t>Tableau 1-8. Registre des exigences de qualité</w:t>
      </w:r>
      <w:bookmarkEnd w:id="91"/>
    </w:p>
    <w:tbl>
      <w:tblPr>
        <w:tblW w:w="7881" w:type="dxa"/>
        <w:tblInd w:w="955" w:type="dxa"/>
        <w:tblLayout w:type="fixed"/>
        <w:tblCellMar>
          <w:top w:w="60" w:type="dxa"/>
          <w:left w:w="90" w:type="dxa"/>
          <w:bottom w:w="60" w:type="dxa"/>
          <w:right w:w="90" w:type="dxa"/>
        </w:tblCellMar>
        <w:tblLook w:val="04A0" w:firstRow="1" w:lastRow="0" w:firstColumn="1" w:lastColumn="0" w:noHBand="0" w:noVBand="1"/>
      </w:tblPr>
      <w:tblGrid>
        <w:gridCol w:w="631"/>
        <w:gridCol w:w="2748"/>
        <w:gridCol w:w="1068"/>
        <w:gridCol w:w="745"/>
        <w:gridCol w:w="470"/>
        <w:gridCol w:w="2219"/>
      </w:tblGrid>
      <w:tr w:rsidR="00F50D70" w:rsidRPr="00BE4F47" w14:paraId="3493775D" w14:textId="77777777" w:rsidTr="0036725C">
        <w:trPr>
          <w:trHeight w:val="221"/>
          <w:tblHeader/>
        </w:trPr>
        <w:tc>
          <w:tcPr>
            <w:tcW w:w="63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1FDC01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748"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EBEB80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w:t>
            </w:r>
          </w:p>
        </w:tc>
        <w:tc>
          <w:tcPr>
            <w:tcW w:w="1068"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5A79D1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Source</w:t>
            </w:r>
          </w:p>
        </w:tc>
        <w:tc>
          <w:tcPr>
            <w:tcW w:w="74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A4186E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GEMMA</w:t>
            </w:r>
          </w:p>
        </w:tc>
        <w:tc>
          <w:tcPr>
            <w:tcW w:w="47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EE1B4D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c>
          <w:tcPr>
            <w:tcW w:w="2219"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3E49E2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Moyen de vérification</w:t>
            </w:r>
          </w:p>
        </w:tc>
      </w:tr>
      <w:tr w:rsidR="00F50D70" w:rsidRPr="00BE4F47" w14:paraId="0D368871" w14:textId="77777777">
        <w:trPr>
          <w:trHeight w:val="394"/>
        </w:trPr>
        <w:tc>
          <w:tcPr>
            <w:tcW w:w="631" w:type="dxa"/>
            <w:tcBorders>
              <w:top w:val="single" w:sz="4" w:space="0" w:color="000000"/>
              <w:left w:val="single" w:sz="4" w:space="0" w:color="000000"/>
              <w:bottom w:val="single" w:sz="4" w:space="0" w:color="000000"/>
              <w:right w:val="single" w:sz="4" w:space="0" w:color="000000"/>
            </w:tcBorders>
          </w:tcPr>
          <w:p w14:paraId="1856EBA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EX-Q-01</w:t>
            </w:r>
          </w:p>
        </w:tc>
        <w:tc>
          <w:tcPr>
            <w:tcW w:w="2748" w:type="dxa"/>
            <w:tcBorders>
              <w:top w:val="single" w:sz="4" w:space="0" w:color="000000"/>
              <w:left w:val="single" w:sz="4" w:space="0" w:color="000000"/>
              <w:bottom w:val="single" w:sz="4" w:space="0" w:color="000000"/>
              <w:right w:val="single" w:sz="4" w:space="0" w:color="000000"/>
            </w:tcBorders>
          </w:tcPr>
          <w:p w14:paraId="599C0AD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cycle complet d’acquisition, de comparaison et d’affichage s’exécute en moins de T secondes.</w:t>
            </w:r>
          </w:p>
        </w:tc>
        <w:tc>
          <w:tcPr>
            <w:tcW w:w="1068" w:type="dxa"/>
            <w:tcBorders>
              <w:top w:val="single" w:sz="4" w:space="0" w:color="000000"/>
              <w:left w:val="single" w:sz="4" w:space="0" w:color="000000"/>
              <w:bottom w:val="single" w:sz="4" w:space="0" w:color="000000"/>
              <w:right w:val="single" w:sz="4" w:space="0" w:color="000000"/>
            </w:tcBorders>
          </w:tcPr>
          <w:p w14:paraId="525990E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ISO/IEC 25010, performance</w:t>
            </w:r>
          </w:p>
        </w:tc>
        <w:tc>
          <w:tcPr>
            <w:tcW w:w="745" w:type="dxa"/>
            <w:tcBorders>
              <w:top w:val="single" w:sz="4" w:space="0" w:color="000000"/>
              <w:left w:val="single" w:sz="4" w:space="0" w:color="000000"/>
              <w:bottom w:val="single" w:sz="4" w:space="0" w:color="000000"/>
              <w:right w:val="single" w:sz="4" w:space="0" w:color="000000"/>
            </w:tcBorders>
          </w:tcPr>
          <w:p w14:paraId="5118FF3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w:t>
            </w:r>
          </w:p>
        </w:tc>
        <w:tc>
          <w:tcPr>
            <w:tcW w:w="470" w:type="dxa"/>
            <w:tcBorders>
              <w:top w:val="single" w:sz="4" w:space="0" w:color="000000"/>
              <w:left w:val="single" w:sz="4" w:space="0" w:color="000000"/>
              <w:bottom w:val="single" w:sz="4" w:space="0" w:color="000000"/>
              <w:right w:val="single" w:sz="4" w:space="0" w:color="000000"/>
            </w:tcBorders>
          </w:tcPr>
          <w:p w14:paraId="47034F7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L9</w:t>
            </w:r>
          </w:p>
        </w:tc>
        <w:tc>
          <w:tcPr>
            <w:tcW w:w="2219" w:type="dxa"/>
            <w:tcBorders>
              <w:top w:val="single" w:sz="4" w:space="0" w:color="000000"/>
              <w:left w:val="single" w:sz="4" w:space="0" w:color="000000"/>
              <w:bottom w:val="single" w:sz="4" w:space="0" w:color="000000"/>
              <w:right w:val="single" w:sz="4" w:space="0" w:color="000000"/>
            </w:tcBorders>
          </w:tcPr>
          <w:p w14:paraId="650BB54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Mesure du temps de cycle sur 100 cycles consécutifs ; valeur maximale relevée.</w:t>
            </w:r>
          </w:p>
        </w:tc>
      </w:tr>
      <w:tr w:rsidR="00F50D70" w:rsidRPr="00BE4F47" w14:paraId="3B901F16" w14:textId="77777777">
        <w:trPr>
          <w:trHeight w:val="551"/>
        </w:trPr>
        <w:tc>
          <w:tcPr>
            <w:tcW w:w="631" w:type="dxa"/>
            <w:tcBorders>
              <w:top w:val="single" w:sz="4" w:space="0" w:color="000000"/>
              <w:left w:val="single" w:sz="4" w:space="0" w:color="000000"/>
              <w:bottom w:val="single" w:sz="4" w:space="0" w:color="000000"/>
              <w:right w:val="single" w:sz="4" w:space="0" w:color="000000"/>
            </w:tcBorders>
          </w:tcPr>
          <w:p w14:paraId="001CFF2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EX-Q-02</w:t>
            </w:r>
          </w:p>
        </w:tc>
        <w:tc>
          <w:tcPr>
            <w:tcW w:w="2748" w:type="dxa"/>
            <w:tcBorders>
              <w:top w:val="single" w:sz="4" w:space="0" w:color="000000"/>
              <w:left w:val="single" w:sz="4" w:space="0" w:color="000000"/>
              <w:bottom w:val="single" w:sz="4" w:space="0" w:color="000000"/>
              <w:right w:val="single" w:sz="4" w:space="0" w:color="000000"/>
            </w:tcBorders>
          </w:tcPr>
          <w:p w14:paraId="7374C25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prototype fonctionne sans interruption pendant une campagne d’essais de D minutes, sans perte d’entrée au journal.</w:t>
            </w:r>
          </w:p>
        </w:tc>
        <w:tc>
          <w:tcPr>
            <w:tcW w:w="1068" w:type="dxa"/>
            <w:tcBorders>
              <w:top w:val="single" w:sz="4" w:space="0" w:color="000000"/>
              <w:left w:val="single" w:sz="4" w:space="0" w:color="000000"/>
              <w:bottom w:val="single" w:sz="4" w:space="0" w:color="000000"/>
              <w:right w:val="single" w:sz="4" w:space="0" w:color="000000"/>
            </w:tcBorders>
          </w:tcPr>
          <w:p w14:paraId="61519C7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ISO/IEC 25010, fiabilité</w:t>
            </w:r>
          </w:p>
        </w:tc>
        <w:tc>
          <w:tcPr>
            <w:tcW w:w="745" w:type="dxa"/>
            <w:tcBorders>
              <w:top w:val="single" w:sz="4" w:space="0" w:color="000000"/>
              <w:left w:val="single" w:sz="4" w:space="0" w:color="000000"/>
              <w:bottom w:val="single" w:sz="4" w:space="0" w:color="000000"/>
              <w:right w:val="single" w:sz="4" w:space="0" w:color="000000"/>
            </w:tcBorders>
          </w:tcPr>
          <w:p w14:paraId="12ED57E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w:t>
            </w:r>
          </w:p>
        </w:tc>
        <w:tc>
          <w:tcPr>
            <w:tcW w:w="470" w:type="dxa"/>
            <w:tcBorders>
              <w:top w:val="single" w:sz="4" w:space="0" w:color="000000"/>
              <w:left w:val="single" w:sz="4" w:space="0" w:color="000000"/>
              <w:bottom w:val="single" w:sz="4" w:space="0" w:color="000000"/>
              <w:right w:val="single" w:sz="4" w:space="0" w:color="000000"/>
            </w:tcBorders>
          </w:tcPr>
          <w:p w14:paraId="36511ED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L9</w:t>
            </w:r>
          </w:p>
        </w:tc>
        <w:tc>
          <w:tcPr>
            <w:tcW w:w="2219" w:type="dxa"/>
            <w:tcBorders>
              <w:top w:val="single" w:sz="4" w:space="0" w:color="000000"/>
              <w:left w:val="single" w:sz="4" w:space="0" w:color="000000"/>
              <w:bottom w:val="single" w:sz="4" w:space="0" w:color="000000"/>
              <w:right w:val="single" w:sz="4" w:space="0" w:color="000000"/>
            </w:tcBorders>
          </w:tcPr>
          <w:p w14:paraId="6119F31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d’endurance ; comparaison du nombre de cycles au nombre d’entrées journalisées.</w:t>
            </w:r>
          </w:p>
        </w:tc>
      </w:tr>
      <w:tr w:rsidR="00F50D70" w:rsidRPr="00BE4F47" w14:paraId="1175CDF2" w14:textId="77777777">
        <w:trPr>
          <w:trHeight w:val="724"/>
        </w:trPr>
        <w:tc>
          <w:tcPr>
            <w:tcW w:w="631" w:type="dxa"/>
            <w:tcBorders>
              <w:top w:val="single" w:sz="4" w:space="0" w:color="000000"/>
              <w:left w:val="single" w:sz="4" w:space="0" w:color="000000"/>
              <w:bottom w:val="single" w:sz="4" w:space="0" w:color="000000"/>
              <w:right w:val="single" w:sz="4" w:space="0" w:color="000000"/>
            </w:tcBorders>
          </w:tcPr>
          <w:p w14:paraId="2305656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lastRenderedPageBreak/>
              <w:t>EX-Q-03</w:t>
            </w:r>
          </w:p>
        </w:tc>
        <w:tc>
          <w:tcPr>
            <w:tcW w:w="2748" w:type="dxa"/>
            <w:tcBorders>
              <w:top w:val="single" w:sz="4" w:space="0" w:color="000000"/>
              <w:left w:val="single" w:sz="4" w:space="0" w:color="000000"/>
              <w:bottom w:val="single" w:sz="4" w:space="0" w:color="000000"/>
              <w:right w:val="single" w:sz="4" w:space="0" w:color="000000"/>
            </w:tcBorders>
          </w:tcPr>
          <w:p w14:paraId="210F4B0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Un opérateur n’ayant pas participé au développement identifie correctement l’état affiché (normal, anomalie, incertain) en moins de S secondes, dans au moins X essais sur Y.</w:t>
            </w:r>
          </w:p>
        </w:tc>
        <w:tc>
          <w:tcPr>
            <w:tcW w:w="1068" w:type="dxa"/>
            <w:tcBorders>
              <w:top w:val="single" w:sz="4" w:space="0" w:color="000000"/>
              <w:left w:val="single" w:sz="4" w:space="0" w:color="000000"/>
              <w:bottom w:val="single" w:sz="4" w:space="0" w:color="000000"/>
              <w:right w:val="single" w:sz="4" w:space="0" w:color="000000"/>
            </w:tcBorders>
          </w:tcPr>
          <w:p w14:paraId="62BD162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ISO 9241-210, utilisabilité</w:t>
            </w:r>
          </w:p>
        </w:tc>
        <w:tc>
          <w:tcPr>
            <w:tcW w:w="745" w:type="dxa"/>
            <w:tcBorders>
              <w:top w:val="single" w:sz="4" w:space="0" w:color="000000"/>
              <w:left w:val="single" w:sz="4" w:space="0" w:color="000000"/>
              <w:bottom w:val="single" w:sz="4" w:space="0" w:color="000000"/>
              <w:right w:val="single" w:sz="4" w:space="0" w:color="000000"/>
            </w:tcBorders>
          </w:tcPr>
          <w:p w14:paraId="0B07467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 D2, D3</w:t>
            </w:r>
          </w:p>
        </w:tc>
        <w:tc>
          <w:tcPr>
            <w:tcW w:w="470" w:type="dxa"/>
            <w:tcBorders>
              <w:top w:val="single" w:sz="4" w:space="0" w:color="000000"/>
              <w:left w:val="single" w:sz="4" w:space="0" w:color="000000"/>
              <w:bottom w:val="single" w:sz="4" w:space="0" w:color="000000"/>
              <w:right w:val="single" w:sz="4" w:space="0" w:color="000000"/>
            </w:tcBorders>
          </w:tcPr>
          <w:p w14:paraId="3125E49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L8, L9</w:t>
            </w:r>
          </w:p>
        </w:tc>
        <w:tc>
          <w:tcPr>
            <w:tcW w:w="2219" w:type="dxa"/>
            <w:tcBorders>
              <w:top w:val="single" w:sz="4" w:space="0" w:color="000000"/>
              <w:left w:val="single" w:sz="4" w:space="0" w:color="000000"/>
              <w:bottom w:val="single" w:sz="4" w:space="0" w:color="000000"/>
              <w:right w:val="single" w:sz="4" w:space="0" w:color="000000"/>
            </w:tcBorders>
          </w:tcPr>
          <w:p w14:paraId="15C0688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d’utilisabilité avec un membre de l’équipe n’ayant pas développé l’interface.</w:t>
            </w:r>
          </w:p>
        </w:tc>
      </w:tr>
      <w:tr w:rsidR="00F50D70" w:rsidRPr="00BE4F47" w14:paraId="6310575F" w14:textId="77777777">
        <w:trPr>
          <w:trHeight w:val="715"/>
        </w:trPr>
        <w:tc>
          <w:tcPr>
            <w:tcW w:w="631" w:type="dxa"/>
            <w:tcBorders>
              <w:top w:val="single" w:sz="4" w:space="0" w:color="000000"/>
              <w:left w:val="single" w:sz="4" w:space="0" w:color="000000"/>
              <w:bottom w:val="single" w:sz="4" w:space="0" w:color="000000"/>
              <w:right w:val="single" w:sz="4" w:space="0" w:color="000000"/>
            </w:tcBorders>
          </w:tcPr>
          <w:p w14:paraId="6F6A6F6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EX-Q-04</w:t>
            </w:r>
          </w:p>
        </w:tc>
        <w:tc>
          <w:tcPr>
            <w:tcW w:w="2748" w:type="dxa"/>
            <w:tcBorders>
              <w:top w:val="single" w:sz="4" w:space="0" w:color="000000"/>
              <w:left w:val="single" w:sz="4" w:space="0" w:color="000000"/>
              <w:bottom w:val="single" w:sz="4" w:space="0" w:color="000000"/>
              <w:right w:val="single" w:sz="4" w:space="0" w:color="000000"/>
            </w:tcBorders>
          </w:tcPr>
          <w:p w14:paraId="61411FA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Toute donnée d’acquisition altérée ou non conforme au format attendu est rejetée, journalisée comme telle, et n’est pas propagée au modèle.</w:t>
            </w:r>
          </w:p>
        </w:tc>
        <w:tc>
          <w:tcPr>
            <w:tcW w:w="1068" w:type="dxa"/>
            <w:tcBorders>
              <w:top w:val="single" w:sz="4" w:space="0" w:color="000000"/>
              <w:left w:val="single" w:sz="4" w:space="0" w:color="000000"/>
              <w:bottom w:val="single" w:sz="4" w:space="0" w:color="000000"/>
              <w:right w:val="single" w:sz="4" w:space="0" w:color="000000"/>
            </w:tcBorders>
          </w:tcPr>
          <w:p w14:paraId="1A693EE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IEC 62645, intégrité</w:t>
            </w:r>
          </w:p>
        </w:tc>
        <w:tc>
          <w:tcPr>
            <w:tcW w:w="745" w:type="dxa"/>
            <w:tcBorders>
              <w:top w:val="single" w:sz="4" w:space="0" w:color="000000"/>
              <w:left w:val="single" w:sz="4" w:space="0" w:color="000000"/>
              <w:bottom w:val="single" w:sz="4" w:space="0" w:color="000000"/>
              <w:right w:val="single" w:sz="4" w:space="0" w:color="000000"/>
            </w:tcBorders>
          </w:tcPr>
          <w:p w14:paraId="529E5AC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F2, D2</w:t>
            </w:r>
          </w:p>
        </w:tc>
        <w:tc>
          <w:tcPr>
            <w:tcW w:w="470" w:type="dxa"/>
            <w:tcBorders>
              <w:top w:val="single" w:sz="4" w:space="0" w:color="000000"/>
              <w:left w:val="single" w:sz="4" w:space="0" w:color="000000"/>
              <w:bottom w:val="single" w:sz="4" w:space="0" w:color="000000"/>
              <w:right w:val="single" w:sz="4" w:space="0" w:color="000000"/>
            </w:tcBorders>
          </w:tcPr>
          <w:p w14:paraId="200DC66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L5, L9</w:t>
            </w:r>
          </w:p>
        </w:tc>
        <w:tc>
          <w:tcPr>
            <w:tcW w:w="2219" w:type="dxa"/>
            <w:tcBorders>
              <w:top w:val="single" w:sz="4" w:space="0" w:color="000000"/>
              <w:left w:val="single" w:sz="4" w:space="0" w:color="000000"/>
              <w:bottom w:val="single" w:sz="4" w:space="0" w:color="000000"/>
              <w:right w:val="single" w:sz="4" w:space="0" w:color="000000"/>
            </w:tcBorders>
          </w:tcPr>
          <w:p w14:paraId="4B825C0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d’injection de donnée malformée : vérification de l’absence de propagation.</w:t>
            </w:r>
          </w:p>
        </w:tc>
      </w:tr>
      <w:tr w:rsidR="00F50D70" w:rsidRPr="00BE4F47" w14:paraId="76A7510C" w14:textId="77777777">
        <w:trPr>
          <w:trHeight w:val="559"/>
        </w:trPr>
        <w:tc>
          <w:tcPr>
            <w:tcW w:w="631" w:type="dxa"/>
            <w:tcBorders>
              <w:top w:val="single" w:sz="4" w:space="0" w:color="000000"/>
              <w:left w:val="single" w:sz="4" w:space="0" w:color="000000"/>
              <w:bottom w:val="single" w:sz="4" w:space="0" w:color="000000"/>
              <w:right w:val="single" w:sz="4" w:space="0" w:color="000000"/>
            </w:tcBorders>
          </w:tcPr>
          <w:p w14:paraId="04F4BC8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EX-Q-05</w:t>
            </w:r>
          </w:p>
        </w:tc>
        <w:tc>
          <w:tcPr>
            <w:tcW w:w="2748" w:type="dxa"/>
            <w:tcBorders>
              <w:top w:val="single" w:sz="4" w:space="0" w:color="000000"/>
              <w:left w:val="single" w:sz="4" w:space="0" w:color="000000"/>
              <w:bottom w:val="single" w:sz="4" w:space="0" w:color="000000"/>
              <w:right w:val="single" w:sz="4" w:space="0" w:color="000000"/>
            </w:tcBorders>
          </w:tcPr>
          <w:p w14:paraId="3BF0E81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Chaque module dispose d’essais unitaires, et le taux de couverture des fonctions de détection est mesuré et consigné.</w:t>
            </w:r>
          </w:p>
        </w:tc>
        <w:tc>
          <w:tcPr>
            <w:tcW w:w="1068" w:type="dxa"/>
            <w:tcBorders>
              <w:top w:val="single" w:sz="4" w:space="0" w:color="000000"/>
              <w:left w:val="single" w:sz="4" w:space="0" w:color="000000"/>
              <w:bottom w:val="single" w:sz="4" w:space="0" w:color="000000"/>
              <w:right w:val="single" w:sz="4" w:space="0" w:color="000000"/>
            </w:tcBorders>
          </w:tcPr>
          <w:p w14:paraId="2404E04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ISO/IEC 25010, maintenabilité</w:t>
            </w:r>
          </w:p>
        </w:tc>
        <w:tc>
          <w:tcPr>
            <w:tcW w:w="745" w:type="dxa"/>
            <w:tcBorders>
              <w:top w:val="single" w:sz="4" w:space="0" w:color="000000"/>
              <w:left w:val="single" w:sz="4" w:space="0" w:color="000000"/>
              <w:bottom w:val="single" w:sz="4" w:space="0" w:color="000000"/>
              <w:right w:val="single" w:sz="4" w:space="0" w:color="000000"/>
            </w:tcBorders>
          </w:tcPr>
          <w:p w14:paraId="6A1BB09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w:t>
            </w:r>
          </w:p>
        </w:tc>
        <w:tc>
          <w:tcPr>
            <w:tcW w:w="470" w:type="dxa"/>
            <w:tcBorders>
              <w:top w:val="single" w:sz="4" w:space="0" w:color="000000"/>
              <w:left w:val="single" w:sz="4" w:space="0" w:color="000000"/>
              <w:bottom w:val="single" w:sz="4" w:space="0" w:color="000000"/>
              <w:right w:val="single" w:sz="4" w:space="0" w:color="000000"/>
            </w:tcBorders>
          </w:tcPr>
          <w:p w14:paraId="4351A92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L9</w:t>
            </w:r>
          </w:p>
        </w:tc>
        <w:tc>
          <w:tcPr>
            <w:tcW w:w="2219" w:type="dxa"/>
            <w:tcBorders>
              <w:top w:val="single" w:sz="4" w:space="0" w:color="000000"/>
              <w:left w:val="single" w:sz="4" w:space="0" w:color="000000"/>
              <w:bottom w:val="single" w:sz="4" w:space="0" w:color="000000"/>
              <w:right w:val="single" w:sz="4" w:space="0" w:color="000000"/>
            </w:tcBorders>
          </w:tcPr>
          <w:p w14:paraId="2ED32E6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Rapport de couverture joint aux résultats d’essais.</w:t>
            </w:r>
          </w:p>
        </w:tc>
      </w:tr>
    </w:tbl>
    <w:p w14:paraId="0BDD2556" w14:textId="77777777" w:rsidR="00F50D70" w:rsidRPr="00BE4F47" w:rsidRDefault="00F50D70" w:rsidP="008E113B">
      <w:pPr>
        <w:spacing w:line="360" w:lineRule="auto"/>
        <w:ind w:left="0"/>
        <w:rPr>
          <w:rFonts w:ascii="Aptos" w:hAnsi="Aptos"/>
        </w:rPr>
      </w:pPr>
    </w:p>
    <w:p w14:paraId="3DEDFDFA" w14:textId="77777777" w:rsidR="00F50D70" w:rsidRPr="00BE4F47" w:rsidRDefault="00000000" w:rsidP="008E113B">
      <w:pPr>
        <w:pStyle w:val="Titre4"/>
        <w:spacing w:line="360" w:lineRule="auto"/>
      </w:pPr>
      <w:bookmarkStart w:id="92" w:name="__RefHeading___Toc240715102"/>
      <w:bookmarkEnd w:id="92"/>
      <w:r w:rsidRPr="00BE4F47">
        <w:t>Exigences de périmètre et de contrainte</w:t>
      </w:r>
    </w:p>
    <w:p w14:paraId="6E354053" w14:textId="77777777" w:rsidR="00F50D70" w:rsidRPr="00BE4F47" w:rsidRDefault="00000000" w:rsidP="008E113B">
      <w:pPr>
        <w:spacing w:after="150" w:line="360" w:lineRule="auto"/>
        <w:ind w:left="992"/>
        <w:rPr>
          <w:rFonts w:ascii="Aptos" w:hAnsi="Aptos"/>
        </w:rPr>
      </w:pPr>
      <w:bookmarkStart w:id="93" w:name="_Toc241082839"/>
      <w:r w:rsidRPr="00BE4F47">
        <w:rPr>
          <w:rFonts w:ascii="Aptos" w:eastAsia="Calibri" w:hAnsi="Aptos" w:cs="Calibri"/>
          <w:color w:val="1A1A19"/>
          <w:sz w:val="20"/>
          <w:szCs w:val="20"/>
        </w:rPr>
        <w:t>Les trois exigences ci-dessous reprennent celles de la version initiale qui portaient sur des engagements plutôt que sur des comportements du système. Elles sont formulées comme des engagements documentaires, qui sont vérifiables par la présence et le contenu d’une section du rapport final.</w:t>
      </w:r>
      <w:bookmarkEnd w:id="93"/>
    </w:p>
    <w:p w14:paraId="0BF1AE8F" w14:textId="77777777" w:rsidR="00F50D70" w:rsidRPr="00BE4F47" w:rsidRDefault="00000000" w:rsidP="008E113B">
      <w:pPr>
        <w:pStyle w:val="Lgende"/>
        <w:spacing w:line="360" w:lineRule="auto"/>
        <w:rPr>
          <w:rFonts w:ascii="Aptos" w:hAnsi="Aptos"/>
        </w:rPr>
      </w:pPr>
      <w:bookmarkStart w:id="94" w:name="_Toc241082840"/>
      <w:r w:rsidRPr="00BE4F47">
        <w:rPr>
          <w:rFonts w:ascii="Aptos" w:hAnsi="Aptos"/>
        </w:rPr>
        <w:t>Tableau 1-9. Exigences de périmètre et de contrainte</w:t>
      </w:r>
      <w:bookmarkEnd w:id="94"/>
    </w:p>
    <w:tbl>
      <w:tblPr>
        <w:tblW w:w="7880" w:type="dxa"/>
        <w:tblInd w:w="955" w:type="dxa"/>
        <w:tblLayout w:type="fixed"/>
        <w:tblCellMar>
          <w:top w:w="60" w:type="dxa"/>
          <w:left w:w="90" w:type="dxa"/>
          <w:bottom w:w="60" w:type="dxa"/>
          <w:right w:w="90" w:type="dxa"/>
        </w:tblCellMar>
        <w:tblLook w:val="04A0" w:firstRow="1" w:lastRow="0" w:firstColumn="1" w:lastColumn="0" w:noHBand="0" w:noVBand="1"/>
      </w:tblPr>
      <w:tblGrid>
        <w:gridCol w:w="640"/>
        <w:gridCol w:w="2795"/>
        <w:gridCol w:w="977"/>
        <w:gridCol w:w="741"/>
        <w:gridCol w:w="471"/>
        <w:gridCol w:w="2256"/>
      </w:tblGrid>
      <w:tr w:rsidR="00F50D70" w:rsidRPr="00BE4F47" w14:paraId="1C4C43E0" w14:textId="77777777" w:rsidTr="0036725C">
        <w:trPr>
          <w:trHeight w:val="246"/>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1C267E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79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A1925D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1CCAA6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Source</w:t>
            </w:r>
          </w:p>
        </w:tc>
        <w:tc>
          <w:tcPr>
            <w:tcW w:w="74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3B2055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GEMMA</w:t>
            </w:r>
          </w:p>
        </w:tc>
        <w:tc>
          <w:tcPr>
            <w:tcW w:w="47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F839ED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772705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Moyen de vérification</w:t>
            </w:r>
          </w:p>
        </w:tc>
      </w:tr>
      <w:tr w:rsidR="00F50D70" w:rsidRPr="00BE4F47" w14:paraId="65B1176B" w14:textId="77777777">
        <w:trPr>
          <w:trHeight w:val="621"/>
        </w:trPr>
        <w:tc>
          <w:tcPr>
            <w:tcW w:w="640" w:type="dxa"/>
            <w:tcBorders>
              <w:top w:val="single" w:sz="4" w:space="0" w:color="000000"/>
              <w:left w:val="single" w:sz="4" w:space="0" w:color="000000"/>
              <w:bottom w:val="single" w:sz="4" w:space="0" w:color="000000"/>
              <w:right w:val="single" w:sz="4" w:space="0" w:color="000000"/>
            </w:tcBorders>
          </w:tcPr>
          <w:p w14:paraId="34D4976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EX-C-01</w:t>
            </w:r>
          </w:p>
        </w:tc>
        <w:tc>
          <w:tcPr>
            <w:tcW w:w="2795" w:type="dxa"/>
            <w:tcBorders>
              <w:top w:val="single" w:sz="4" w:space="0" w:color="000000"/>
              <w:left w:val="single" w:sz="4" w:space="0" w:color="000000"/>
              <w:bottom w:val="single" w:sz="4" w:space="0" w:color="000000"/>
              <w:right w:val="single" w:sz="4" w:space="0" w:color="000000"/>
            </w:tcBorders>
          </w:tcPr>
          <w:p w14:paraId="5AC2337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rapport final documente le domaine d’application du prototype et les limites au-delà desquelles ses résultats ne sont pas valides.</w:t>
            </w:r>
          </w:p>
        </w:tc>
        <w:tc>
          <w:tcPr>
            <w:tcW w:w="977" w:type="dxa"/>
            <w:tcBorders>
              <w:top w:val="single" w:sz="4" w:space="0" w:color="000000"/>
              <w:left w:val="single" w:sz="4" w:space="0" w:color="000000"/>
              <w:bottom w:val="single" w:sz="4" w:space="0" w:color="000000"/>
              <w:right w:val="single" w:sz="4" w:space="0" w:color="000000"/>
            </w:tcBorders>
          </w:tcPr>
          <w:p w14:paraId="673E757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Hydro-Québec, sûreté</w:t>
            </w:r>
          </w:p>
        </w:tc>
        <w:tc>
          <w:tcPr>
            <w:tcW w:w="741" w:type="dxa"/>
            <w:tcBorders>
              <w:top w:val="single" w:sz="4" w:space="0" w:color="000000"/>
              <w:left w:val="single" w:sz="4" w:space="0" w:color="000000"/>
              <w:bottom w:val="single" w:sz="4" w:space="0" w:color="000000"/>
              <w:right w:val="single" w:sz="4" w:space="0" w:color="000000"/>
            </w:tcBorders>
          </w:tcPr>
          <w:p w14:paraId="622E1AE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20"/>
                <w:szCs w:val="20"/>
              </w:rPr>
              <w:t>-</w:t>
            </w:r>
          </w:p>
        </w:tc>
        <w:tc>
          <w:tcPr>
            <w:tcW w:w="471" w:type="dxa"/>
            <w:tcBorders>
              <w:top w:val="single" w:sz="4" w:space="0" w:color="000000"/>
              <w:left w:val="single" w:sz="4" w:space="0" w:color="000000"/>
              <w:bottom w:val="single" w:sz="4" w:space="0" w:color="000000"/>
              <w:right w:val="single" w:sz="4" w:space="0" w:color="000000"/>
            </w:tcBorders>
          </w:tcPr>
          <w:p w14:paraId="1DCA9EE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L1, L9</w:t>
            </w:r>
          </w:p>
        </w:tc>
        <w:tc>
          <w:tcPr>
            <w:tcW w:w="2256" w:type="dxa"/>
            <w:tcBorders>
              <w:top w:val="single" w:sz="4" w:space="0" w:color="000000"/>
              <w:left w:val="single" w:sz="4" w:space="0" w:color="000000"/>
              <w:bottom w:val="single" w:sz="4" w:space="0" w:color="000000"/>
              <w:right w:val="single" w:sz="4" w:space="0" w:color="000000"/>
            </w:tcBorders>
          </w:tcPr>
          <w:p w14:paraId="013EEA5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Revue du rapport final au jalon J5 : présence de la section et cohérence avec les résultats d’essais.</w:t>
            </w:r>
          </w:p>
        </w:tc>
      </w:tr>
      <w:tr w:rsidR="00F50D70" w:rsidRPr="00BE4F47" w14:paraId="58A7B296" w14:textId="77777777">
        <w:trPr>
          <w:trHeight w:val="612"/>
        </w:trPr>
        <w:tc>
          <w:tcPr>
            <w:tcW w:w="640" w:type="dxa"/>
            <w:tcBorders>
              <w:top w:val="single" w:sz="4" w:space="0" w:color="000000"/>
              <w:left w:val="single" w:sz="4" w:space="0" w:color="000000"/>
              <w:bottom w:val="single" w:sz="4" w:space="0" w:color="000000"/>
              <w:right w:val="single" w:sz="4" w:space="0" w:color="000000"/>
            </w:tcBorders>
          </w:tcPr>
          <w:p w14:paraId="55DC61D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EX-C-02</w:t>
            </w:r>
          </w:p>
        </w:tc>
        <w:tc>
          <w:tcPr>
            <w:tcW w:w="2795" w:type="dxa"/>
            <w:tcBorders>
              <w:top w:val="single" w:sz="4" w:space="0" w:color="000000"/>
              <w:left w:val="single" w:sz="4" w:space="0" w:color="000000"/>
              <w:bottom w:val="single" w:sz="4" w:space="0" w:color="000000"/>
              <w:right w:val="single" w:sz="4" w:space="0" w:color="000000"/>
            </w:tcBorders>
          </w:tcPr>
          <w:p w14:paraId="02A1CDE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prototype demeure un livrable académique entièrement simulé, non destiné au raccordement à une installation nucléaire réelle.</w:t>
            </w:r>
          </w:p>
        </w:tc>
        <w:tc>
          <w:tcPr>
            <w:tcW w:w="977" w:type="dxa"/>
            <w:tcBorders>
              <w:top w:val="single" w:sz="4" w:space="0" w:color="000000"/>
              <w:left w:val="single" w:sz="4" w:space="0" w:color="000000"/>
              <w:bottom w:val="single" w:sz="4" w:space="0" w:color="000000"/>
              <w:right w:val="single" w:sz="4" w:space="0" w:color="000000"/>
            </w:tcBorders>
          </w:tcPr>
          <w:p w14:paraId="14658A4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Périmètre du projet</w:t>
            </w:r>
          </w:p>
        </w:tc>
        <w:tc>
          <w:tcPr>
            <w:tcW w:w="741" w:type="dxa"/>
            <w:tcBorders>
              <w:top w:val="single" w:sz="4" w:space="0" w:color="000000"/>
              <w:left w:val="single" w:sz="4" w:space="0" w:color="000000"/>
              <w:bottom w:val="single" w:sz="4" w:space="0" w:color="000000"/>
              <w:right w:val="single" w:sz="4" w:space="0" w:color="000000"/>
            </w:tcBorders>
          </w:tcPr>
          <w:p w14:paraId="1676EB2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w:t>
            </w:r>
          </w:p>
        </w:tc>
        <w:tc>
          <w:tcPr>
            <w:tcW w:w="471" w:type="dxa"/>
            <w:tcBorders>
              <w:top w:val="single" w:sz="4" w:space="0" w:color="000000"/>
              <w:left w:val="single" w:sz="4" w:space="0" w:color="000000"/>
              <w:bottom w:val="single" w:sz="4" w:space="0" w:color="000000"/>
              <w:right w:val="single" w:sz="4" w:space="0" w:color="000000"/>
            </w:tcBorders>
          </w:tcPr>
          <w:p w14:paraId="6B28702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L1</w:t>
            </w:r>
          </w:p>
        </w:tc>
        <w:tc>
          <w:tcPr>
            <w:tcW w:w="2256" w:type="dxa"/>
            <w:tcBorders>
              <w:top w:val="single" w:sz="4" w:space="0" w:color="000000"/>
              <w:left w:val="single" w:sz="4" w:space="0" w:color="000000"/>
              <w:bottom w:val="single" w:sz="4" w:space="0" w:color="000000"/>
              <w:right w:val="single" w:sz="4" w:space="0" w:color="000000"/>
            </w:tcBorders>
          </w:tcPr>
          <w:p w14:paraId="0963E72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Revue de conformité au périmètre à chaque jalon.</w:t>
            </w:r>
          </w:p>
        </w:tc>
      </w:tr>
      <w:tr w:rsidR="00F50D70" w:rsidRPr="00BE4F47" w14:paraId="1DC6366D" w14:textId="77777777">
        <w:trPr>
          <w:trHeight w:val="804"/>
        </w:trPr>
        <w:tc>
          <w:tcPr>
            <w:tcW w:w="640" w:type="dxa"/>
            <w:tcBorders>
              <w:top w:val="single" w:sz="4" w:space="0" w:color="000000"/>
              <w:left w:val="single" w:sz="4" w:space="0" w:color="000000"/>
              <w:bottom w:val="single" w:sz="4" w:space="0" w:color="000000"/>
              <w:right w:val="single" w:sz="4" w:space="0" w:color="000000"/>
            </w:tcBorders>
          </w:tcPr>
          <w:p w14:paraId="347B022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EX-C-03</w:t>
            </w:r>
          </w:p>
        </w:tc>
        <w:tc>
          <w:tcPr>
            <w:tcW w:w="2795" w:type="dxa"/>
            <w:tcBorders>
              <w:top w:val="single" w:sz="4" w:space="0" w:color="000000"/>
              <w:left w:val="single" w:sz="4" w:space="0" w:color="000000"/>
              <w:bottom w:val="single" w:sz="4" w:space="0" w:color="000000"/>
              <w:right w:val="single" w:sz="4" w:space="0" w:color="000000"/>
            </w:tcBorders>
          </w:tcPr>
          <w:p w14:paraId="6E0E6DF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rapport final traite explicitement les enjeux de confiance, de transparence et de responsabilité soulevés par l’usage d’un outil d’aide à la décision en contexte nucléaire.</w:t>
            </w:r>
          </w:p>
        </w:tc>
        <w:tc>
          <w:tcPr>
            <w:tcW w:w="977" w:type="dxa"/>
            <w:tcBorders>
              <w:top w:val="single" w:sz="4" w:space="0" w:color="000000"/>
              <w:left w:val="single" w:sz="4" w:space="0" w:color="000000"/>
              <w:bottom w:val="single" w:sz="4" w:space="0" w:color="000000"/>
              <w:right w:val="single" w:sz="4" w:space="0" w:color="000000"/>
            </w:tcBorders>
          </w:tcPr>
          <w:p w14:paraId="3A9D170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Parties prenantes</w:t>
            </w:r>
          </w:p>
        </w:tc>
        <w:tc>
          <w:tcPr>
            <w:tcW w:w="741" w:type="dxa"/>
            <w:tcBorders>
              <w:top w:val="single" w:sz="4" w:space="0" w:color="000000"/>
              <w:left w:val="single" w:sz="4" w:space="0" w:color="000000"/>
              <w:bottom w:val="single" w:sz="4" w:space="0" w:color="000000"/>
              <w:right w:val="single" w:sz="4" w:space="0" w:color="000000"/>
            </w:tcBorders>
          </w:tcPr>
          <w:p w14:paraId="3789959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w:t>
            </w:r>
          </w:p>
        </w:tc>
        <w:tc>
          <w:tcPr>
            <w:tcW w:w="471" w:type="dxa"/>
            <w:tcBorders>
              <w:top w:val="single" w:sz="4" w:space="0" w:color="000000"/>
              <w:left w:val="single" w:sz="4" w:space="0" w:color="000000"/>
              <w:bottom w:val="single" w:sz="4" w:space="0" w:color="000000"/>
              <w:right w:val="single" w:sz="4" w:space="0" w:color="000000"/>
            </w:tcBorders>
          </w:tcPr>
          <w:p w14:paraId="343D0CE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L1</w:t>
            </w:r>
          </w:p>
        </w:tc>
        <w:tc>
          <w:tcPr>
            <w:tcW w:w="2256" w:type="dxa"/>
            <w:tcBorders>
              <w:top w:val="single" w:sz="4" w:space="0" w:color="000000"/>
              <w:left w:val="single" w:sz="4" w:space="0" w:color="000000"/>
              <w:bottom w:val="single" w:sz="4" w:space="0" w:color="000000"/>
              <w:right w:val="single" w:sz="4" w:space="0" w:color="000000"/>
            </w:tcBorders>
          </w:tcPr>
          <w:p w14:paraId="252529E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Présence et contenu de la section « Impacts du projet et gestion des risques ».</w:t>
            </w:r>
          </w:p>
        </w:tc>
      </w:tr>
    </w:tbl>
    <w:p w14:paraId="5822B875" w14:textId="77777777" w:rsidR="00F50D70" w:rsidRPr="00BE4F47" w:rsidRDefault="00F50D70" w:rsidP="008E113B">
      <w:pPr>
        <w:spacing w:after="150" w:line="360" w:lineRule="auto"/>
        <w:ind w:left="992"/>
        <w:rPr>
          <w:rFonts w:ascii="Aptos" w:hAnsi="Aptos"/>
        </w:rPr>
      </w:pPr>
    </w:p>
    <w:p w14:paraId="470B3792" w14:textId="77777777" w:rsidR="00F50D70" w:rsidRPr="00BE4F47" w:rsidRDefault="00F50D70" w:rsidP="008E113B">
      <w:pPr>
        <w:pStyle w:val="Retraitcorpsdetexte3"/>
        <w:spacing w:line="360" w:lineRule="auto"/>
        <w:rPr>
          <w:rFonts w:ascii="Aptos" w:hAnsi="Aptos"/>
        </w:rPr>
      </w:pPr>
    </w:p>
    <w:p w14:paraId="145FB86E" w14:textId="77777777" w:rsidR="00F50D70" w:rsidRPr="00136F18" w:rsidRDefault="00000000" w:rsidP="008E113B">
      <w:pPr>
        <w:pStyle w:val="Titre1"/>
        <w:spacing w:line="360" w:lineRule="auto"/>
      </w:pPr>
      <w:bookmarkStart w:id="95" w:name="__RefHeading___Toc240715104"/>
      <w:bookmarkStart w:id="96" w:name="_Toc241082841"/>
      <w:r w:rsidRPr="00136F18">
        <w:t>Description des livrables du projet</w:t>
      </w:r>
      <w:bookmarkEnd w:id="95"/>
      <w:bookmarkEnd w:id="96"/>
      <w:r w:rsidRPr="00136F18">
        <w:t xml:space="preserve"> </w:t>
      </w:r>
    </w:p>
    <w:p w14:paraId="37330604" w14:textId="77777777" w:rsidR="00F50D70" w:rsidRPr="00BE4F47" w:rsidRDefault="00000000" w:rsidP="008E113B">
      <w:pPr>
        <w:spacing w:after="130" w:line="360" w:lineRule="auto"/>
        <w:ind w:left="360"/>
        <w:rPr>
          <w:rFonts w:ascii="Aptos" w:hAnsi="Aptos"/>
        </w:rPr>
      </w:pPr>
      <w:bookmarkStart w:id="97" w:name="_Toc241082842"/>
      <w:r w:rsidRPr="00BE4F47">
        <w:rPr>
          <w:rFonts w:ascii="Aptos" w:eastAsia="Calibri" w:hAnsi="Aptos" w:cs="Calibri"/>
          <w:color w:val="1A1A19"/>
          <w:sz w:val="20"/>
          <w:szCs w:val="20"/>
        </w:rPr>
        <w:t>La section 1 a dit ce que le système doit faire. Celle-ci dit ce que l’équipe remet au client à la fin du mandat. Chaque livrable est rattaché aux exigences qu’il satisfait et au jalon auquel il est attendu.</w:t>
      </w:r>
      <w:bookmarkEnd w:id="97"/>
    </w:p>
    <w:p w14:paraId="3B7A87D1" w14:textId="77777777" w:rsidR="00F50D70" w:rsidRPr="00136F18" w:rsidRDefault="00000000" w:rsidP="008E113B">
      <w:pPr>
        <w:pStyle w:val="Titre2"/>
        <w:spacing w:line="360" w:lineRule="auto"/>
      </w:pPr>
      <w:bookmarkStart w:id="98" w:name="__RefHeading___Toc240715105"/>
      <w:bookmarkStart w:id="99" w:name="_Toc241082843"/>
      <w:bookmarkEnd w:id="98"/>
      <w:r w:rsidRPr="00136F18">
        <w:t>Livrables techniques</w:t>
      </w:r>
      <w:bookmarkEnd w:id="99"/>
    </w:p>
    <w:p w14:paraId="66B937E3" w14:textId="77777777" w:rsidR="00F50D70" w:rsidRPr="00BE4F47" w:rsidRDefault="00000000" w:rsidP="008E113B">
      <w:pPr>
        <w:spacing w:after="130" w:line="360" w:lineRule="auto"/>
        <w:ind w:left="425"/>
        <w:rPr>
          <w:rFonts w:ascii="Aptos" w:hAnsi="Aptos"/>
        </w:rPr>
      </w:pPr>
      <w:bookmarkStart w:id="100" w:name="_Toc241082844"/>
      <w:r w:rsidRPr="00BE4F47">
        <w:rPr>
          <w:rFonts w:ascii="Aptos" w:eastAsia="Calibri" w:hAnsi="Aptos" w:cs="Calibri"/>
          <w:color w:val="1A1A19"/>
          <w:sz w:val="20"/>
          <w:szCs w:val="20"/>
        </w:rPr>
        <w:t xml:space="preserve">À la fin du projet, l’équipe remettra un prototype de jumeau numérique appliqué à une boucle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simplifiée, utilisée pour représenter certains comportements d’un système de refroidissement dans le scénario décrit en 1.1. Le prototype ne cherche pas à reproduire </w:t>
      </w:r>
      <w:r w:rsidRPr="00BE4F47">
        <w:rPr>
          <w:rFonts w:ascii="Aptos" w:eastAsia="Calibri" w:hAnsi="Aptos" w:cs="Calibri"/>
          <w:color w:val="1A1A19"/>
          <w:sz w:val="20"/>
          <w:szCs w:val="20"/>
        </w:rPr>
        <w:lastRenderedPageBreak/>
        <w:t>l’ensemble de la centrale, mais à fournir un environnement contrôlé dans lequel différents scénarios peuvent être étudiés.</w:t>
      </w:r>
      <w:bookmarkEnd w:id="100"/>
    </w:p>
    <w:p w14:paraId="6AA1ECEF" w14:textId="77777777" w:rsidR="00F50D70" w:rsidRPr="00BE4F47" w:rsidRDefault="00000000" w:rsidP="008E113B">
      <w:pPr>
        <w:spacing w:after="130" w:line="360" w:lineRule="auto"/>
        <w:ind w:left="425"/>
        <w:rPr>
          <w:rFonts w:ascii="Aptos" w:hAnsi="Aptos"/>
        </w:rPr>
      </w:pPr>
      <w:bookmarkStart w:id="101" w:name="_Toc241082845"/>
      <w:r w:rsidRPr="00BE4F47">
        <w:rPr>
          <w:rFonts w:ascii="Aptos" w:eastAsia="Calibri" w:hAnsi="Aptos" w:cs="Calibri"/>
          <w:color w:val="1A1A19"/>
          <w:sz w:val="20"/>
          <w:szCs w:val="20"/>
        </w:rPr>
        <w:t>Le jumeau numérique suit les trois variables retenues et compare le comportement observé au comportement attendu par le modèle. Les scénarios listés à l’exigence EX-F-02 y sont intégrés, de façon à observer son comportement aussi bien en fonctionnement normal qu’en présence d’une anomalie ou de données incertaines.</w:t>
      </w:r>
      <w:bookmarkEnd w:id="101"/>
    </w:p>
    <w:p w14:paraId="610B751F" w14:textId="77777777" w:rsidR="00F50D70" w:rsidRPr="00BE4F47" w:rsidRDefault="00000000" w:rsidP="008E113B">
      <w:pPr>
        <w:spacing w:after="130" w:line="360" w:lineRule="auto"/>
        <w:ind w:left="425"/>
        <w:rPr>
          <w:rFonts w:ascii="Aptos" w:hAnsi="Aptos"/>
        </w:rPr>
      </w:pPr>
      <w:bookmarkStart w:id="102" w:name="_Toc241082846"/>
      <w:r w:rsidRPr="00BE4F47">
        <w:rPr>
          <w:rFonts w:ascii="Aptos" w:eastAsia="Calibri" w:hAnsi="Aptos" w:cs="Calibri"/>
          <w:color w:val="1A1A19"/>
          <w:sz w:val="20"/>
          <w:szCs w:val="20"/>
        </w:rPr>
        <w:t>Une interface d’aide à la décision fait partie du prototype. Elle présente l’état estimé du système, les variables ayant contribué à cette estimation et le niveau de confiance associé au résultat. Lorsque les informations disponibles ne permettent pas d’établir un état fiable, elle l’indique explicitement plutôt que de présenter la situation comme normale. Le système demeure un outil d’aide : aucune commande automatique ne fait partie du projet.</w:t>
      </w:r>
      <w:bookmarkEnd w:id="102"/>
    </w:p>
    <w:p w14:paraId="0F992079" w14:textId="77777777" w:rsidR="00F50D70" w:rsidRPr="00BE4F47" w:rsidRDefault="00000000" w:rsidP="008E113B">
      <w:pPr>
        <w:spacing w:line="360" w:lineRule="auto"/>
        <w:ind w:left="360"/>
        <w:rPr>
          <w:rFonts w:ascii="Aptos" w:eastAsia="Calibri" w:hAnsi="Aptos" w:cs="Calibri"/>
          <w:color w:val="1A1A19"/>
          <w:sz w:val="20"/>
          <w:szCs w:val="20"/>
        </w:rPr>
      </w:pPr>
      <w:bookmarkStart w:id="103" w:name="_Toc241082847"/>
      <w:r w:rsidRPr="00BE4F47">
        <w:rPr>
          <w:rFonts w:ascii="Aptos" w:eastAsia="Calibri" w:hAnsi="Aptos" w:cs="Calibri"/>
          <w:color w:val="1A1A19"/>
          <w:sz w:val="20"/>
          <w:szCs w:val="20"/>
        </w:rPr>
        <w:t>L’équipe remettra également les résultats d’une campagne d’essais réalisée sur le prototype, ainsi que les documents d’ingénierie qui les rendent interprétables : le GEMMA, le registre des exigences et le plan de vérification et de validation.</w:t>
      </w:r>
      <w:bookmarkEnd w:id="103"/>
    </w:p>
    <w:p w14:paraId="007F7F41" w14:textId="77777777" w:rsidR="00F50D70" w:rsidRPr="00BE4F47" w:rsidRDefault="00F50D70" w:rsidP="008E113B">
      <w:pPr>
        <w:spacing w:line="360" w:lineRule="auto"/>
        <w:ind w:left="720"/>
        <w:rPr>
          <w:rFonts w:ascii="Aptos" w:hAnsi="Aptos"/>
        </w:rPr>
      </w:pPr>
    </w:p>
    <w:p w14:paraId="3641840E" w14:textId="77777777" w:rsidR="00F50D70" w:rsidRPr="00136F18" w:rsidRDefault="00000000" w:rsidP="008E113B">
      <w:pPr>
        <w:pStyle w:val="Titre2"/>
        <w:spacing w:line="360" w:lineRule="auto"/>
      </w:pPr>
      <w:bookmarkStart w:id="104" w:name="__RefHeading___Toc240715110"/>
      <w:bookmarkStart w:id="105" w:name="_Toc241082848"/>
      <w:bookmarkEnd w:id="104"/>
      <w:r w:rsidRPr="00136F18">
        <w:t>Livrables de gestion</w:t>
      </w:r>
      <w:bookmarkEnd w:id="105"/>
    </w:p>
    <w:p w14:paraId="0A73E3B5" w14:textId="77777777" w:rsidR="00F50D70" w:rsidRPr="00BE4F47" w:rsidRDefault="00000000" w:rsidP="008E113B">
      <w:pPr>
        <w:spacing w:after="130" w:line="360" w:lineRule="auto"/>
        <w:ind w:left="425"/>
        <w:rPr>
          <w:rFonts w:ascii="Aptos" w:hAnsi="Aptos"/>
        </w:rPr>
      </w:pPr>
      <w:bookmarkStart w:id="106" w:name="_Toc241082849"/>
      <w:r w:rsidRPr="00BE4F47">
        <w:rPr>
          <w:rFonts w:ascii="Aptos" w:eastAsia="Calibri" w:hAnsi="Aptos" w:cs="Calibri"/>
          <w:color w:val="1A1A19"/>
          <w:sz w:val="20"/>
          <w:szCs w:val="20"/>
        </w:rPr>
        <w:t>En plus du prototype, l’équipe remettra les documents nécessaires à la planification, au suivi et à la gestion du projet : le plan de projet, le suivi de l’échéancier, des coûts et des risques, et la documentation finale.</w:t>
      </w:r>
      <w:bookmarkEnd w:id="106"/>
    </w:p>
    <w:p w14:paraId="1AF354CC"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107" w:name="_Toc241082850"/>
      <w:r w:rsidRPr="00BE4F47">
        <w:rPr>
          <w:rFonts w:ascii="Aptos" w:eastAsia="Calibri" w:hAnsi="Aptos" w:cs="Calibri"/>
          <w:color w:val="1A1A19"/>
          <w:sz w:val="20"/>
          <w:szCs w:val="20"/>
        </w:rPr>
        <w:t>Une recommandation d’ingénierie accompagnera les résultats. Elle présentera les conclusions de l’équipe ainsi que les limites identifiées dans le cadre du mandat, conformément à l’exigence EX-C-01.</w:t>
      </w:r>
      <w:bookmarkEnd w:id="107"/>
    </w:p>
    <w:p w14:paraId="0408D8E0" w14:textId="77777777" w:rsidR="00F50D70" w:rsidRPr="00136F18" w:rsidRDefault="00000000" w:rsidP="008E113B">
      <w:pPr>
        <w:pStyle w:val="Titre2"/>
        <w:spacing w:line="360" w:lineRule="auto"/>
      </w:pPr>
      <w:bookmarkStart w:id="108" w:name="__RefHeading___Toc240715113"/>
      <w:bookmarkStart w:id="109" w:name="_Toc241082851"/>
      <w:bookmarkEnd w:id="108"/>
      <w:r w:rsidRPr="00136F18">
        <w:t>Tableau des livrables</w:t>
      </w:r>
      <w:bookmarkEnd w:id="109"/>
    </w:p>
    <w:p w14:paraId="6274B6C8" w14:textId="77777777" w:rsidR="00F50D70" w:rsidRDefault="00000000" w:rsidP="008E113B">
      <w:pPr>
        <w:spacing w:after="130" w:line="360" w:lineRule="auto"/>
        <w:ind w:left="425"/>
        <w:rPr>
          <w:rFonts w:ascii="Aptos" w:eastAsia="Calibri" w:hAnsi="Aptos" w:cs="Calibri"/>
          <w:color w:val="1A1A19"/>
          <w:sz w:val="20"/>
          <w:szCs w:val="20"/>
        </w:rPr>
      </w:pPr>
      <w:bookmarkStart w:id="110" w:name="_Toc241082852"/>
      <w:r w:rsidRPr="00BE4F47">
        <w:rPr>
          <w:rFonts w:ascii="Aptos" w:eastAsia="Calibri" w:hAnsi="Aptos" w:cs="Calibri"/>
          <w:color w:val="1A1A19"/>
          <w:sz w:val="20"/>
          <w:szCs w:val="20"/>
        </w:rPr>
        <w:t>Chaque livrable porte un critère d’acceptation qui dit à quelle condition il est considéré comme terminé, et le jalon auquel il est attendu. Un livrable sans critère d’acceptation ne peut être ni refusé ni accepté.</w:t>
      </w:r>
      <w:bookmarkEnd w:id="110"/>
    </w:p>
    <w:p w14:paraId="3294F358" w14:textId="77777777" w:rsidR="0036725C" w:rsidRDefault="0036725C" w:rsidP="008E113B">
      <w:pPr>
        <w:spacing w:after="130" w:line="360" w:lineRule="auto"/>
        <w:ind w:left="425"/>
        <w:rPr>
          <w:rFonts w:ascii="Aptos" w:eastAsia="Calibri" w:hAnsi="Aptos" w:cs="Calibri"/>
          <w:color w:val="1A1A19"/>
          <w:sz w:val="20"/>
          <w:szCs w:val="20"/>
        </w:rPr>
      </w:pPr>
    </w:p>
    <w:p w14:paraId="174844E6" w14:textId="77777777" w:rsidR="0036725C" w:rsidRDefault="0036725C" w:rsidP="008E113B">
      <w:pPr>
        <w:spacing w:after="130" w:line="360" w:lineRule="auto"/>
        <w:ind w:left="425"/>
        <w:rPr>
          <w:rFonts w:ascii="Aptos" w:eastAsia="Calibri" w:hAnsi="Aptos" w:cs="Calibri"/>
          <w:color w:val="1A1A19"/>
          <w:sz w:val="20"/>
          <w:szCs w:val="20"/>
        </w:rPr>
      </w:pPr>
    </w:p>
    <w:p w14:paraId="4A87DB6F" w14:textId="77777777" w:rsidR="0036725C" w:rsidRDefault="0036725C" w:rsidP="008E113B">
      <w:pPr>
        <w:spacing w:after="130" w:line="360" w:lineRule="auto"/>
        <w:ind w:left="425"/>
        <w:rPr>
          <w:rFonts w:ascii="Aptos" w:eastAsia="Calibri" w:hAnsi="Aptos" w:cs="Calibri"/>
          <w:color w:val="1A1A19"/>
          <w:sz w:val="20"/>
          <w:szCs w:val="20"/>
        </w:rPr>
      </w:pPr>
    </w:p>
    <w:p w14:paraId="58FA0DC9" w14:textId="77777777" w:rsidR="0036725C" w:rsidRDefault="0036725C" w:rsidP="008E113B">
      <w:pPr>
        <w:spacing w:after="130" w:line="360" w:lineRule="auto"/>
        <w:ind w:left="425"/>
        <w:rPr>
          <w:rFonts w:ascii="Aptos" w:eastAsia="Calibri" w:hAnsi="Aptos" w:cs="Calibri"/>
          <w:color w:val="1A1A19"/>
          <w:sz w:val="20"/>
          <w:szCs w:val="20"/>
        </w:rPr>
      </w:pPr>
    </w:p>
    <w:p w14:paraId="0BEFB768" w14:textId="77777777" w:rsidR="0036725C" w:rsidRDefault="0036725C" w:rsidP="008E113B">
      <w:pPr>
        <w:spacing w:after="130" w:line="360" w:lineRule="auto"/>
        <w:ind w:left="425"/>
        <w:rPr>
          <w:rFonts w:ascii="Aptos" w:eastAsia="Calibri" w:hAnsi="Aptos" w:cs="Calibri"/>
          <w:color w:val="1A1A19"/>
          <w:sz w:val="20"/>
          <w:szCs w:val="20"/>
        </w:rPr>
      </w:pPr>
    </w:p>
    <w:p w14:paraId="065BCD07" w14:textId="77777777" w:rsidR="0036725C" w:rsidRDefault="0036725C" w:rsidP="008E113B">
      <w:pPr>
        <w:spacing w:after="130" w:line="360" w:lineRule="auto"/>
        <w:ind w:left="425"/>
        <w:rPr>
          <w:rFonts w:ascii="Aptos" w:eastAsia="Calibri" w:hAnsi="Aptos" w:cs="Calibri"/>
          <w:color w:val="1A1A19"/>
          <w:sz w:val="20"/>
          <w:szCs w:val="20"/>
        </w:rPr>
      </w:pPr>
    </w:p>
    <w:p w14:paraId="0AD53A85" w14:textId="77777777" w:rsidR="0036725C" w:rsidRDefault="0036725C" w:rsidP="008E113B">
      <w:pPr>
        <w:spacing w:after="130" w:line="360" w:lineRule="auto"/>
        <w:ind w:left="425"/>
        <w:rPr>
          <w:rFonts w:ascii="Aptos" w:eastAsia="Calibri" w:hAnsi="Aptos" w:cs="Calibri"/>
          <w:color w:val="1A1A19"/>
          <w:sz w:val="20"/>
          <w:szCs w:val="20"/>
        </w:rPr>
      </w:pPr>
    </w:p>
    <w:p w14:paraId="3132C3E7" w14:textId="77777777" w:rsidR="0036725C" w:rsidRDefault="0036725C" w:rsidP="008E113B">
      <w:pPr>
        <w:spacing w:after="130" w:line="360" w:lineRule="auto"/>
        <w:ind w:left="425"/>
        <w:rPr>
          <w:rFonts w:ascii="Aptos" w:eastAsia="Calibri" w:hAnsi="Aptos" w:cs="Calibri"/>
          <w:color w:val="1A1A19"/>
          <w:sz w:val="20"/>
          <w:szCs w:val="20"/>
        </w:rPr>
      </w:pPr>
    </w:p>
    <w:p w14:paraId="0392489E" w14:textId="77777777" w:rsidR="0036725C" w:rsidRDefault="0036725C" w:rsidP="008E113B">
      <w:pPr>
        <w:spacing w:after="130" w:line="360" w:lineRule="auto"/>
        <w:ind w:left="425"/>
        <w:rPr>
          <w:rFonts w:ascii="Aptos" w:eastAsia="Calibri" w:hAnsi="Aptos" w:cs="Calibri"/>
          <w:color w:val="1A1A19"/>
          <w:sz w:val="20"/>
          <w:szCs w:val="20"/>
        </w:rPr>
      </w:pPr>
    </w:p>
    <w:p w14:paraId="1DF884C1" w14:textId="77777777" w:rsidR="0036725C" w:rsidRPr="00BE4F47" w:rsidRDefault="0036725C" w:rsidP="008E113B">
      <w:pPr>
        <w:spacing w:after="130" w:line="360" w:lineRule="auto"/>
        <w:ind w:left="425"/>
        <w:rPr>
          <w:rFonts w:ascii="Aptos" w:hAnsi="Aptos"/>
        </w:rPr>
      </w:pPr>
    </w:p>
    <w:p w14:paraId="6209B228" w14:textId="77777777" w:rsidR="00F50D70" w:rsidRPr="00BE4F47" w:rsidRDefault="00F50D70" w:rsidP="008E113B">
      <w:pPr>
        <w:spacing w:line="360" w:lineRule="auto"/>
        <w:ind w:left="0"/>
        <w:rPr>
          <w:rFonts w:ascii="Aptos" w:hAnsi="Aptos"/>
        </w:rPr>
      </w:pPr>
    </w:p>
    <w:p w14:paraId="2904A4C4" w14:textId="77777777" w:rsidR="00F50D70" w:rsidRPr="00BE4F47" w:rsidRDefault="00000000" w:rsidP="008E113B">
      <w:pPr>
        <w:pStyle w:val="Lgende"/>
        <w:spacing w:line="360" w:lineRule="auto"/>
        <w:rPr>
          <w:rFonts w:ascii="Aptos" w:hAnsi="Aptos"/>
        </w:rPr>
      </w:pPr>
      <w:bookmarkStart w:id="111" w:name="_Toc241082853"/>
      <w:r w:rsidRPr="00BE4F47">
        <w:rPr>
          <w:rFonts w:ascii="Aptos" w:hAnsi="Aptos"/>
        </w:rPr>
        <w:t>Tableau 2-1. Livrables, critères d’acceptation et jalons de remise</w:t>
      </w:r>
      <w:bookmarkEnd w:id="111"/>
    </w:p>
    <w:tbl>
      <w:tblPr>
        <w:tblpPr w:leftFromText="141" w:rightFromText="141" w:vertAnchor="text" w:horzAnchor="margin" w:tblpXSpec="center" w:tblpY="130"/>
        <w:tblW w:w="7881" w:type="dxa"/>
        <w:tblLayout w:type="fixed"/>
        <w:tblCellMar>
          <w:top w:w="60" w:type="dxa"/>
          <w:left w:w="90" w:type="dxa"/>
          <w:bottom w:w="60" w:type="dxa"/>
          <w:right w:w="90" w:type="dxa"/>
        </w:tblCellMar>
        <w:tblLook w:val="04A0" w:firstRow="1" w:lastRow="0" w:firstColumn="1" w:lastColumn="0" w:noHBand="0" w:noVBand="1"/>
      </w:tblPr>
      <w:tblGrid>
        <w:gridCol w:w="532"/>
        <w:gridCol w:w="2041"/>
        <w:gridCol w:w="901"/>
        <w:gridCol w:w="2241"/>
        <w:gridCol w:w="643"/>
        <w:gridCol w:w="1523"/>
      </w:tblGrid>
      <w:tr w:rsidR="00F50D70" w:rsidRPr="00BE4F47" w14:paraId="73B20FAF" w14:textId="77777777" w:rsidTr="0036725C">
        <w:trPr>
          <w:trHeight w:val="248"/>
          <w:tblHeader/>
        </w:trPr>
        <w:tc>
          <w:tcPr>
            <w:tcW w:w="53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231ACD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04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6BFE84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Livrable</w:t>
            </w:r>
          </w:p>
        </w:tc>
        <w:tc>
          <w:tcPr>
            <w:tcW w:w="90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B3ECC8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Type</w:t>
            </w:r>
          </w:p>
        </w:tc>
        <w:tc>
          <w:tcPr>
            <w:tcW w:w="224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3391DA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Critère d’acceptation</w:t>
            </w:r>
          </w:p>
        </w:tc>
        <w:tc>
          <w:tcPr>
            <w:tcW w:w="64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132612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Jalon</w:t>
            </w:r>
          </w:p>
        </w:tc>
        <w:tc>
          <w:tcPr>
            <w:tcW w:w="152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4C63A2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Responsable</w:t>
            </w:r>
          </w:p>
        </w:tc>
      </w:tr>
      <w:tr w:rsidR="00F50D70" w:rsidRPr="00BE4F47" w14:paraId="6D551F0A" w14:textId="77777777">
        <w:trPr>
          <w:trHeight w:val="440"/>
        </w:trPr>
        <w:tc>
          <w:tcPr>
            <w:tcW w:w="532" w:type="dxa"/>
            <w:tcBorders>
              <w:top w:val="single" w:sz="4" w:space="0" w:color="000000"/>
              <w:left w:val="single" w:sz="4" w:space="0" w:color="000000"/>
              <w:bottom w:val="single" w:sz="4" w:space="0" w:color="000000"/>
              <w:right w:val="single" w:sz="4" w:space="0" w:color="000000"/>
            </w:tcBorders>
          </w:tcPr>
          <w:p w14:paraId="11108FD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L01</w:t>
            </w:r>
          </w:p>
        </w:tc>
        <w:tc>
          <w:tcPr>
            <w:tcW w:w="2041" w:type="dxa"/>
            <w:tcBorders>
              <w:top w:val="single" w:sz="4" w:space="0" w:color="000000"/>
              <w:left w:val="single" w:sz="4" w:space="0" w:color="000000"/>
              <w:bottom w:val="single" w:sz="4" w:space="0" w:color="000000"/>
              <w:right w:val="single" w:sz="4" w:space="0" w:color="000000"/>
            </w:tcBorders>
          </w:tcPr>
          <w:p w14:paraId="436B91F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Prototype du jumeau numérique</w:t>
            </w:r>
          </w:p>
        </w:tc>
        <w:tc>
          <w:tcPr>
            <w:tcW w:w="901" w:type="dxa"/>
            <w:tcBorders>
              <w:top w:val="single" w:sz="4" w:space="0" w:color="000000"/>
              <w:left w:val="single" w:sz="4" w:space="0" w:color="000000"/>
              <w:bottom w:val="single" w:sz="4" w:space="0" w:color="000000"/>
              <w:right w:val="single" w:sz="4" w:space="0" w:color="000000"/>
            </w:tcBorders>
          </w:tcPr>
          <w:p w14:paraId="10CB563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Technique</w:t>
            </w:r>
          </w:p>
        </w:tc>
        <w:tc>
          <w:tcPr>
            <w:tcW w:w="2241" w:type="dxa"/>
            <w:tcBorders>
              <w:top w:val="single" w:sz="4" w:space="0" w:color="000000"/>
              <w:left w:val="single" w:sz="4" w:space="0" w:color="000000"/>
              <w:bottom w:val="single" w:sz="4" w:space="0" w:color="000000"/>
              <w:right w:val="single" w:sz="4" w:space="0" w:color="000000"/>
            </w:tcBorders>
          </w:tcPr>
          <w:p w14:paraId="63B68F1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EX-F-01 à EX-F-03 et EX-F-10 démontrées par essai, résultats consignés.</w:t>
            </w:r>
          </w:p>
        </w:tc>
        <w:tc>
          <w:tcPr>
            <w:tcW w:w="643" w:type="dxa"/>
            <w:tcBorders>
              <w:top w:val="single" w:sz="4" w:space="0" w:color="000000"/>
              <w:left w:val="single" w:sz="4" w:space="0" w:color="000000"/>
              <w:bottom w:val="single" w:sz="4" w:space="0" w:color="000000"/>
              <w:right w:val="single" w:sz="4" w:space="0" w:color="000000"/>
            </w:tcBorders>
          </w:tcPr>
          <w:p w14:paraId="6D9D01E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J3</w:t>
            </w:r>
          </w:p>
        </w:tc>
        <w:tc>
          <w:tcPr>
            <w:tcW w:w="1523" w:type="dxa"/>
            <w:tcBorders>
              <w:top w:val="single" w:sz="4" w:space="0" w:color="000000"/>
              <w:left w:val="single" w:sz="4" w:space="0" w:color="000000"/>
              <w:bottom w:val="single" w:sz="4" w:space="0" w:color="000000"/>
              <w:right w:val="single" w:sz="4" w:space="0" w:color="000000"/>
            </w:tcBorders>
          </w:tcPr>
          <w:p w14:paraId="3B6002B8" w14:textId="77777777" w:rsidR="00F50D70" w:rsidRPr="00BE4F47" w:rsidRDefault="005E5B35"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15"/>
                <w:szCs w:val="15"/>
              </w:rPr>
              <w:t xml:space="preserve"> </w:t>
            </w:r>
          </w:p>
        </w:tc>
      </w:tr>
      <w:tr w:rsidR="00F50D70" w:rsidRPr="00BE4F47" w14:paraId="15BE4BFA" w14:textId="77777777">
        <w:trPr>
          <w:trHeight w:val="431"/>
        </w:trPr>
        <w:tc>
          <w:tcPr>
            <w:tcW w:w="532" w:type="dxa"/>
            <w:tcBorders>
              <w:top w:val="single" w:sz="4" w:space="0" w:color="000000"/>
              <w:left w:val="single" w:sz="4" w:space="0" w:color="000000"/>
              <w:bottom w:val="single" w:sz="4" w:space="0" w:color="000000"/>
              <w:right w:val="single" w:sz="4" w:space="0" w:color="000000"/>
            </w:tcBorders>
          </w:tcPr>
          <w:p w14:paraId="7594A66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L02</w:t>
            </w:r>
          </w:p>
        </w:tc>
        <w:tc>
          <w:tcPr>
            <w:tcW w:w="2041" w:type="dxa"/>
            <w:tcBorders>
              <w:top w:val="single" w:sz="4" w:space="0" w:color="000000"/>
              <w:left w:val="single" w:sz="4" w:space="0" w:color="000000"/>
              <w:bottom w:val="single" w:sz="4" w:space="0" w:color="000000"/>
              <w:right w:val="single" w:sz="4" w:space="0" w:color="000000"/>
            </w:tcBorders>
          </w:tcPr>
          <w:p w14:paraId="62C1EE6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Interface d’aide à la décision</w:t>
            </w:r>
          </w:p>
        </w:tc>
        <w:tc>
          <w:tcPr>
            <w:tcW w:w="901" w:type="dxa"/>
            <w:tcBorders>
              <w:top w:val="single" w:sz="4" w:space="0" w:color="000000"/>
              <w:left w:val="single" w:sz="4" w:space="0" w:color="000000"/>
              <w:bottom w:val="single" w:sz="4" w:space="0" w:color="000000"/>
              <w:right w:val="single" w:sz="4" w:space="0" w:color="000000"/>
            </w:tcBorders>
          </w:tcPr>
          <w:p w14:paraId="44E4C06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Technique</w:t>
            </w:r>
          </w:p>
        </w:tc>
        <w:tc>
          <w:tcPr>
            <w:tcW w:w="2241" w:type="dxa"/>
            <w:tcBorders>
              <w:top w:val="single" w:sz="4" w:space="0" w:color="000000"/>
              <w:left w:val="single" w:sz="4" w:space="0" w:color="000000"/>
              <w:bottom w:val="single" w:sz="4" w:space="0" w:color="000000"/>
              <w:right w:val="single" w:sz="4" w:space="0" w:color="000000"/>
            </w:tcBorders>
          </w:tcPr>
          <w:p w14:paraId="16B65CC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EX-F-04 à EX-F-09 et EX-Q-03 démontrées ; liste de contrôle d’affichage remplie.</w:t>
            </w:r>
          </w:p>
        </w:tc>
        <w:tc>
          <w:tcPr>
            <w:tcW w:w="643" w:type="dxa"/>
            <w:tcBorders>
              <w:top w:val="single" w:sz="4" w:space="0" w:color="000000"/>
              <w:left w:val="single" w:sz="4" w:space="0" w:color="000000"/>
              <w:bottom w:val="single" w:sz="4" w:space="0" w:color="000000"/>
              <w:right w:val="single" w:sz="4" w:space="0" w:color="000000"/>
            </w:tcBorders>
          </w:tcPr>
          <w:p w14:paraId="6D130A7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J3</w:t>
            </w:r>
          </w:p>
        </w:tc>
        <w:tc>
          <w:tcPr>
            <w:tcW w:w="1523" w:type="dxa"/>
            <w:tcBorders>
              <w:top w:val="single" w:sz="4" w:space="0" w:color="000000"/>
              <w:left w:val="single" w:sz="4" w:space="0" w:color="000000"/>
              <w:bottom w:val="single" w:sz="4" w:space="0" w:color="000000"/>
              <w:right w:val="single" w:sz="4" w:space="0" w:color="000000"/>
            </w:tcBorders>
          </w:tcPr>
          <w:p w14:paraId="0E84BFC9"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r w:rsidR="00F50D70" w:rsidRPr="00BE4F47" w14:paraId="61EB66C1" w14:textId="77777777">
        <w:trPr>
          <w:trHeight w:val="431"/>
        </w:trPr>
        <w:tc>
          <w:tcPr>
            <w:tcW w:w="532" w:type="dxa"/>
            <w:tcBorders>
              <w:top w:val="single" w:sz="4" w:space="0" w:color="000000"/>
              <w:left w:val="single" w:sz="4" w:space="0" w:color="000000"/>
              <w:bottom w:val="single" w:sz="4" w:space="0" w:color="000000"/>
              <w:right w:val="single" w:sz="4" w:space="0" w:color="000000"/>
            </w:tcBorders>
          </w:tcPr>
          <w:p w14:paraId="4075740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L03</w:t>
            </w:r>
          </w:p>
        </w:tc>
        <w:tc>
          <w:tcPr>
            <w:tcW w:w="2041" w:type="dxa"/>
            <w:tcBorders>
              <w:top w:val="single" w:sz="4" w:space="0" w:color="000000"/>
              <w:left w:val="single" w:sz="4" w:space="0" w:color="000000"/>
              <w:bottom w:val="single" w:sz="4" w:space="0" w:color="000000"/>
              <w:right w:val="single" w:sz="4" w:space="0" w:color="000000"/>
            </w:tcBorders>
          </w:tcPr>
          <w:p w14:paraId="74F067C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Registre des exigences</w:t>
            </w:r>
          </w:p>
        </w:tc>
        <w:tc>
          <w:tcPr>
            <w:tcW w:w="901" w:type="dxa"/>
            <w:tcBorders>
              <w:top w:val="single" w:sz="4" w:space="0" w:color="000000"/>
              <w:left w:val="single" w:sz="4" w:space="0" w:color="000000"/>
              <w:bottom w:val="single" w:sz="4" w:space="0" w:color="000000"/>
              <w:right w:val="single" w:sz="4" w:space="0" w:color="000000"/>
            </w:tcBorders>
          </w:tcPr>
          <w:p w14:paraId="45CA7BE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Gestion</w:t>
            </w:r>
          </w:p>
        </w:tc>
        <w:tc>
          <w:tcPr>
            <w:tcW w:w="2241" w:type="dxa"/>
            <w:tcBorders>
              <w:top w:val="single" w:sz="4" w:space="0" w:color="000000"/>
              <w:left w:val="single" w:sz="4" w:space="0" w:color="000000"/>
              <w:bottom w:val="single" w:sz="4" w:space="0" w:color="000000"/>
              <w:right w:val="single" w:sz="4" w:space="0" w:color="000000"/>
            </w:tcBorders>
          </w:tcPr>
          <w:p w14:paraId="0400771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Chaque exigence porte un moyen de vérification, un état GEMMA et un lot.</w:t>
            </w:r>
          </w:p>
        </w:tc>
        <w:tc>
          <w:tcPr>
            <w:tcW w:w="643" w:type="dxa"/>
            <w:tcBorders>
              <w:top w:val="single" w:sz="4" w:space="0" w:color="000000"/>
              <w:left w:val="single" w:sz="4" w:space="0" w:color="000000"/>
              <w:bottom w:val="single" w:sz="4" w:space="0" w:color="000000"/>
              <w:right w:val="single" w:sz="4" w:space="0" w:color="000000"/>
            </w:tcBorders>
          </w:tcPr>
          <w:p w14:paraId="20E5278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J1</w:t>
            </w:r>
          </w:p>
        </w:tc>
        <w:tc>
          <w:tcPr>
            <w:tcW w:w="1523" w:type="dxa"/>
            <w:tcBorders>
              <w:top w:val="single" w:sz="4" w:space="0" w:color="000000"/>
              <w:left w:val="single" w:sz="4" w:space="0" w:color="000000"/>
              <w:bottom w:val="single" w:sz="4" w:space="0" w:color="000000"/>
              <w:right w:val="single" w:sz="4" w:space="0" w:color="000000"/>
            </w:tcBorders>
          </w:tcPr>
          <w:p w14:paraId="12299FFD"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r w:rsidR="00F50D70" w:rsidRPr="00BE4F47" w14:paraId="00FE5D33" w14:textId="77777777">
        <w:trPr>
          <w:trHeight w:val="440"/>
        </w:trPr>
        <w:tc>
          <w:tcPr>
            <w:tcW w:w="532" w:type="dxa"/>
            <w:tcBorders>
              <w:top w:val="single" w:sz="4" w:space="0" w:color="000000"/>
              <w:left w:val="single" w:sz="4" w:space="0" w:color="000000"/>
              <w:bottom w:val="single" w:sz="4" w:space="0" w:color="000000"/>
              <w:right w:val="single" w:sz="4" w:space="0" w:color="000000"/>
            </w:tcBorders>
          </w:tcPr>
          <w:p w14:paraId="1ED1DCA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L04</w:t>
            </w:r>
          </w:p>
        </w:tc>
        <w:tc>
          <w:tcPr>
            <w:tcW w:w="2041" w:type="dxa"/>
            <w:tcBorders>
              <w:top w:val="single" w:sz="4" w:space="0" w:color="000000"/>
              <w:left w:val="single" w:sz="4" w:space="0" w:color="000000"/>
              <w:bottom w:val="single" w:sz="4" w:space="0" w:color="000000"/>
              <w:right w:val="single" w:sz="4" w:space="0" w:color="000000"/>
            </w:tcBorders>
          </w:tcPr>
          <w:p w14:paraId="740A7A4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GEMMA et structure de découpage du projet</w:t>
            </w:r>
          </w:p>
        </w:tc>
        <w:tc>
          <w:tcPr>
            <w:tcW w:w="901" w:type="dxa"/>
            <w:tcBorders>
              <w:top w:val="single" w:sz="4" w:space="0" w:color="000000"/>
              <w:left w:val="single" w:sz="4" w:space="0" w:color="000000"/>
              <w:bottom w:val="single" w:sz="4" w:space="0" w:color="000000"/>
              <w:right w:val="single" w:sz="4" w:space="0" w:color="000000"/>
            </w:tcBorders>
          </w:tcPr>
          <w:p w14:paraId="510316C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Technique</w:t>
            </w:r>
          </w:p>
        </w:tc>
        <w:tc>
          <w:tcPr>
            <w:tcW w:w="2241" w:type="dxa"/>
            <w:tcBorders>
              <w:top w:val="single" w:sz="4" w:space="0" w:color="000000"/>
              <w:left w:val="single" w:sz="4" w:space="0" w:color="000000"/>
              <w:bottom w:val="single" w:sz="4" w:space="0" w:color="000000"/>
              <w:right w:val="single" w:sz="4" w:space="0" w:color="000000"/>
            </w:tcBorders>
          </w:tcPr>
          <w:p w14:paraId="7E8D56F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Cohérence vérifiée : aucun état sans sortie, aucune transition sans condition.</w:t>
            </w:r>
          </w:p>
        </w:tc>
        <w:tc>
          <w:tcPr>
            <w:tcW w:w="643" w:type="dxa"/>
            <w:tcBorders>
              <w:top w:val="single" w:sz="4" w:space="0" w:color="000000"/>
              <w:left w:val="single" w:sz="4" w:space="0" w:color="000000"/>
              <w:bottom w:val="single" w:sz="4" w:space="0" w:color="000000"/>
              <w:right w:val="single" w:sz="4" w:space="0" w:color="000000"/>
            </w:tcBorders>
          </w:tcPr>
          <w:p w14:paraId="0F4DFB9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J1</w:t>
            </w:r>
          </w:p>
        </w:tc>
        <w:tc>
          <w:tcPr>
            <w:tcW w:w="1523" w:type="dxa"/>
            <w:tcBorders>
              <w:top w:val="single" w:sz="4" w:space="0" w:color="000000"/>
              <w:left w:val="single" w:sz="4" w:space="0" w:color="000000"/>
              <w:bottom w:val="single" w:sz="4" w:space="0" w:color="000000"/>
              <w:right w:val="single" w:sz="4" w:space="0" w:color="000000"/>
            </w:tcBorders>
          </w:tcPr>
          <w:p w14:paraId="3DB918EF"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r w:rsidR="00F50D70" w:rsidRPr="00BE4F47" w14:paraId="7B2FA450" w14:textId="77777777">
        <w:trPr>
          <w:trHeight w:val="431"/>
        </w:trPr>
        <w:tc>
          <w:tcPr>
            <w:tcW w:w="532" w:type="dxa"/>
            <w:tcBorders>
              <w:top w:val="single" w:sz="4" w:space="0" w:color="000000"/>
              <w:left w:val="single" w:sz="4" w:space="0" w:color="000000"/>
              <w:bottom w:val="single" w:sz="4" w:space="0" w:color="000000"/>
              <w:right w:val="single" w:sz="4" w:space="0" w:color="000000"/>
            </w:tcBorders>
          </w:tcPr>
          <w:p w14:paraId="394A0ED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L05</w:t>
            </w:r>
          </w:p>
        </w:tc>
        <w:tc>
          <w:tcPr>
            <w:tcW w:w="2041" w:type="dxa"/>
            <w:tcBorders>
              <w:top w:val="single" w:sz="4" w:space="0" w:color="000000"/>
              <w:left w:val="single" w:sz="4" w:space="0" w:color="000000"/>
              <w:bottom w:val="single" w:sz="4" w:space="0" w:color="000000"/>
              <w:right w:val="single" w:sz="4" w:space="0" w:color="000000"/>
            </w:tcBorders>
          </w:tcPr>
          <w:p w14:paraId="6929545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Plan de vérification et de validation</w:t>
            </w:r>
          </w:p>
        </w:tc>
        <w:tc>
          <w:tcPr>
            <w:tcW w:w="901" w:type="dxa"/>
            <w:tcBorders>
              <w:top w:val="single" w:sz="4" w:space="0" w:color="000000"/>
              <w:left w:val="single" w:sz="4" w:space="0" w:color="000000"/>
              <w:bottom w:val="single" w:sz="4" w:space="0" w:color="000000"/>
              <w:right w:val="single" w:sz="4" w:space="0" w:color="000000"/>
            </w:tcBorders>
          </w:tcPr>
          <w:p w14:paraId="7195259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Technique</w:t>
            </w:r>
          </w:p>
        </w:tc>
        <w:tc>
          <w:tcPr>
            <w:tcW w:w="2241" w:type="dxa"/>
            <w:tcBorders>
              <w:top w:val="single" w:sz="4" w:space="0" w:color="000000"/>
              <w:left w:val="single" w:sz="4" w:space="0" w:color="000000"/>
              <w:bottom w:val="single" w:sz="4" w:space="0" w:color="000000"/>
              <w:right w:val="single" w:sz="4" w:space="0" w:color="000000"/>
            </w:tcBorders>
          </w:tcPr>
          <w:p w14:paraId="01CFA3C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Contenu conforme à celui exigé par IEEE 1012 ; degré d’indépendance précisé.</w:t>
            </w:r>
          </w:p>
        </w:tc>
        <w:tc>
          <w:tcPr>
            <w:tcW w:w="643" w:type="dxa"/>
            <w:tcBorders>
              <w:top w:val="single" w:sz="4" w:space="0" w:color="000000"/>
              <w:left w:val="single" w:sz="4" w:space="0" w:color="000000"/>
              <w:bottom w:val="single" w:sz="4" w:space="0" w:color="000000"/>
              <w:right w:val="single" w:sz="4" w:space="0" w:color="000000"/>
            </w:tcBorders>
          </w:tcPr>
          <w:p w14:paraId="15CA599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J2</w:t>
            </w:r>
          </w:p>
        </w:tc>
        <w:tc>
          <w:tcPr>
            <w:tcW w:w="1523" w:type="dxa"/>
            <w:tcBorders>
              <w:top w:val="single" w:sz="4" w:space="0" w:color="000000"/>
              <w:left w:val="single" w:sz="4" w:space="0" w:color="000000"/>
              <w:bottom w:val="single" w:sz="4" w:space="0" w:color="000000"/>
              <w:right w:val="single" w:sz="4" w:space="0" w:color="000000"/>
            </w:tcBorders>
          </w:tcPr>
          <w:p w14:paraId="0EDACE79"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r w:rsidR="00F50D70" w:rsidRPr="00BE4F47" w14:paraId="1D766D18" w14:textId="77777777">
        <w:trPr>
          <w:trHeight w:val="431"/>
        </w:trPr>
        <w:tc>
          <w:tcPr>
            <w:tcW w:w="532" w:type="dxa"/>
            <w:tcBorders>
              <w:top w:val="single" w:sz="4" w:space="0" w:color="000000"/>
              <w:left w:val="single" w:sz="4" w:space="0" w:color="000000"/>
              <w:bottom w:val="single" w:sz="4" w:space="0" w:color="000000"/>
              <w:right w:val="single" w:sz="4" w:space="0" w:color="000000"/>
            </w:tcBorders>
          </w:tcPr>
          <w:p w14:paraId="6DBF7F4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L06</w:t>
            </w:r>
          </w:p>
        </w:tc>
        <w:tc>
          <w:tcPr>
            <w:tcW w:w="2041" w:type="dxa"/>
            <w:tcBorders>
              <w:top w:val="single" w:sz="4" w:space="0" w:color="000000"/>
              <w:left w:val="single" w:sz="4" w:space="0" w:color="000000"/>
              <w:bottom w:val="single" w:sz="4" w:space="0" w:color="000000"/>
              <w:right w:val="single" w:sz="4" w:space="0" w:color="000000"/>
            </w:tcBorders>
          </w:tcPr>
          <w:p w14:paraId="6682CE7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Campagne d’essais et résultats</w:t>
            </w:r>
          </w:p>
        </w:tc>
        <w:tc>
          <w:tcPr>
            <w:tcW w:w="901" w:type="dxa"/>
            <w:tcBorders>
              <w:top w:val="single" w:sz="4" w:space="0" w:color="000000"/>
              <w:left w:val="single" w:sz="4" w:space="0" w:color="000000"/>
              <w:bottom w:val="single" w:sz="4" w:space="0" w:color="000000"/>
              <w:right w:val="single" w:sz="4" w:space="0" w:color="000000"/>
            </w:tcBorders>
          </w:tcPr>
          <w:p w14:paraId="4338697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Technique</w:t>
            </w:r>
          </w:p>
        </w:tc>
        <w:tc>
          <w:tcPr>
            <w:tcW w:w="2241" w:type="dxa"/>
            <w:tcBorders>
              <w:top w:val="single" w:sz="4" w:space="0" w:color="000000"/>
              <w:left w:val="single" w:sz="4" w:space="0" w:color="000000"/>
              <w:bottom w:val="single" w:sz="4" w:space="0" w:color="000000"/>
              <w:right w:val="single" w:sz="4" w:space="0" w:color="000000"/>
            </w:tcBorders>
          </w:tcPr>
          <w:p w14:paraId="66324B0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Un résultat consigné pour chaque exigence vérifiable du registre.</w:t>
            </w:r>
          </w:p>
        </w:tc>
        <w:tc>
          <w:tcPr>
            <w:tcW w:w="643" w:type="dxa"/>
            <w:tcBorders>
              <w:top w:val="single" w:sz="4" w:space="0" w:color="000000"/>
              <w:left w:val="single" w:sz="4" w:space="0" w:color="000000"/>
              <w:bottom w:val="single" w:sz="4" w:space="0" w:color="000000"/>
              <w:right w:val="single" w:sz="4" w:space="0" w:color="000000"/>
            </w:tcBorders>
          </w:tcPr>
          <w:p w14:paraId="327514C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J4</w:t>
            </w:r>
          </w:p>
        </w:tc>
        <w:tc>
          <w:tcPr>
            <w:tcW w:w="1523" w:type="dxa"/>
            <w:tcBorders>
              <w:top w:val="single" w:sz="4" w:space="0" w:color="000000"/>
              <w:left w:val="single" w:sz="4" w:space="0" w:color="000000"/>
              <w:bottom w:val="single" w:sz="4" w:space="0" w:color="000000"/>
              <w:right w:val="single" w:sz="4" w:space="0" w:color="000000"/>
            </w:tcBorders>
          </w:tcPr>
          <w:p w14:paraId="50A9CEFC"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r w:rsidR="00F50D70" w:rsidRPr="00BE4F47" w14:paraId="3D9E7410" w14:textId="77777777">
        <w:trPr>
          <w:trHeight w:val="808"/>
        </w:trPr>
        <w:tc>
          <w:tcPr>
            <w:tcW w:w="532" w:type="dxa"/>
            <w:tcBorders>
              <w:top w:val="single" w:sz="4" w:space="0" w:color="000000"/>
              <w:left w:val="single" w:sz="4" w:space="0" w:color="000000"/>
              <w:bottom w:val="single" w:sz="4" w:space="0" w:color="000000"/>
              <w:right w:val="single" w:sz="4" w:space="0" w:color="000000"/>
            </w:tcBorders>
          </w:tcPr>
          <w:p w14:paraId="6343F98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L07</w:t>
            </w:r>
          </w:p>
        </w:tc>
        <w:tc>
          <w:tcPr>
            <w:tcW w:w="2041" w:type="dxa"/>
            <w:tcBorders>
              <w:top w:val="single" w:sz="4" w:space="0" w:color="000000"/>
              <w:left w:val="single" w:sz="4" w:space="0" w:color="000000"/>
              <w:bottom w:val="single" w:sz="4" w:space="0" w:color="000000"/>
              <w:right w:val="single" w:sz="4" w:space="0" w:color="000000"/>
            </w:tcBorders>
          </w:tcPr>
          <w:p w14:paraId="41C77DC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Plan de projet et documents de suivi</w:t>
            </w:r>
          </w:p>
        </w:tc>
        <w:tc>
          <w:tcPr>
            <w:tcW w:w="901" w:type="dxa"/>
            <w:tcBorders>
              <w:top w:val="single" w:sz="4" w:space="0" w:color="000000"/>
              <w:left w:val="single" w:sz="4" w:space="0" w:color="000000"/>
              <w:bottom w:val="single" w:sz="4" w:space="0" w:color="000000"/>
              <w:right w:val="single" w:sz="4" w:space="0" w:color="000000"/>
            </w:tcBorders>
          </w:tcPr>
          <w:p w14:paraId="1D31838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Gestion</w:t>
            </w:r>
          </w:p>
        </w:tc>
        <w:tc>
          <w:tcPr>
            <w:tcW w:w="2241" w:type="dxa"/>
            <w:tcBorders>
              <w:top w:val="single" w:sz="4" w:space="0" w:color="000000"/>
              <w:left w:val="single" w:sz="4" w:space="0" w:color="000000"/>
              <w:bottom w:val="single" w:sz="4" w:space="0" w:color="000000"/>
              <w:right w:val="single" w:sz="4" w:space="0" w:color="000000"/>
            </w:tcBorders>
          </w:tcPr>
          <w:p w14:paraId="0F8EAC8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Sections complétées, fusionnées et références consolidées.</w:t>
            </w:r>
          </w:p>
        </w:tc>
        <w:tc>
          <w:tcPr>
            <w:tcW w:w="643" w:type="dxa"/>
            <w:tcBorders>
              <w:top w:val="single" w:sz="4" w:space="0" w:color="000000"/>
              <w:left w:val="single" w:sz="4" w:space="0" w:color="000000"/>
              <w:bottom w:val="single" w:sz="4" w:space="0" w:color="000000"/>
              <w:right w:val="single" w:sz="4" w:space="0" w:color="000000"/>
            </w:tcBorders>
          </w:tcPr>
          <w:p w14:paraId="6F7D878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J0, mis à jour à chaque jalon</w:t>
            </w:r>
          </w:p>
        </w:tc>
        <w:tc>
          <w:tcPr>
            <w:tcW w:w="1523" w:type="dxa"/>
            <w:tcBorders>
              <w:top w:val="single" w:sz="4" w:space="0" w:color="000000"/>
              <w:left w:val="single" w:sz="4" w:space="0" w:color="000000"/>
              <w:bottom w:val="single" w:sz="4" w:space="0" w:color="000000"/>
              <w:right w:val="single" w:sz="4" w:space="0" w:color="000000"/>
            </w:tcBorders>
          </w:tcPr>
          <w:p w14:paraId="3DC4AFF1" w14:textId="77777777" w:rsidR="00F50D70" w:rsidRPr="00BE4F47" w:rsidRDefault="005E5B35"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15"/>
                <w:szCs w:val="15"/>
              </w:rPr>
              <w:t>Christian et toute l’équipe</w:t>
            </w:r>
          </w:p>
        </w:tc>
      </w:tr>
      <w:tr w:rsidR="00F50D70" w:rsidRPr="00BE4F47" w14:paraId="1EEB46C7" w14:textId="77777777">
        <w:trPr>
          <w:trHeight w:val="431"/>
        </w:trPr>
        <w:tc>
          <w:tcPr>
            <w:tcW w:w="532" w:type="dxa"/>
            <w:tcBorders>
              <w:top w:val="single" w:sz="4" w:space="0" w:color="000000"/>
              <w:left w:val="single" w:sz="4" w:space="0" w:color="000000"/>
              <w:bottom w:val="single" w:sz="4" w:space="0" w:color="000000"/>
              <w:right w:val="single" w:sz="4" w:space="0" w:color="000000"/>
            </w:tcBorders>
          </w:tcPr>
          <w:p w14:paraId="02D7568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L08</w:t>
            </w:r>
          </w:p>
        </w:tc>
        <w:tc>
          <w:tcPr>
            <w:tcW w:w="2041" w:type="dxa"/>
            <w:tcBorders>
              <w:top w:val="single" w:sz="4" w:space="0" w:color="000000"/>
              <w:left w:val="single" w:sz="4" w:space="0" w:color="000000"/>
              <w:bottom w:val="single" w:sz="4" w:space="0" w:color="000000"/>
              <w:right w:val="single" w:sz="4" w:space="0" w:color="000000"/>
            </w:tcBorders>
          </w:tcPr>
          <w:p w14:paraId="1A1FC5F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Rapport final et recommandation d’ingénierie</w:t>
            </w:r>
          </w:p>
        </w:tc>
        <w:tc>
          <w:tcPr>
            <w:tcW w:w="901" w:type="dxa"/>
            <w:tcBorders>
              <w:top w:val="single" w:sz="4" w:space="0" w:color="000000"/>
              <w:left w:val="single" w:sz="4" w:space="0" w:color="000000"/>
              <w:bottom w:val="single" w:sz="4" w:space="0" w:color="000000"/>
              <w:right w:val="single" w:sz="4" w:space="0" w:color="000000"/>
            </w:tcBorders>
          </w:tcPr>
          <w:p w14:paraId="4FFAB32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Gestion</w:t>
            </w:r>
          </w:p>
        </w:tc>
        <w:tc>
          <w:tcPr>
            <w:tcW w:w="2241" w:type="dxa"/>
            <w:tcBorders>
              <w:top w:val="single" w:sz="4" w:space="0" w:color="000000"/>
              <w:left w:val="single" w:sz="4" w:space="0" w:color="000000"/>
              <w:bottom w:val="single" w:sz="4" w:space="0" w:color="000000"/>
              <w:right w:val="single" w:sz="4" w:space="0" w:color="000000"/>
            </w:tcBorders>
          </w:tcPr>
          <w:p w14:paraId="5FB6E96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Limites documentées (EX-C-01) et enjeux traités (EX-C-03).</w:t>
            </w:r>
          </w:p>
        </w:tc>
        <w:tc>
          <w:tcPr>
            <w:tcW w:w="643" w:type="dxa"/>
            <w:tcBorders>
              <w:top w:val="single" w:sz="4" w:space="0" w:color="000000"/>
              <w:left w:val="single" w:sz="4" w:space="0" w:color="000000"/>
              <w:bottom w:val="single" w:sz="4" w:space="0" w:color="000000"/>
              <w:right w:val="single" w:sz="4" w:space="0" w:color="000000"/>
            </w:tcBorders>
          </w:tcPr>
          <w:p w14:paraId="072419C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J5</w:t>
            </w:r>
          </w:p>
        </w:tc>
        <w:tc>
          <w:tcPr>
            <w:tcW w:w="1523" w:type="dxa"/>
            <w:tcBorders>
              <w:top w:val="single" w:sz="4" w:space="0" w:color="000000"/>
              <w:left w:val="single" w:sz="4" w:space="0" w:color="000000"/>
              <w:bottom w:val="single" w:sz="4" w:space="0" w:color="000000"/>
              <w:right w:val="single" w:sz="4" w:space="0" w:color="000000"/>
            </w:tcBorders>
          </w:tcPr>
          <w:p w14:paraId="0EFD1A6B"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r w:rsidR="00F50D70" w:rsidRPr="00BE4F47" w14:paraId="0097471F" w14:textId="77777777">
        <w:trPr>
          <w:trHeight w:val="431"/>
        </w:trPr>
        <w:tc>
          <w:tcPr>
            <w:tcW w:w="532" w:type="dxa"/>
            <w:tcBorders>
              <w:top w:val="single" w:sz="4" w:space="0" w:color="000000"/>
              <w:left w:val="single" w:sz="4" w:space="0" w:color="000000"/>
              <w:bottom w:val="single" w:sz="4" w:space="0" w:color="000000"/>
              <w:right w:val="single" w:sz="4" w:space="0" w:color="000000"/>
            </w:tcBorders>
          </w:tcPr>
          <w:p w14:paraId="4306F3D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L09</w:t>
            </w:r>
          </w:p>
        </w:tc>
        <w:tc>
          <w:tcPr>
            <w:tcW w:w="2041" w:type="dxa"/>
            <w:tcBorders>
              <w:top w:val="single" w:sz="4" w:space="0" w:color="000000"/>
              <w:left w:val="single" w:sz="4" w:space="0" w:color="000000"/>
              <w:bottom w:val="single" w:sz="4" w:space="0" w:color="000000"/>
              <w:right w:val="single" w:sz="4" w:space="0" w:color="000000"/>
            </w:tcBorders>
          </w:tcPr>
          <w:p w14:paraId="7CC57E1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Présentation orale</w:t>
            </w:r>
          </w:p>
        </w:tc>
        <w:tc>
          <w:tcPr>
            <w:tcW w:w="901" w:type="dxa"/>
            <w:tcBorders>
              <w:top w:val="single" w:sz="4" w:space="0" w:color="000000"/>
              <w:left w:val="single" w:sz="4" w:space="0" w:color="000000"/>
              <w:bottom w:val="single" w:sz="4" w:space="0" w:color="000000"/>
              <w:right w:val="single" w:sz="4" w:space="0" w:color="000000"/>
            </w:tcBorders>
          </w:tcPr>
          <w:p w14:paraId="3F83CD7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Gestion</w:t>
            </w:r>
          </w:p>
        </w:tc>
        <w:tc>
          <w:tcPr>
            <w:tcW w:w="2241" w:type="dxa"/>
            <w:tcBorders>
              <w:top w:val="single" w:sz="4" w:space="0" w:color="000000"/>
              <w:left w:val="single" w:sz="4" w:space="0" w:color="000000"/>
              <w:bottom w:val="single" w:sz="4" w:space="0" w:color="000000"/>
              <w:right w:val="single" w:sz="4" w:space="0" w:color="000000"/>
            </w:tcBorders>
          </w:tcPr>
          <w:p w14:paraId="3E6D36C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Présentation répétée au moins une fois devant l’équipe complète.</w:t>
            </w:r>
          </w:p>
        </w:tc>
        <w:tc>
          <w:tcPr>
            <w:tcW w:w="643" w:type="dxa"/>
            <w:tcBorders>
              <w:top w:val="single" w:sz="4" w:space="0" w:color="000000"/>
              <w:left w:val="single" w:sz="4" w:space="0" w:color="000000"/>
              <w:bottom w:val="single" w:sz="4" w:space="0" w:color="000000"/>
              <w:right w:val="single" w:sz="4" w:space="0" w:color="000000"/>
            </w:tcBorders>
          </w:tcPr>
          <w:p w14:paraId="7EDC2CA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J5</w:t>
            </w:r>
          </w:p>
        </w:tc>
        <w:tc>
          <w:tcPr>
            <w:tcW w:w="1523" w:type="dxa"/>
            <w:tcBorders>
              <w:top w:val="single" w:sz="4" w:space="0" w:color="000000"/>
              <w:left w:val="single" w:sz="4" w:space="0" w:color="000000"/>
              <w:bottom w:val="single" w:sz="4" w:space="0" w:color="000000"/>
              <w:right w:val="single" w:sz="4" w:space="0" w:color="000000"/>
            </w:tcBorders>
          </w:tcPr>
          <w:p w14:paraId="5FA96512"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bl>
    <w:p w14:paraId="46903319" w14:textId="77777777" w:rsidR="00F50D70" w:rsidRPr="00BE4F47" w:rsidRDefault="00F50D70" w:rsidP="008E113B">
      <w:pPr>
        <w:spacing w:line="360" w:lineRule="auto"/>
        <w:rPr>
          <w:rFonts w:ascii="Aptos" w:hAnsi="Aptos"/>
        </w:rPr>
      </w:pPr>
    </w:p>
    <w:p w14:paraId="250520D3" w14:textId="77777777" w:rsidR="00F50D70" w:rsidRPr="00BE4F47" w:rsidRDefault="00000000" w:rsidP="008E113B">
      <w:pPr>
        <w:pStyle w:val="Titre2"/>
        <w:spacing w:line="360" w:lineRule="auto"/>
        <w:rPr>
          <w:rFonts w:ascii="Aptos" w:hAnsi="Aptos"/>
        </w:rPr>
      </w:pPr>
      <w:bookmarkStart w:id="112" w:name="_Toc241082854"/>
      <w:r w:rsidRPr="00BE4F47">
        <w:rPr>
          <w:rFonts w:ascii="Aptos" w:hAnsi="Aptos"/>
        </w:rPr>
        <w:t>Domaine de validité et contraintes</w:t>
      </w:r>
      <w:bookmarkEnd w:id="112"/>
    </w:p>
    <w:p w14:paraId="50C8FC51" w14:textId="77777777" w:rsidR="00F50D70" w:rsidRPr="00BE4F47" w:rsidRDefault="00000000" w:rsidP="008E113B">
      <w:pPr>
        <w:spacing w:after="130" w:line="360" w:lineRule="auto"/>
        <w:ind w:left="360"/>
        <w:rPr>
          <w:rFonts w:ascii="Aptos" w:hAnsi="Aptos"/>
        </w:rPr>
      </w:pPr>
      <w:bookmarkStart w:id="113" w:name="_Toc241082855"/>
      <w:r w:rsidRPr="00BE4F47">
        <w:rPr>
          <w:rFonts w:ascii="Aptos" w:eastAsia="Calibri" w:hAnsi="Aptos" w:cs="Calibri"/>
          <w:color w:val="1A1A19"/>
          <w:sz w:val="20"/>
          <w:szCs w:val="20"/>
        </w:rPr>
        <w:t>Un livrable ne peut être accepté ou refusé que si l’on sait dans quelles conditions il est censé fonctionner. Le domaine de validité ci-dessous encadre tous les livrables du tableau précédent. Hors de ce domaine, les résultats du prototype ne sont pas valides et ne doivent pas être employés.</w:t>
      </w:r>
      <w:bookmarkEnd w:id="113"/>
    </w:p>
    <w:p w14:paraId="49849C12" w14:textId="77777777" w:rsidR="00F50D70" w:rsidRPr="00BE4F47" w:rsidRDefault="00000000" w:rsidP="008E113B">
      <w:pPr>
        <w:pStyle w:val="Lgende"/>
        <w:spacing w:line="360" w:lineRule="auto"/>
        <w:rPr>
          <w:rFonts w:ascii="Aptos" w:hAnsi="Aptos"/>
        </w:rPr>
      </w:pPr>
      <w:bookmarkStart w:id="114" w:name="_Toc241082856"/>
      <w:r w:rsidRPr="00BE4F47">
        <w:rPr>
          <w:rFonts w:ascii="Aptos" w:hAnsi="Aptos"/>
        </w:rPr>
        <w:t>Tableau 2-2. Domaine de validité des livrables</w:t>
      </w:r>
      <w:bookmarkEnd w:id="114"/>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700"/>
        <w:gridCol w:w="4200"/>
        <w:gridCol w:w="2657"/>
      </w:tblGrid>
      <w:tr w:rsidR="00F50D70" w:rsidRPr="00BE4F47" w14:paraId="22F5E4D5" w14:textId="77777777" w:rsidTr="0036725C">
        <w:trPr>
          <w:trHeight w:val="227"/>
          <w:tblHeader/>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F6446E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Dimension</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50159D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Domaine dans lequel les livrables sont valides</w:t>
            </w:r>
          </w:p>
        </w:tc>
        <w:tc>
          <w:tcPr>
            <w:tcW w:w="26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FDFACD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Hors domaine</w:t>
            </w:r>
          </w:p>
        </w:tc>
      </w:tr>
      <w:tr w:rsidR="00F50D70" w:rsidRPr="00BE4F47" w14:paraId="55EFC772"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4E58927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Système représenté</w:t>
            </w:r>
          </w:p>
        </w:tc>
        <w:tc>
          <w:tcPr>
            <w:tcW w:w="4200" w:type="dxa"/>
            <w:tcBorders>
              <w:top w:val="single" w:sz="4" w:space="0" w:color="000000"/>
              <w:left w:val="single" w:sz="4" w:space="0" w:color="000000"/>
              <w:bottom w:val="single" w:sz="4" w:space="0" w:color="000000"/>
              <w:right w:val="single" w:sz="4" w:space="0" w:color="000000"/>
            </w:tcBorders>
          </w:tcPr>
          <w:p w14:paraId="36F816A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Boucle </w:t>
            </w:r>
            <w:proofErr w:type="spellStart"/>
            <w:r w:rsidRPr="00BE4F47">
              <w:rPr>
                <w:rFonts w:ascii="Aptos" w:eastAsia="Calibri" w:hAnsi="Aptos" w:cs="Calibri"/>
                <w:color w:val="1A1A19"/>
                <w:sz w:val="16"/>
                <w:szCs w:val="16"/>
              </w:rPr>
              <w:t>thermohydraulique</w:t>
            </w:r>
            <w:proofErr w:type="spellEnd"/>
            <w:r w:rsidRPr="00BE4F47">
              <w:rPr>
                <w:rFonts w:ascii="Aptos" w:eastAsia="Calibri" w:hAnsi="Aptos" w:cs="Calibri"/>
                <w:color w:val="1A1A19"/>
                <w:sz w:val="16"/>
                <w:szCs w:val="16"/>
              </w:rPr>
              <w:t xml:space="preserve"> simplifiée, en circuit fermé, monophasique, inspirée d’un système de refroidissement.</w:t>
            </w:r>
          </w:p>
        </w:tc>
        <w:tc>
          <w:tcPr>
            <w:tcW w:w="2657" w:type="dxa"/>
            <w:tcBorders>
              <w:top w:val="single" w:sz="4" w:space="0" w:color="000000"/>
              <w:left w:val="single" w:sz="4" w:space="0" w:color="000000"/>
              <w:bottom w:val="single" w:sz="4" w:space="0" w:color="000000"/>
              <w:right w:val="single" w:sz="4" w:space="0" w:color="000000"/>
            </w:tcBorders>
          </w:tcPr>
          <w:p w14:paraId="6689F7A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Écoulement diphasique, circuit ouvert, géométrie complète d’une centrale.</w:t>
            </w:r>
          </w:p>
        </w:tc>
      </w:tr>
      <w:tr w:rsidR="00F50D70" w:rsidRPr="00BE4F47" w14:paraId="4EFA3BEB"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6AC3363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Modélisation</w:t>
            </w:r>
          </w:p>
        </w:tc>
        <w:tc>
          <w:tcPr>
            <w:tcW w:w="4200" w:type="dxa"/>
            <w:tcBorders>
              <w:top w:val="single" w:sz="4" w:space="0" w:color="000000"/>
              <w:left w:val="single" w:sz="4" w:space="0" w:color="000000"/>
              <w:bottom w:val="single" w:sz="4" w:space="0" w:color="000000"/>
              <w:right w:val="single" w:sz="4" w:space="0" w:color="000000"/>
            </w:tcBorders>
          </w:tcPr>
          <w:p w14:paraId="5E03684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Approche 0D et 1D à paramètres concentrés.</w:t>
            </w:r>
          </w:p>
        </w:tc>
        <w:tc>
          <w:tcPr>
            <w:tcW w:w="2657" w:type="dxa"/>
            <w:tcBorders>
              <w:top w:val="single" w:sz="4" w:space="0" w:color="000000"/>
              <w:left w:val="single" w:sz="4" w:space="0" w:color="000000"/>
              <w:bottom w:val="single" w:sz="4" w:space="0" w:color="000000"/>
              <w:right w:val="single" w:sz="4" w:space="0" w:color="000000"/>
            </w:tcBorders>
          </w:tcPr>
          <w:p w14:paraId="43C3F0D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Champs tridimensionnels, mécanique </w:t>
            </w:r>
            <w:proofErr w:type="gramStart"/>
            <w:r w:rsidRPr="00BE4F47">
              <w:rPr>
                <w:rFonts w:ascii="Aptos" w:eastAsia="Calibri" w:hAnsi="Aptos" w:cs="Calibri"/>
                <w:color w:val="1A1A19"/>
                <w:sz w:val="16"/>
                <w:szCs w:val="16"/>
              </w:rPr>
              <w:t>des fluides numérique</w:t>
            </w:r>
            <w:proofErr w:type="gramEnd"/>
            <w:r w:rsidRPr="00BE4F47">
              <w:rPr>
                <w:rFonts w:ascii="Aptos" w:eastAsia="Calibri" w:hAnsi="Aptos" w:cs="Calibri"/>
                <w:color w:val="1A1A19"/>
                <w:sz w:val="16"/>
                <w:szCs w:val="16"/>
              </w:rPr>
              <w:t xml:space="preserve"> détaillée.</w:t>
            </w:r>
          </w:p>
        </w:tc>
      </w:tr>
      <w:tr w:rsidR="00F50D70" w:rsidRPr="00BE4F47" w14:paraId="0F1F89E5"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70D996D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Variables suivies</w:t>
            </w:r>
          </w:p>
        </w:tc>
        <w:tc>
          <w:tcPr>
            <w:tcW w:w="4200" w:type="dxa"/>
            <w:tcBorders>
              <w:top w:val="single" w:sz="4" w:space="0" w:color="000000"/>
              <w:left w:val="single" w:sz="4" w:space="0" w:color="000000"/>
              <w:bottom w:val="single" w:sz="4" w:space="0" w:color="000000"/>
              <w:right w:val="single" w:sz="4" w:space="0" w:color="000000"/>
            </w:tcBorders>
          </w:tcPr>
          <w:p w14:paraId="667C823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Température, pression et débit.</w:t>
            </w:r>
          </w:p>
        </w:tc>
        <w:tc>
          <w:tcPr>
            <w:tcW w:w="2657" w:type="dxa"/>
            <w:tcBorders>
              <w:top w:val="single" w:sz="4" w:space="0" w:color="000000"/>
              <w:left w:val="single" w:sz="4" w:space="0" w:color="000000"/>
              <w:bottom w:val="single" w:sz="4" w:space="0" w:color="000000"/>
              <w:right w:val="single" w:sz="4" w:space="0" w:color="000000"/>
            </w:tcBorders>
          </w:tcPr>
          <w:p w14:paraId="519D004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Toute autre grandeur, notamment la radioactivité et les grandeurs neutroniques.</w:t>
            </w:r>
          </w:p>
        </w:tc>
      </w:tr>
      <w:tr w:rsidR="00F50D70" w:rsidRPr="00BE4F47" w14:paraId="07D65A9E"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47F9C63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Données</w:t>
            </w:r>
          </w:p>
        </w:tc>
        <w:tc>
          <w:tcPr>
            <w:tcW w:w="4200" w:type="dxa"/>
            <w:tcBorders>
              <w:top w:val="single" w:sz="4" w:space="0" w:color="000000"/>
              <w:left w:val="single" w:sz="4" w:space="0" w:color="000000"/>
              <w:bottom w:val="single" w:sz="4" w:space="0" w:color="000000"/>
              <w:right w:val="single" w:sz="4" w:space="0" w:color="000000"/>
            </w:tcBorders>
          </w:tcPr>
          <w:p w14:paraId="54363CB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Données synthétiques produites par le modèle, puis bruitées et dégradées de façon contrôlée.</w:t>
            </w:r>
          </w:p>
        </w:tc>
        <w:tc>
          <w:tcPr>
            <w:tcW w:w="2657" w:type="dxa"/>
            <w:tcBorders>
              <w:top w:val="single" w:sz="4" w:space="0" w:color="000000"/>
              <w:left w:val="single" w:sz="4" w:space="0" w:color="000000"/>
              <w:bottom w:val="single" w:sz="4" w:space="0" w:color="000000"/>
              <w:right w:val="single" w:sz="4" w:space="0" w:color="000000"/>
            </w:tcBorders>
          </w:tcPr>
          <w:p w14:paraId="3FC51C2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Données d’exploitation d’une installation réelle.</w:t>
            </w:r>
          </w:p>
        </w:tc>
      </w:tr>
      <w:tr w:rsidR="00F50D70" w:rsidRPr="00BE4F47" w14:paraId="12586AF9"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455F0D5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Référence de comparaison</w:t>
            </w:r>
          </w:p>
        </w:tc>
        <w:tc>
          <w:tcPr>
            <w:tcW w:w="4200" w:type="dxa"/>
            <w:tcBorders>
              <w:top w:val="single" w:sz="4" w:space="0" w:color="000000"/>
              <w:left w:val="single" w:sz="4" w:space="0" w:color="000000"/>
              <w:bottom w:val="single" w:sz="4" w:space="0" w:color="000000"/>
              <w:right w:val="single" w:sz="4" w:space="0" w:color="000000"/>
            </w:tcBorders>
          </w:tcPr>
          <w:p w14:paraId="6A8F369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Second modèle numérique de fidélité supérieure, développé indépendamment.</w:t>
            </w:r>
          </w:p>
        </w:tc>
        <w:tc>
          <w:tcPr>
            <w:tcW w:w="2657" w:type="dxa"/>
            <w:tcBorders>
              <w:top w:val="single" w:sz="4" w:space="0" w:color="000000"/>
              <w:left w:val="single" w:sz="4" w:space="0" w:color="000000"/>
              <w:bottom w:val="single" w:sz="4" w:space="0" w:color="000000"/>
              <w:right w:val="single" w:sz="4" w:space="0" w:color="000000"/>
            </w:tcBorders>
          </w:tcPr>
          <w:p w14:paraId="132F22D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Banc d’essai physique instrumenté.</w:t>
            </w:r>
          </w:p>
        </w:tc>
      </w:tr>
      <w:tr w:rsidR="00F50D70" w:rsidRPr="00BE4F47" w14:paraId="7F07DD78"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650C964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Emploi</w:t>
            </w:r>
          </w:p>
        </w:tc>
        <w:tc>
          <w:tcPr>
            <w:tcW w:w="4200" w:type="dxa"/>
            <w:tcBorders>
              <w:top w:val="single" w:sz="4" w:space="0" w:color="000000"/>
              <w:left w:val="single" w:sz="4" w:space="0" w:color="000000"/>
              <w:bottom w:val="single" w:sz="4" w:space="0" w:color="000000"/>
              <w:right w:val="single" w:sz="4" w:space="0" w:color="000000"/>
            </w:tcBorders>
          </w:tcPr>
          <w:p w14:paraId="2EED974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Aide à la décision hors ligne, avec validation humaine obligatoire.</w:t>
            </w:r>
          </w:p>
        </w:tc>
        <w:tc>
          <w:tcPr>
            <w:tcW w:w="2657" w:type="dxa"/>
            <w:tcBorders>
              <w:top w:val="single" w:sz="4" w:space="0" w:color="000000"/>
              <w:left w:val="single" w:sz="4" w:space="0" w:color="000000"/>
              <w:bottom w:val="single" w:sz="4" w:space="0" w:color="000000"/>
              <w:right w:val="single" w:sz="4" w:space="0" w:color="000000"/>
            </w:tcBorders>
          </w:tcPr>
          <w:p w14:paraId="6BD254B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Conduite en temps réel, commande automatique, raccordement à un équipement réel.</w:t>
            </w:r>
          </w:p>
        </w:tc>
      </w:tr>
      <w:tr w:rsidR="00F50D70" w:rsidRPr="00BE4F47" w14:paraId="2007167E"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6BC8366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Scénarios couverts</w:t>
            </w:r>
          </w:p>
        </w:tc>
        <w:tc>
          <w:tcPr>
            <w:tcW w:w="4200" w:type="dxa"/>
            <w:tcBorders>
              <w:top w:val="single" w:sz="4" w:space="0" w:color="000000"/>
              <w:left w:val="single" w:sz="4" w:space="0" w:color="000000"/>
              <w:bottom w:val="single" w:sz="4" w:space="0" w:color="000000"/>
              <w:right w:val="single" w:sz="4" w:space="0" w:color="000000"/>
            </w:tcBorders>
          </w:tcPr>
          <w:p w14:paraId="7ADC30A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Les scénarios listés à l’exigence EX-F-02, plus les cas de données manquantes.</w:t>
            </w:r>
          </w:p>
        </w:tc>
        <w:tc>
          <w:tcPr>
            <w:tcW w:w="2657" w:type="dxa"/>
            <w:tcBorders>
              <w:top w:val="single" w:sz="4" w:space="0" w:color="000000"/>
              <w:left w:val="single" w:sz="4" w:space="0" w:color="000000"/>
              <w:bottom w:val="single" w:sz="4" w:space="0" w:color="000000"/>
              <w:right w:val="single" w:sz="4" w:space="0" w:color="000000"/>
            </w:tcBorders>
          </w:tcPr>
          <w:p w14:paraId="6C44A1F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 scénario non listé, en particulier les transitoires accidentels.</w:t>
            </w:r>
          </w:p>
        </w:tc>
      </w:tr>
    </w:tbl>
    <w:p w14:paraId="4AF6A070" w14:textId="77777777" w:rsidR="00F50D70" w:rsidRPr="00BE4F47" w:rsidRDefault="00000000" w:rsidP="008E113B">
      <w:pPr>
        <w:spacing w:after="130" w:line="360" w:lineRule="auto"/>
        <w:ind w:left="360"/>
        <w:rPr>
          <w:rFonts w:ascii="Aptos" w:hAnsi="Aptos"/>
        </w:rPr>
      </w:pPr>
      <w:bookmarkStart w:id="115" w:name="_Toc241082857"/>
      <w:r w:rsidRPr="00BE4F47">
        <w:rPr>
          <w:rFonts w:ascii="Aptos" w:eastAsia="Calibri" w:hAnsi="Aptos" w:cs="Calibri"/>
          <w:color w:val="1A1A19"/>
          <w:sz w:val="20"/>
          <w:szCs w:val="20"/>
        </w:rPr>
        <w:t>Ce domaine est repris dans la recommandation d’ingénierie du livrable L08 et conditionne l’acceptation de l’ensemble. Il répond à l’exigence EX-C-01 et au risque RT4. L’</w:t>
      </w:r>
      <w:proofErr w:type="spellStart"/>
      <w:r w:rsidRPr="00BE4F47">
        <w:rPr>
          <w:rFonts w:ascii="Aptos" w:eastAsia="Calibri" w:hAnsi="Aptos" w:cs="Calibri"/>
          <w:color w:val="1A1A19"/>
          <w:sz w:val="20"/>
          <w:szCs w:val="20"/>
        </w:rPr>
        <w:t>énoncer</w:t>
      </w:r>
      <w:proofErr w:type="spellEnd"/>
      <w:r w:rsidRPr="00BE4F47">
        <w:rPr>
          <w:rFonts w:ascii="Aptos" w:eastAsia="Calibri" w:hAnsi="Aptos" w:cs="Calibri"/>
          <w:color w:val="1A1A19"/>
          <w:sz w:val="20"/>
          <w:szCs w:val="20"/>
        </w:rPr>
        <w:t xml:space="preserve"> est une obligation professionnelle : livrer un outil sans dire où il cesse d’être valide reviendrait à en laisser l’usage se décider sans information.</w:t>
      </w:r>
      <w:bookmarkEnd w:id="115"/>
    </w:p>
    <w:p w14:paraId="7275B928" w14:textId="77777777" w:rsidR="00F50D70" w:rsidRPr="00136F18" w:rsidRDefault="00000000" w:rsidP="008E113B">
      <w:pPr>
        <w:pStyle w:val="Titre2"/>
        <w:spacing w:line="360" w:lineRule="auto"/>
      </w:pPr>
      <w:bookmarkStart w:id="116" w:name="__RefHeading___Toc240715115"/>
      <w:bookmarkStart w:id="117" w:name="_Toc241082858"/>
      <w:bookmarkEnd w:id="116"/>
      <w:r w:rsidRPr="00136F18">
        <w:t>Exclusions</w:t>
      </w:r>
      <w:bookmarkEnd w:id="117"/>
    </w:p>
    <w:p w14:paraId="294D36E2" w14:textId="77777777" w:rsidR="00F50D70" w:rsidRPr="00BE4F47" w:rsidRDefault="00000000" w:rsidP="008E113B">
      <w:pPr>
        <w:spacing w:after="130" w:line="360" w:lineRule="auto"/>
        <w:ind w:left="425"/>
        <w:rPr>
          <w:rFonts w:ascii="Aptos" w:hAnsi="Aptos"/>
        </w:rPr>
      </w:pPr>
      <w:bookmarkStart w:id="118" w:name="_Toc241082859"/>
      <w:r w:rsidRPr="00BE4F47">
        <w:rPr>
          <w:rFonts w:ascii="Aptos" w:eastAsia="Calibri" w:hAnsi="Aptos" w:cs="Calibri"/>
          <w:color w:val="1A1A19"/>
          <w:sz w:val="20"/>
          <w:szCs w:val="20"/>
        </w:rPr>
        <w:t>Ne font pas partie des livrables : la reproduction complète de Gentilly-2, un système destiné à être installé sur une centrale nucléaire réelle, la connexion à des équipements réels, et la commande automatique de l’installation. Ces exclusions correspondent aux exigences de périmètre EX-C-02 et au périmètre défini en 1.5.</w:t>
      </w:r>
      <w:bookmarkEnd w:id="118"/>
    </w:p>
    <w:p w14:paraId="123F3F9D" w14:textId="77777777" w:rsidR="00F50D70" w:rsidRPr="00136F18" w:rsidRDefault="00000000" w:rsidP="008E113B">
      <w:pPr>
        <w:pStyle w:val="Titre1"/>
        <w:spacing w:line="360" w:lineRule="auto"/>
      </w:pPr>
      <w:bookmarkStart w:id="119" w:name="__RefHeading___Toc240715117"/>
      <w:bookmarkStart w:id="120" w:name="_Toc241082860"/>
      <w:r w:rsidRPr="00136F18">
        <w:t>Description de l’équipe</w:t>
      </w:r>
      <w:bookmarkEnd w:id="119"/>
      <w:bookmarkEnd w:id="120"/>
      <w:r w:rsidRPr="00136F18">
        <w:t xml:space="preserve"> </w:t>
      </w:r>
    </w:p>
    <w:p w14:paraId="1F7836C4" w14:textId="77777777" w:rsidR="00F50D70" w:rsidRPr="00BE4F47" w:rsidRDefault="005E5B35" w:rsidP="008E113B">
      <w:pPr>
        <w:spacing w:after="130" w:line="360" w:lineRule="auto"/>
        <w:ind w:left="360"/>
        <w:rPr>
          <w:rFonts w:ascii="Aptos" w:hAnsi="Aptos"/>
        </w:rPr>
      </w:pPr>
      <w:bookmarkStart w:id="121" w:name="_Toc241082861"/>
      <w:r w:rsidRPr="005E5B35">
        <w:rPr>
          <w:rFonts w:ascii="Aptos" w:eastAsia="Calibri" w:hAnsi="Aptos" w:cs="Calibri"/>
          <w:color w:val="1A1A19"/>
          <w:sz w:val="20"/>
          <w:szCs w:val="20"/>
        </w:rPr>
        <w:t>Le travail est réparti entre les huit membres du groupe. Chaque personne prend en charge un volet précis de la planification en fonction de ses points forts, assurant ainsi une couverture complète des exigences du projet.</w:t>
      </w:r>
      <w:bookmarkEnd w:id="121"/>
    </w:p>
    <w:p w14:paraId="61D9B0AD" w14:textId="77777777" w:rsidR="00F50D70" w:rsidRDefault="00000000" w:rsidP="008E113B">
      <w:pPr>
        <w:pStyle w:val="Titre2"/>
        <w:numPr>
          <w:ilvl w:val="0"/>
          <w:numId w:val="13"/>
        </w:numPr>
        <w:spacing w:line="360" w:lineRule="auto"/>
        <w:rPr>
          <w:rFonts w:ascii="Aptos" w:hAnsi="Aptos"/>
        </w:rPr>
      </w:pPr>
      <w:bookmarkStart w:id="122" w:name="__RefHeading___Toc240715118"/>
      <w:bookmarkStart w:id="123" w:name="_Toc241082862"/>
      <w:bookmarkEnd w:id="122"/>
      <w:r w:rsidRPr="00BE4F47">
        <w:rPr>
          <w:rFonts w:ascii="Aptos" w:hAnsi="Aptos"/>
        </w:rPr>
        <w:t>Composition de l’équipe</w:t>
      </w:r>
      <w:r w:rsidR="005E5B35">
        <w:rPr>
          <w:rFonts w:ascii="Aptos" w:hAnsi="Aptos"/>
        </w:rPr>
        <w:t xml:space="preserve"> et d</w:t>
      </w:r>
      <w:r w:rsidR="005E5B35" w:rsidRPr="005E5B35">
        <w:rPr>
          <w:rFonts w:ascii="Aptos" w:hAnsi="Aptos"/>
        </w:rPr>
        <w:t>escription des compétences de chaque membre</w:t>
      </w:r>
      <w:bookmarkEnd w:id="123"/>
    </w:p>
    <w:p w14:paraId="775BD4E1" w14:textId="77777777" w:rsidR="008E113B" w:rsidRPr="008E113B" w:rsidRDefault="008E113B" w:rsidP="008E113B">
      <w:pPr>
        <w:spacing w:line="360" w:lineRule="auto"/>
        <w:ind w:left="360"/>
        <w:rPr>
          <w:rFonts w:ascii="Aptos" w:eastAsia="Calibri" w:hAnsi="Aptos" w:cs="Calibri"/>
          <w:b/>
          <w:bCs/>
          <w:color w:val="1A1A19"/>
          <w:sz w:val="20"/>
          <w:szCs w:val="20"/>
        </w:rPr>
      </w:pPr>
      <w:bookmarkStart w:id="124" w:name="_Toc241082863"/>
      <w:r w:rsidRPr="008E113B">
        <w:rPr>
          <w:rFonts w:ascii="Aptos" w:eastAsia="Calibri" w:hAnsi="Aptos" w:cs="Calibri"/>
          <w:b/>
          <w:bCs/>
          <w:color w:val="1A1A19"/>
          <w:sz w:val="20"/>
          <w:szCs w:val="20"/>
        </w:rPr>
        <w:t>Christian</w:t>
      </w:r>
      <w:bookmarkEnd w:id="124"/>
    </w:p>
    <w:p w14:paraId="1902BB7E" w14:textId="77777777" w:rsidR="008E113B" w:rsidRDefault="008E113B" w:rsidP="008E113B">
      <w:pPr>
        <w:spacing w:line="360" w:lineRule="auto"/>
        <w:ind w:left="360"/>
        <w:rPr>
          <w:rFonts w:ascii="Aptos" w:eastAsia="Calibri" w:hAnsi="Aptos" w:cs="Calibri"/>
          <w:color w:val="1A1A19"/>
          <w:sz w:val="20"/>
          <w:szCs w:val="20"/>
        </w:rPr>
      </w:pPr>
      <w:bookmarkStart w:id="125" w:name="_Toc241082864"/>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agit comme coordonnateur général de l'équipe et prend en charge la structure globale, les ressources, l'échéancier, le contrôle des versions et les références. Ses compétences reposent sur la coordination et l'animation d'équipe, la planification des calendriers de travail, l'estimation des besoins en ressources, la maîtrise des outils de </w:t>
      </w:r>
      <w:proofErr w:type="spellStart"/>
      <w:r w:rsidRPr="008E113B">
        <w:rPr>
          <w:rFonts w:ascii="Aptos" w:eastAsia="Calibri" w:hAnsi="Aptos" w:cs="Calibri"/>
          <w:color w:val="1A1A19"/>
          <w:sz w:val="20"/>
          <w:szCs w:val="20"/>
        </w:rPr>
        <w:t>versionnement</w:t>
      </w:r>
      <w:proofErr w:type="spellEnd"/>
      <w:r w:rsidRPr="008E113B">
        <w:rPr>
          <w:rFonts w:ascii="Aptos" w:eastAsia="Calibri" w:hAnsi="Aptos" w:cs="Calibri"/>
          <w:color w:val="1A1A19"/>
          <w:sz w:val="20"/>
          <w:szCs w:val="20"/>
        </w:rPr>
        <w:t xml:space="preserve"> de fichiers, ainsi que la recherche et la validation des références documentaires.</w:t>
      </w:r>
      <w:bookmarkEnd w:id="125"/>
    </w:p>
    <w:p w14:paraId="18DF9F14" w14:textId="77777777" w:rsidR="008E113B" w:rsidRPr="008E113B" w:rsidRDefault="008E113B" w:rsidP="008E113B">
      <w:pPr>
        <w:spacing w:line="360" w:lineRule="auto"/>
        <w:ind w:left="360"/>
        <w:rPr>
          <w:rFonts w:ascii="Aptos" w:eastAsia="Calibri" w:hAnsi="Aptos" w:cs="Calibri"/>
          <w:color w:val="1A1A19"/>
          <w:sz w:val="20"/>
          <w:szCs w:val="20"/>
        </w:rPr>
      </w:pPr>
    </w:p>
    <w:p w14:paraId="55E66E9F" w14:textId="77777777" w:rsidR="008E113B" w:rsidRPr="008E113B" w:rsidRDefault="008E113B" w:rsidP="008E113B">
      <w:pPr>
        <w:spacing w:line="360" w:lineRule="auto"/>
        <w:ind w:left="360"/>
        <w:rPr>
          <w:rFonts w:ascii="Aptos" w:eastAsia="Calibri" w:hAnsi="Aptos" w:cs="Calibri"/>
          <w:b/>
          <w:bCs/>
          <w:color w:val="1A1A19"/>
          <w:sz w:val="20"/>
          <w:szCs w:val="20"/>
        </w:rPr>
      </w:pPr>
      <w:bookmarkStart w:id="126" w:name="_Toc241082865"/>
      <w:r w:rsidRPr="008E113B">
        <w:rPr>
          <w:rFonts w:ascii="Aptos" w:eastAsia="Calibri" w:hAnsi="Aptos" w:cs="Calibri"/>
          <w:b/>
          <w:bCs/>
          <w:color w:val="1A1A19"/>
          <w:sz w:val="20"/>
          <w:szCs w:val="20"/>
        </w:rPr>
        <w:t>Abdramane</w:t>
      </w:r>
      <w:bookmarkEnd w:id="126"/>
    </w:p>
    <w:p w14:paraId="042EB7FC" w14:textId="77777777" w:rsidR="008E113B" w:rsidRDefault="008E113B" w:rsidP="008E113B">
      <w:pPr>
        <w:spacing w:line="360" w:lineRule="auto"/>
        <w:ind w:left="360"/>
        <w:rPr>
          <w:rFonts w:ascii="Aptos" w:eastAsia="Calibri" w:hAnsi="Aptos" w:cs="Calibri"/>
          <w:color w:val="1A1A19"/>
          <w:sz w:val="20"/>
          <w:szCs w:val="20"/>
        </w:rPr>
      </w:pPr>
      <w:bookmarkStart w:id="127" w:name="_Toc241082866"/>
      <w:r w:rsidRPr="008E113B">
        <w:rPr>
          <w:rFonts w:ascii="Aptos" w:eastAsia="Calibri" w:hAnsi="Aptos" w:cs="Calibri"/>
          <w:color w:val="1A1A19"/>
          <w:sz w:val="20"/>
          <w:szCs w:val="20"/>
        </w:rPr>
        <w:lastRenderedPageBreak/>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assume le rôle de responsable de la description organisationnelle de l'équipe et de co-rédacteur de l'état de l'art. Il met à profit ses compétences en rédaction technique, en analyse documentaire, son esprit de synthèse ainsi que ses aptitudes en organisation et structuration des rôles.</w:t>
      </w:r>
      <w:bookmarkEnd w:id="127"/>
    </w:p>
    <w:p w14:paraId="0F54F972" w14:textId="77777777" w:rsidR="008E113B" w:rsidRPr="008E113B" w:rsidRDefault="008E113B" w:rsidP="008E113B">
      <w:pPr>
        <w:spacing w:line="360" w:lineRule="auto"/>
        <w:ind w:left="360"/>
        <w:rPr>
          <w:rFonts w:ascii="Aptos" w:eastAsia="Calibri" w:hAnsi="Aptos" w:cs="Calibri"/>
          <w:color w:val="1A1A19"/>
          <w:sz w:val="20"/>
          <w:szCs w:val="20"/>
        </w:rPr>
      </w:pPr>
    </w:p>
    <w:p w14:paraId="49F2350C" w14:textId="77777777" w:rsidR="008E113B" w:rsidRPr="008E113B" w:rsidRDefault="008E113B" w:rsidP="008E113B">
      <w:pPr>
        <w:spacing w:line="360" w:lineRule="auto"/>
        <w:ind w:left="360"/>
        <w:rPr>
          <w:rFonts w:ascii="Aptos" w:eastAsia="Calibri" w:hAnsi="Aptos" w:cs="Calibri"/>
          <w:b/>
          <w:bCs/>
          <w:color w:val="1A1A19"/>
          <w:sz w:val="20"/>
          <w:szCs w:val="20"/>
        </w:rPr>
      </w:pPr>
      <w:bookmarkStart w:id="128" w:name="_Toc241082867"/>
      <w:r w:rsidRPr="008E113B">
        <w:rPr>
          <w:rFonts w:ascii="Aptos" w:eastAsia="Calibri" w:hAnsi="Aptos" w:cs="Calibri"/>
          <w:b/>
          <w:bCs/>
          <w:color w:val="1A1A19"/>
          <w:sz w:val="20"/>
          <w:szCs w:val="20"/>
        </w:rPr>
        <w:t>Ibrahima</w:t>
      </w:r>
      <w:bookmarkEnd w:id="128"/>
    </w:p>
    <w:p w14:paraId="6BE9F4C2" w14:textId="77777777" w:rsidR="008E113B" w:rsidRDefault="008E113B" w:rsidP="008E113B">
      <w:pPr>
        <w:spacing w:line="360" w:lineRule="auto"/>
        <w:ind w:left="360"/>
        <w:rPr>
          <w:rFonts w:ascii="Aptos" w:eastAsia="Calibri" w:hAnsi="Aptos" w:cs="Calibri"/>
          <w:color w:val="1A1A19"/>
          <w:sz w:val="20"/>
          <w:szCs w:val="20"/>
        </w:rPr>
      </w:pPr>
      <w:bookmarkStart w:id="129" w:name="_Toc241082868"/>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est le responsable du cadrage des besoins et de la définition des livrables. Ses compétences s'articulent autour de l'écoute et de l'analyse des exigences des utilisateurs, de la formalisation des besoins fonctionnels et d'une grande rigueur dans la spécification des résultats attendus.</w:t>
      </w:r>
      <w:bookmarkEnd w:id="129"/>
    </w:p>
    <w:p w14:paraId="095FA9CB" w14:textId="77777777" w:rsidR="008E113B" w:rsidRPr="008E113B" w:rsidRDefault="008E113B" w:rsidP="008E113B">
      <w:pPr>
        <w:spacing w:line="360" w:lineRule="auto"/>
        <w:ind w:left="360"/>
        <w:rPr>
          <w:rFonts w:ascii="Aptos" w:eastAsia="Calibri" w:hAnsi="Aptos" w:cs="Calibri"/>
          <w:color w:val="1A1A19"/>
          <w:sz w:val="20"/>
          <w:szCs w:val="20"/>
        </w:rPr>
      </w:pPr>
    </w:p>
    <w:p w14:paraId="36019934" w14:textId="77777777" w:rsidR="008E113B" w:rsidRPr="008E113B" w:rsidRDefault="008E113B" w:rsidP="008E113B">
      <w:pPr>
        <w:spacing w:line="360" w:lineRule="auto"/>
        <w:ind w:left="360"/>
        <w:rPr>
          <w:rFonts w:ascii="Aptos" w:eastAsia="Calibri" w:hAnsi="Aptos" w:cs="Calibri"/>
          <w:b/>
          <w:bCs/>
          <w:color w:val="1A1A19"/>
          <w:sz w:val="20"/>
          <w:szCs w:val="20"/>
        </w:rPr>
      </w:pPr>
      <w:bookmarkStart w:id="130" w:name="_Toc241082869"/>
      <w:r w:rsidRPr="008E113B">
        <w:rPr>
          <w:rFonts w:ascii="Aptos" w:eastAsia="Calibri" w:hAnsi="Aptos" w:cs="Calibri"/>
          <w:b/>
          <w:bCs/>
          <w:color w:val="1A1A19"/>
          <w:sz w:val="20"/>
          <w:szCs w:val="20"/>
        </w:rPr>
        <w:t>Rayane</w:t>
      </w:r>
      <w:bookmarkEnd w:id="130"/>
    </w:p>
    <w:p w14:paraId="765F2C2A" w14:textId="77777777" w:rsidR="008E113B" w:rsidRDefault="008E113B" w:rsidP="008E113B">
      <w:pPr>
        <w:spacing w:line="360" w:lineRule="auto"/>
        <w:ind w:left="360"/>
        <w:rPr>
          <w:rFonts w:ascii="Aptos" w:eastAsia="Calibri" w:hAnsi="Aptos" w:cs="Calibri"/>
          <w:color w:val="1A1A19"/>
          <w:sz w:val="20"/>
          <w:szCs w:val="20"/>
        </w:rPr>
      </w:pPr>
      <w:bookmarkStart w:id="131" w:name="_Toc241082870"/>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intervient comme responsable de la recherche et de la veille technologique pour l'état de l'art. Il s'appuie sur de solides compétences en recherche bibliographique, en analyse comparative des solutions existantes sur le marché et sur son esprit critique.</w:t>
      </w:r>
      <w:bookmarkEnd w:id="131"/>
    </w:p>
    <w:p w14:paraId="3C2E4404" w14:textId="77777777" w:rsidR="008E113B" w:rsidRDefault="008E113B" w:rsidP="008E113B">
      <w:pPr>
        <w:spacing w:line="360" w:lineRule="auto"/>
        <w:ind w:left="360"/>
        <w:rPr>
          <w:rFonts w:ascii="Aptos" w:eastAsia="Calibri" w:hAnsi="Aptos" w:cs="Calibri"/>
          <w:color w:val="1A1A19"/>
          <w:sz w:val="20"/>
          <w:szCs w:val="20"/>
        </w:rPr>
      </w:pPr>
    </w:p>
    <w:p w14:paraId="55F41190" w14:textId="77777777" w:rsidR="008E113B" w:rsidRPr="008E113B" w:rsidRDefault="008E113B" w:rsidP="008E113B">
      <w:pPr>
        <w:spacing w:line="360" w:lineRule="auto"/>
        <w:ind w:left="360"/>
        <w:rPr>
          <w:rFonts w:ascii="Aptos" w:eastAsia="Calibri" w:hAnsi="Aptos" w:cs="Calibri"/>
          <w:color w:val="1A1A19"/>
          <w:sz w:val="20"/>
          <w:szCs w:val="20"/>
        </w:rPr>
      </w:pPr>
    </w:p>
    <w:p w14:paraId="0F529F6D" w14:textId="77777777" w:rsidR="008E113B" w:rsidRPr="008E113B" w:rsidRDefault="008E113B" w:rsidP="008E113B">
      <w:pPr>
        <w:spacing w:line="360" w:lineRule="auto"/>
        <w:ind w:left="360"/>
        <w:rPr>
          <w:rFonts w:ascii="Aptos" w:eastAsia="Calibri" w:hAnsi="Aptos" w:cs="Calibri"/>
          <w:b/>
          <w:bCs/>
          <w:color w:val="1A1A19"/>
          <w:sz w:val="20"/>
          <w:szCs w:val="20"/>
        </w:rPr>
      </w:pPr>
      <w:bookmarkStart w:id="132" w:name="_Toc241082871"/>
      <w:r w:rsidRPr="008E113B">
        <w:rPr>
          <w:rFonts w:ascii="Aptos" w:eastAsia="Calibri" w:hAnsi="Aptos" w:cs="Calibri"/>
          <w:b/>
          <w:bCs/>
          <w:color w:val="1A1A19"/>
          <w:sz w:val="20"/>
          <w:szCs w:val="20"/>
        </w:rPr>
        <w:t>Raouf</w:t>
      </w:r>
      <w:bookmarkEnd w:id="132"/>
    </w:p>
    <w:p w14:paraId="6FBAD177" w14:textId="77777777" w:rsidR="008E113B" w:rsidRDefault="008E113B" w:rsidP="008E113B">
      <w:pPr>
        <w:spacing w:line="360" w:lineRule="auto"/>
        <w:ind w:left="360"/>
        <w:rPr>
          <w:rFonts w:ascii="Aptos" w:eastAsia="Calibri" w:hAnsi="Aptos" w:cs="Calibri"/>
          <w:color w:val="1A1A19"/>
          <w:sz w:val="20"/>
          <w:szCs w:val="20"/>
        </w:rPr>
      </w:pPr>
      <w:bookmarkStart w:id="133" w:name="_Toc241082872"/>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est responsable du volet réglementaire et des standards du projet. Il mobilise ses compétences dans la recherche et l'interprétation des normes industrielles, la rigueur d'analyse des critères de conformité et le contrôle de la qualité.</w:t>
      </w:r>
      <w:bookmarkEnd w:id="133"/>
    </w:p>
    <w:p w14:paraId="6D02BD43" w14:textId="77777777" w:rsidR="008E113B" w:rsidRPr="008E113B" w:rsidRDefault="008E113B" w:rsidP="008E113B">
      <w:pPr>
        <w:spacing w:line="360" w:lineRule="auto"/>
        <w:ind w:left="360"/>
        <w:rPr>
          <w:rFonts w:ascii="Aptos" w:eastAsia="Calibri" w:hAnsi="Aptos" w:cs="Calibri"/>
          <w:color w:val="1A1A19"/>
          <w:sz w:val="20"/>
          <w:szCs w:val="20"/>
        </w:rPr>
      </w:pPr>
    </w:p>
    <w:p w14:paraId="1D239712" w14:textId="77777777" w:rsidR="008E113B" w:rsidRPr="008E113B" w:rsidRDefault="008E113B" w:rsidP="008E113B">
      <w:pPr>
        <w:spacing w:line="360" w:lineRule="auto"/>
        <w:ind w:left="360"/>
        <w:rPr>
          <w:rFonts w:ascii="Aptos" w:eastAsia="Calibri" w:hAnsi="Aptos" w:cs="Calibri"/>
          <w:b/>
          <w:bCs/>
          <w:color w:val="1A1A19"/>
          <w:sz w:val="20"/>
          <w:szCs w:val="20"/>
        </w:rPr>
      </w:pPr>
      <w:bookmarkStart w:id="134" w:name="_Toc241082873"/>
      <w:r w:rsidRPr="008E113B">
        <w:rPr>
          <w:rFonts w:ascii="Aptos" w:eastAsia="Calibri" w:hAnsi="Aptos" w:cs="Calibri"/>
          <w:b/>
          <w:bCs/>
          <w:color w:val="1A1A19"/>
          <w:sz w:val="20"/>
          <w:szCs w:val="20"/>
        </w:rPr>
        <w:t>Wilson</w:t>
      </w:r>
      <w:bookmarkEnd w:id="134"/>
    </w:p>
    <w:p w14:paraId="79675E62" w14:textId="77777777" w:rsidR="008E113B" w:rsidRDefault="008E113B" w:rsidP="008E113B">
      <w:pPr>
        <w:spacing w:line="360" w:lineRule="auto"/>
        <w:ind w:left="360"/>
        <w:rPr>
          <w:rFonts w:ascii="Aptos" w:eastAsia="Calibri" w:hAnsi="Aptos" w:cs="Calibri"/>
          <w:color w:val="1A1A19"/>
          <w:sz w:val="20"/>
          <w:szCs w:val="20"/>
        </w:rPr>
      </w:pPr>
      <w:bookmarkStart w:id="135" w:name="_Toc241082874"/>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agit en tant que responsable de l'estimation préliminaire des coûts et de l'élaboration du budget. Ses atouts reposent sur le chiffrage financier, le calcul prévisionnel des coûts, la rigueur budgétaire et l'analyse de viabilité économique.</w:t>
      </w:r>
      <w:bookmarkEnd w:id="135"/>
    </w:p>
    <w:p w14:paraId="0D9CD56F" w14:textId="77777777" w:rsidR="008E113B" w:rsidRPr="008E113B" w:rsidRDefault="008E113B" w:rsidP="008E113B">
      <w:pPr>
        <w:spacing w:line="360" w:lineRule="auto"/>
        <w:ind w:left="360"/>
        <w:rPr>
          <w:rFonts w:ascii="Aptos" w:eastAsia="Calibri" w:hAnsi="Aptos" w:cs="Calibri"/>
          <w:color w:val="1A1A19"/>
          <w:sz w:val="20"/>
          <w:szCs w:val="20"/>
        </w:rPr>
      </w:pPr>
    </w:p>
    <w:p w14:paraId="54B4B24E" w14:textId="77777777" w:rsidR="008E113B" w:rsidRPr="008E113B" w:rsidRDefault="008E113B" w:rsidP="008E113B">
      <w:pPr>
        <w:spacing w:line="360" w:lineRule="auto"/>
        <w:ind w:left="360"/>
        <w:rPr>
          <w:rFonts w:ascii="Aptos" w:eastAsia="Calibri" w:hAnsi="Aptos" w:cs="Calibri"/>
          <w:b/>
          <w:bCs/>
          <w:color w:val="1A1A19"/>
          <w:sz w:val="20"/>
          <w:szCs w:val="20"/>
        </w:rPr>
      </w:pPr>
      <w:bookmarkStart w:id="136" w:name="_Toc241082875"/>
      <w:r w:rsidRPr="008E113B">
        <w:rPr>
          <w:rFonts w:ascii="Aptos" w:eastAsia="Calibri" w:hAnsi="Aptos" w:cs="Calibri"/>
          <w:b/>
          <w:bCs/>
          <w:color w:val="1A1A19"/>
          <w:sz w:val="20"/>
          <w:szCs w:val="20"/>
        </w:rPr>
        <w:t>Sidiki</w:t>
      </w:r>
      <w:bookmarkEnd w:id="136"/>
    </w:p>
    <w:p w14:paraId="33292FE8" w14:textId="77777777" w:rsidR="008E113B" w:rsidRDefault="008E113B" w:rsidP="008E113B">
      <w:pPr>
        <w:spacing w:line="360" w:lineRule="auto"/>
        <w:ind w:left="360"/>
        <w:rPr>
          <w:rFonts w:ascii="Aptos" w:eastAsia="Calibri" w:hAnsi="Aptos" w:cs="Calibri"/>
          <w:color w:val="1A1A19"/>
          <w:sz w:val="20"/>
          <w:szCs w:val="20"/>
        </w:rPr>
      </w:pPr>
      <w:bookmarkStart w:id="137" w:name="_Toc241082876"/>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a la charge de l'analyse des impacts, de la gestion des risques et de la modélisation conceptuelle. Ses compétences couvrent l'évaluation d'impacts, l'identification proactive des risques de projet, l'élaboration de plans d'atténuation ainsi que la modélisation à l'aide de diagrammes UML.</w:t>
      </w:r>
      <w:bookmarkEnd w:id="137"/>
    </w:p>
    <w:p w14:paraId="4E1F9B64" w14:textId="77777777" w:rsidR="008E113B" w:rsidRPr="008E113B" w:rsidRDefault="008E113B" w:rsidP="008E113B">
      <w:pPr>
        <w:spacing w:line="360" w:lineRule="auto"/>
        <w:ind w:left="360"/>
        <w:rPr>
          <w:rFonts w:ascii="Aptos" w:eastAsia="Calibri" w:hAnsi="Aptos" w:cs="Calibri"/>
          <w:color w:val="1A1A19"/>
          <w:sz w:val="20"/>
          <w:szCs w:val="20"/>
        </w:rPr>
      </w:pPr>
    </w:p>
    <w:p w14:paraId="2D992971" w14:textId="77777777" w:rsidR="008E113B" w:rsidRPr="008E113B" w:rsidRDefault="008E113B" w:rsidP="008E113B">
      <w:pPr>
        <w:spacing w:line="360" w:lineRule="auto"/>
        <w:ind w:left="360"/>
        <w:rPr>
          <w:rFonts w:ascii="Aptos" w:eastAsia="Calibri" w:hAnsi="Aptos" w:cs="Calibri"/>
          <w:b/>
          <w:bCs/>
          <w:color w:val="1A1A19"/>
          <w:sz w:val="20"/>
          <w:szCs w:val="20"/>
        </w:rPr>
      </w:pPr>
      <w:bookmarkStart w:id="138" w:name="_Toc241082877"/>
      <w:r w:rsidRPr="008E113B">
        <w:rPr>
          <w:rFonts w:ascii="Aptos" w:eastAsia="Calibri" w:hAnsi="Aptos" w:cs="Calibri"/>
          <w:b/>
          <w:bCs/>
          <w:color w:val="1A1A19"/>
          <w:sz w:val="20"/>
          <w:szCs w:val="20"/>
        </w:rPr>
        <w:t>Jérémie</w:t>
      </w:r>
      <w:bookmarkEnd w:id="138"/>
    </w:p>
    <w:p w14:paraId="67D78CEB" w14:textId="77777777" w:rsidR="008E113B" w:rsidRPr="008E113B" w:rsidRDefault="008E113B" w:rsidP="008E113B">
      <w:pPr>
        <w:spacing w:line="360" w:lineRule="auto"/>
        <w:ind w:left="360"/>
        <w:rPr>
          <w:rFonts w:ascii="Aptos" w:eastAsia="Calibri" w:hAnsi="Aptos" w:cs="Calibri"/>
          <w:color w:val="1A1A19"/>
          <w:sz w:val="20"/>
          <w:szCs w:val="20"/>
        </w:rPr>
      </w:pPr>
      <w:bookmarkStart w:id="139" w:name="_Toc241082878"/>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est responsable de la modélisation visuelle de l'échéancier et du calendrier. Il met à contribution sa maîtrise d'outils de planification tels que </w:t>
      </w:r>
      <w:proofErr w:type="spellStart"/>
      <w:r w:rsidRPr="008E113B">
        <w:rPr>
          <w:rFonts w:ascii="Aptos" w:eastAsia="Calibri" w:hAnsi="Aptos" w:cs="Calibri"/>
          <w:color w:val="1A1A19"/>
          <w:sz w:val="20"/>
          <w:szCs w:val="20"/>
        </w:rPr>
        <w:lastRenderedPageBreak/>
        <w:t>GanttProject</w:t>
      </w:r>
      <w:proofErr w:type="spellEnd"/>
      <w:r w:rsidRPr="008E113B">
        <w:rPr>
          <w:rFonts w:ascii="Aptos" w:eastAsia="Calibri" w:hAnsi="Aptos" w:cs="Calibri"/>
          <w:color w:val="1A1A19"/>
          <w:sz w:val="20"/>
          <w:szCs w:val="20"/>
        </w:rPr>
        <w:t>, son sens de l'ordonnancement logique des activités et sa capacité de synthèse pour l'état de l'art.</w:t>
      </w:r>
      <w:bookmarkEnd w:id="139"/>
    </w:p>
    <w:p w14:paraId="53460E67" w14:textId="77777777" w:rsidR="00F50D70" w:rsidRPr="00BE4F47" w:rsidRDefault="00000000" w:rsidP="008E113B">
      <w:pPr>
        <w:pStyle w:val="Titre2"/>
        <w:numPr>
          <w:ilvl w:val="0"/>
          <w:numId w:val="13"/>
        </w:numPr>
        <w:spacing w:line="360" w:lineRule="auto"/>
        <w:rPr>
          <w:rFonts w:ascii="Aptos" w:hAnsi="Aptos"/>
        </w:rPr>
      </w:pPr>
      <w:bookmarkStart w:id="140" w:name="__RefHeading___Toc240715119"/>
      <w:bookmarkStart w:id="141" w:name="_Toc241082879"/>
      <w:r w:rsidRPr="00BE4F47">
        <w:rPr>
          <w:rFonts w:ascii="Aptos" w:hAnsi="Aptos"/>
        </w:rPr>
        <w:t>Rôles et responsabilités</w:t>
      </w:r>
      <w:bookmarkEnd w:id="140"/>
      <w:bookmarkEnd w:id="141"/>
      <w:r w:rsidRPr="00BE4F47">
        <w:rPr>
          <w:rFonts w:ascii="Aptos" w:hAnsi="Aptos"/>
        </w:rPr>
        <w:t xml:space="preserve"> </w:t>
      </w:r>
    </w:p>
    <w:p w14:paraId="41A368FF" w14:textId="77777777" w:rsidR="00BE4F47" w:rsidRPr="00BE4F47" w:rsidRDefault="00BE4F47" w:rsidP="008E113B">
      <w:pPr>
        <w:spacing w:line="360" w:lineRule="auto"/>
      </w:pPr>
    </w:p>
    <w:p w14:paraId="34FFE7D6" w14:textId="77777777" w:rsidR="00F50D70" w:rsidRPr="00BE4F47" w:rsidRDefault="00000000" w:rsidP="008E113B">
      <w:pPr>
        <w:spacing w:after="130" w:line="360" w:lineRule="auto"/>
        <w:ind w:left="360"/>
        <w:rPr>
          <w:rFonts w:ascii="Aptos" w:hAnsi="Aptos"/>
        </w:rPr>
      </w:pPr>
      <w:bookmarkStart w:id="142" w:name="_Toc241082880"/>
      <w:r w:rsidRPr="00BE4F47">
        <w:rPr>
          <w:rFonts w:ascii="Aptos" w:eastAsia="Calibri" w:hAnsi="Aptos" w:cs="Calibri"/>
          <w:color w:val="1A1A19"/>
          <w:sz w:val="20"/>
          <w:szCs w:val="20"/>
        </w:rPr>
        <w:t xml:space="preserve">La matrice RACI ci-dessous indique pour chaque tâche du plan qui est responsable de la produire, qui l’approuve, qui est consulté et qui est informé. Quatre lettres sont employées : R pour responsable, A pour approbateur, C pour </w:t>
      </w:r>
      <w:proofErr w:type="gramStart"/>
      <w:r w:rsidRPr="00BE4F47">
        <w:rPr>
          <w:rFonts w:ascii="Aptos" w:eastAsia="Calibri" w:hAnsi="Aptos" w:cs="Calibri"/>
          <w:color w:val="1A1A19"/>
          <w:sz w:val="20"/>
          <w:szCs w:val="20"/>
        </w:rPr>
        <w:t>consulté</w:t>
      </w:r>
      <w:proofErr w:type="gramEnd"/>
      <w:r w:rsidRPr="00BE4F47">
        <w:rPr>
          <w:rFonts w:ascii="Aptos" w:eastAsia="Calibri" w:hAnsi="Aptos" w:cs="Calibri"/>
          <w:color w:val="1A1A19"/>
          <w:sz w:val="20"/>
          <w:szCs w:val="20"/>
        </w:rPr>
        <w:t xml:space="preserve">, I pour </w:t>
      </w:r>
      <w:proofErr w:type="spellStart"/>
      <w:proofErr w:type="gramStart"/>
      <w:r w:rsidRPr="00BE4F47">
        <w:rPr>
          <w:rFonts w:ascii="Aptos" w:eastAsia="Calibri" w:hAnsi="Aptos" w:cs="Calibri"/>
          <w:color w:val="1A1A19"/>
          <w:sz w:val="20"/>
          <w:szCs w:val="20"/>
        </w:rPr>
        <w:t>informé</w:t>
      </w:r>
      <w:proofErr w:type="spellEnd"/>
      <w:proofErr w:type="gramEnd"/>
      <w:r w:rsidRPr="00BE4F47">
        <w:rPr>
          <w:rFonts w:ascii="Aptos" w:eastAsia="Calibri" w:hAnsi="Aptos" w:cs="Calibri"/>
          <w:color w:val="1A1A19"/>
          <w:sz w:val="20"/>
          <w:szCs w:val="20"/>
        </w:rPr>
        <w:t>.</w:t>
      </w:r>
      <w:bookmarkEnd w:id="142"/>
    </w:p>
    <w:p w14:paraId="586DD77B" w14:textId="77777777" w:rsidR="00F50D70" w:rsidRPr="00BE4F47" w:rsidRDefault="00000000" w:rsidP="008E113B">
      <w:pPr>
        <w:spacing w:after="130" w:line="360" w:lineRule="auto"/>
        <w:ind w:left="360"/>
        <w:rPr>
          <w:rFonts w:ascii="Aptos" w:hAnsi="Aptos"/>
        </w:rPr>
      </w:pPr>
      <w:bookmarkStart w:id="143" w:name="_Toc241082881"/>
      <w:r w:rsidRPr="00BE4F47">
        <w:rPr>
          <w:rFonts w:ascii="Aptos" w:eastAsia="Calibri" w:hAnsi="Aptos" w:cs="Calibri"/>
          <w:color w:val="1A1A19"/>
          <w:sz w:val="20"/>
          <w:szCs w:val="20"/>
        </w:rPr>
        <w:t>Une règle tient l’ensemble : une tâche n’a qu’un seul responsable et qu’un seul approbateur. Le responsable produit, l’approbateur accepte. Les deux ne sont jamais la même personne sur une tâche donnée, ce qui rejoint la règle de relecture croisée de la section 4.</w:t>
      </w:r>
      <w:bookmarkEnd w:id="143"/>
    </w:p>
    <w:p w14:paraId="08F06241" w14:textId="77777777" w:rsidR="00F50D70" w:rsidRPr="00BE4F47" w:rsidRDefault="002A1CE1" w:rsidP="008E113B">
      <w:pPr>
        <w:pStyle w:val="Retraitcorpsdetexte3"/>
        <w:spacing w:line="360" w:lineRule="auto"/>
        <w:ind w:left="0" w:firstLine="0"/>
        <w:rPr>
          <w:rFonts w:ascii="Aptos" w:hAnsi="Aptos"/>
          <w:lang w:val="en-US" w:eastAsia="en-US"/>
        </w:rPr>
      </w:pPr>
      <w:bookmarkStart w:id="144" w:name="_Toc241082882"/>
      <w:r>
        <w:rPr>
          <w:rFonts w:ascii="Aptos" w:hAnsi="Aptos"/>
          <w:noProof/>
          <w:lang w:val="en-US" w:eastAsia="en-US"/>
        </w:rPr>
        <w:drawing>
          <wp:inline distT="0" distB="0" distL="0" distR="0" wp14:anchorId="76D65A0E" wp14:editId="2E5F0C5D">
            <wp:extent cx="5608320" cy="2872740"/>
            <wp:effectExtent l="0" t="0" r="0" b="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1">
                      <a:extLst>
                        <a:ext uri="{28A0092B-C50C-407E-A947-70E740481C1C}">
                          <a14:useLocalDpi xmlns:a14="http://schemas.microsoft.com/office/drawing/2010/main" val="0"/>
                        </a:ext>
                      </a:extLst>
                    </a:blip>
                    <a:srcRect l="-6" t="-12" r="-6" b="-12"/>
                    <a:stretch>
                      <a:fillRect/>
                    </a:stretch>
                  </pic:blipFill>
                  <pic:spPr bwMode="auto">
                    <a:xfrm>
                      <a:off x="0" y="0"/>
                      <a:ext cx="5608320" cy="2872740"/>
                    </a:xfrm>
                    <a:prstGeom prst="rect">
                      <a:avLst/>
                    </a:prstGeom>
                    <a:noFill/>
                    <a:ln>
                      <a:noFill/>
                    </a:ln>
                  </pic:spPr>
                </pic:pic>
              </a:graphicData>
            </a:graphic>
          </wp:inline>
        </w:drawing>
      </w:r>
      <w:bookmarkEnd w:id="144"/>
    </w:p>
    <w:p w14:paraId="08F5FF8E" w14:textId="77777777" w:rsidR="00F50D70" w:rsidRPr="00BE4F47" w:rsidRDefault="00000000" w:rsidP="008E113B">
      <w:pPr>
        <w:pStyle w:val="Lgende"/>
        <w:spacing w:line="360" w:lineRule="auto"/>
        <w:rPr>
          <w:rFonts w:ascii="Aptos" w:hAnsi="Aptos"/>
        </w:rPr>
      </w:pPr>
      <w:bookmarkStart w:id="145" w:name="_Toc241082883"/>
      <w:r w:rsidRPr="00BE4F47">
        <w:rPr>
          <w:rFonts w:ascii="Aptos" w:hAnsi="Aptos"/>
        </w:rPr>
        <w:t>Figure 3-1. Matrice RACI des tâches du plan de projet</w:t>
      </w:r>
      <w:bookmarkEnd w:id="145"/>
    </w:p>
    <w:p w14:paraId="605996F1" w14:textId="77777777" w:rsidR="00F50D70" w:rsidRPr="00BE4F47" w:rsidRDefault="00000000" w:rsidP="008E113B">
      <w:pPr>
        <w:pStyle w:val="Titre2"/>
        <w:spacing w:line="360" w:lineRule="auto"/>
        <w:rPr>
          <w:rFonts w:ascii="Aptos" w:hAnsi="Aptos"/>
        </w:rPr>
      </w:pPr>
      <w:bookmarkStart w:id="146" w:name="_Toc241082884"/>
      <w:r w:rsidRPr="00BE4F47">
        <w:rPr>
          <w:rFonts w:ascii="Aptos" w:hAnsi="Aptos"/>
        </w:rPr>
        <w:t>Parties prenantes du projet</w:t>
      </w:r>
      <w:bookmarkEnd w:id="146"/>
    </w:p>
    <w:p w14:paraId="680089C5" w14:textId="77777777" w:rsidR="00F50D70" w:rsidRPr="00BE4F47" w:rsidRDefault="00000000" w:rsidP="008E113B">
      <w:pPr>
        <w:spacing w:after="130" w:line="360" w:lineRule="auto"/>
        <w:ind w:left="360"/>
        <w:rPr>
          <w:rFonts w:ascii="Aptos" w:hAnsi="Aptos"/>
        </w:rPr>
      </w:pPr>
      <w:bookmarkStart w:id="147" w:name="_Toc241082885"/>
      <w:r w:rsidRPr="00BE4F47">
        <w:rPr>
          <w:rFonts w:ascii="Aptos" w:eastAsia="Calibri" w:hAnsi="Aptos" w:cs="Calibri"/>
          <w:color w:val="1A1A19"/>
          <w:sz w:val="20"/>
          <w:szCs w:val="20"/>
        </w:rPr>
        <w:t>Les cinq groupes de parties prenantes de la section 1 sont ceux qui portent une attente sur le système. Le tableau ci-dessous les complète par toutes les personnes qui interviennent dans la conduite du projet lui-même, y compris celles qui n’en sont pas demandeuses. Chaque ligne indique la position attendue, parce qu’une partie prenante neutre ou réservée demande une conduite différente d’une partie prenante acquise.</w:t>
      </w:r>
      <w:bookmarkEnd w:id="147"/>
    </w:p>
    <w:p w14:paraId="77B22BD2" w14:textId="77777777" w:rsidR="00F50D70" w:rsidRPr="00BE4F47" w:rsidRDefault="00000000" w:rsidP="008E113B">
      <w:pPr>
        <w:pStyle w:val="Lgende"/>
        <w:spacing w:line="360" w:lineRule="auto"/>
        <w:rPr>
          <w:rFonts w:ascii="Aptos" w:hAnsi="Aptos"/>
        </w:rPr>
      </w:pPr>
      <w:bookmarkStart w:id="148" w:name="_Toc241082886"/>
      <w:r w:rsidRPr="00BE4F47">
        <w:rPr>
          <w:rFonts w:ascii="Aptos" w:hAnsi="Aptos"/>
        </w:rPr>
        <w:t>Tableau 3-1. Parties prenantes, position attendue et conduite retenue</w:t>
      </w:r>
      <w:bookmarkEnd w:id="148"/>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900"/>
        <w:gridCol w:w="2200"/>
        <w:gridCol w:w="2200"/>
        <w:gridCol w:w="2257"/>
      </w:tblGrid>
      <w:tr w:rsidR="00F50D70" w:rsidRPr="00BE4F47" w14:paraId="298C393B" w14:textId="77777777" w:rsidTr="0036725C">
        <w:trPr>
          <w:trHeight w:val="227"/>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9480EA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Partie prenante</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C66DDC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Rôle dans le projet</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157159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Position attendue</w:t>
            </w:r>
          </w:p>
        </w:tc>
        <w:tc>
          <w:tcPr>
            <w:tcW w:w="22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4E3930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Conduite retenue</w:t>
            </w:r>
          </w:p>
        </w:tc>
      </w:tr>
      <w:tr w:rsidR="00F50D70" w:rsidRPr="00BE4F47" w14:paraId="54A5797A"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037C489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Client fictif, Hydro-Québec</w:t>
            </w:r>
          </w:p>
        </w:tc>
        <w:tc>
          <w:tcPr>
            <w:tcW w:w="2200" w:type="dxa"/>
            <w:tcBorders>
              <w:top w:val="single" w:sz="4" w:space="0" w:color="000000"/>
              <w:left w:val="single" w:sz="4" w:space="0" w:color="000000"/>
              <w:bottom w:val="single" w:sz="4" w:space="0" w:color="000000"/>
              <w:right w:val="single" w:sz="4" w:space="0" w:color="000000"/>
            </w:tcBorders>
          </w:tcPr>
          <w:p w14:paraId="51F8725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Commande le mandat, accepte ou refuse les livrables aux jalons.</w:t>
            </w:r>
          </w:p>
        </w:tc>
        <w:tc>
          <w:tcPr>
            <w:tcW w:w="2200" w:type="dxa"/>
            <w:tcBorders>
              <w:top w:val="single" w:sz="4" w:space="0" w:color="000000"/>
              <w:left w:val="single" w:sz="4" w:space="0" w:color="000000"/>
              <w:bottom w:val="single" w:sz="4" w:space="0" w:color="000000"/>
              <w:right w:val="single" w:sz="4" w:space="0" w:color="000000"/>
            </w:tcBorders>
          </w:tcPr>
          <w:p w14:paraId="4348959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Favorable, sous réserve du respect du périmètre.</w:t>
            </w:r>
          </w:p>
        </w:tc>
        <w:tc>
          <w:tcPr>
            <w:tcW w:w="2257" w:type="dxa"/>
            <w:tcBorders>
              <w:top w:val="single" w:sz="4" w:space="0" w:color="000000"/>
              <w:left w:val="single" w:sz="4" w:space="0" w:color="000000"/>
              <w:bottom w:val="single" w:sz="4" w:space="0" w:color="000000"/>
              <w:right w:val="single" w:sz="4" w:space="0" w:color="000000"/>
            </w:tcBorders>
          </w:tcPr>
          <w:p w14:paraId="529FB9B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Validation du périmètre et du domaine de validité au jalon J1.</w:t>
            </w:r>
          </w:p>
        </w:tc>
      </w:tr>
      <w:tr w:rsidR="00F50D70" w:rsidRPr="00BE4F47" w14:paraId="612E2453"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6B3213C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Conseiller de l’UQAC</w:t>
            </w:r>
          </w:p>
        </w:tc>
        <w:tc>
          <w:tcPr>
            <w:tcW w:w="2200" w:type="dxa"/>
            <w:tcBorders>
              <w:top w:val="single" w:sz="4" w:space="0" w:color="000000"/>
              <w:left w:val="single" w:sz="4" w:space="0" w:color="000000"/>
              <w:bottom w:val="single" w:sz="4" w:space="0" w:color="000000"/>
              <w:right w:val="single" w:sz="4" w:space="0" w:color="000000"/>
            </w:tcBorders>
          </w:tcPr>
          <w:p w14:paraId="7B2DF76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Oriente les choix techniques, approuve la diffusion de la proposition de services.</w:t>
            </w:r>
          </w:p>
        </w:tc>
        <w:tc>
          <w:tcPr>
            <w:tcW w:w="2200" w:type="dxa"/>
            <w:tcBorders>
              <w:top w:val="single" w:sz="4" w:space="0" w:color="000000"/>
              <w:left w:val="single" w:sz="4" w:space="0" w:color="000000"/>
              <w:bottom w:val="single" w:sz="4" w:space="0" w:color="000000"/>
              <w:right w:val="single" w:sz="4" w:space="0" w:color="000000"/>
            </w:tcBorders>
          </w:tcPr>
          <w:p w14:paraId="2D78641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Favorable.</w:t>
            </w:r>
          </w:p>
        </w:tc>
        <w:tc>
          <w:tcPr>
            <w:tcW w:w="2257" w:type="dxa"/>
            <w:tcBorders>
              <w:top w:val="single" w:sz="4" w:space="0" w:color="000000"/>
              <w:left w:val="single" w:sz="4" w:space="0" w:color="000000"/>
              <w:bottom w:val="single" w:sz="4" w:space="0" w:color="000000"/>
              <w:right w:val="single" w:sz="4" w:space="0" w:color="000000"/>
            </w:tcBorders>
          </w:tcPr>
          <w:p w14:paraId="7EA37E3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Consultation à chaque jalon, et avant tout choix engageant le périmètre.</w:t>
            </w:r>
          </w:p>
        </w:tc>
      </w:tr>
      <w:tr w:rsidR="00F50D70" w:rsidRPr="00BE4F47" w14:paraId="3A5B5740"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4234794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Coordonnateur du cours</w:t>
            </w:r>
          </w:p>
        </w:tc>
        <w:tc>
          <w:tcPr>
            <w:tcW w:w="2200" w:type="dxa"/>
            <w:tcBorders>
              <w:top w:val="single" w:sz="4" w:space="0" w:color="000000"/>
              <w:left w:val="single" w:sz="4" w:space="0" w:color="000000"/>
              <w:bottom w:val="single" w:sz="4" w:space="0" w:color="000000"/>
              <w:right w:val="single" w:sz="4" w:space="0" w:color="000000"/>
            </w:tcBorders>
          </w:tcPr>
          <w:p w14:paraId="721CFBD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Fixe le cadre de remise et les critères d’évaluation.</w:t>
            </w:r>
          </w:p>
        </w:tc>
        <w:tc>
          <w:tcPr>
            <w:tcW w:w="2200" w:type="dxa"/>
            <w:tcBorders>
              <w:top w:val="single" w:sz="4" w:space="0" w:color="000000"/>
              <w:left w:val="single" w:sz="4" w:space="0" w:color="000000"/>
              <w:bottom w:val="single" w:sz="4" w:space="0" w:color="000000"/>
              <w:right w:val="single" w:sz="4" w:space="0" w:color="000000"/>
            </w:tcBorders>
          </w:tcPr>
          <w:p w14:paraId="5CF76F8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Neutre.</w:t>
            </w:r>
          </w:p>
        </w:tc>
        <w:tc>
          <w:tcPr>
            <w:tcW w:w="2257" w:type="dxa"/>
            <w:tcBorders>
              <w:top w:val="single" w:sz="4" w:space="0" w:color="000000"/>
              <w:left w:val="single" w:sz="4" w:space="0" w:color="000000"/>
              <w:bottom w:val="single" w:sz="4" w:space="0" w:color="000000"/>
              <w:right w:val="single" w:sz="4" w:space="0" w:color="000000"/>
            </w:tcBorders>
          </w:tcPr>
          <w:p w14:paraId="1B7D8B7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Respect des consignes du carnet et des dates de remise.</w:t>
            </w:r>
          </w:p>
        </w:tc>
      </w:tr>
      <w:tr w:rsidR="00F50D70" w:rsidRPr="00BE4F47" w14:paraId="278766C7"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5D2F0CF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Équipe de projet</w:t>
            </w:r>
          </w:p>
        </w:tc>
        <w:tc>
          <w:tcPr>
            <w:tcW w:w="2200" w:type="dxa"/>
            <w:tcBorders>
              <w:top w:val="single" w:sz="4" w:space="0" w:color="000000"/>
              <w:left w:val="single" w:sz="4" w:space="0" w:color="000000"/>
              <w:bottom w:val="single" w:sz="4" w:space="0" w:color="000000"/>
              <w:right w:val="single" w:sz="4" w:space="0" w:color="000000"/>
            </w:tcBorders>
          </w:tcPr>
          <w:p w14:paraId="71121E7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Produit l’ensemble des livrables.</w:t>
            </w:r>
          </w:p>
        </w:tc>
        <w:tc>
          <w:tcPr>
            <w:tcW w:w="2200" w:type="dxa"/>
            <w:tcBorders>
              <w:top w:val="single" w:sz="4" w:space="0" w:color="000000"/>
              <w:left w:val="single" w:sz="4" w:space="0" w:color="000000"/>
              <w:bottom w:val="single" w:sz="4" w:space="0" w:color="000000"/>
              <w:right w:val="single" w:sz="4" w:space="0" w:color="000000"/>
            </w:tcBorders>
          </w:tcPr>
          <w:p w14:paraId="5F27FC9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Favorable.</w:t>
            </w:r>
          </w:p>
        </w:tc>
        <w:tc>
          <w:tcPr>
            <w:tcW w:w="2257" w:type="dxa"/>
            <w:tcBorders>
              <w:top w:val="single" w:sz="4" w:space="0" w:color="000000"/>
              <w:left w:val="single" w:sz="4" w:space="0" w:color="000000"/>
              <w:bottom w:val="single" w:sz="4" w:space="0" w:color="000000"/>
              <w:right w:val="single" w:sz="4" w:space="0" w:color="000000"/>
            </w:tcBorders>
          </w:tcPr>
          <w:p w14:paraId="1C13328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Répartition par compétence, relecture croisée, rotation des relecteurs.</w:t>
            </w:r>
          </w:p>
        </w:tc>
      </w:tr>
      <w:tr w:rsidR="00F50D70" w:rsidRPr="00BE4F47" w14:paraId="7BE439C3"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07E971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Techniciens de laboratoire</w:t>
            </w:r>
          </w:p>
        </w:tc>
        <w:tc>
          <w:tcPr>
            <w:tcW w:w="2200" w:type="dxa"/>
            <w:tcBorders>
              <w:top w:val="single" w:sz="4" w:space="0" w:color="000000"/>
              <w:left w:val="single" w:sz="4" w:space="0" w:color="000000"/>
              <w:bottom w:val="single" w:sz="4" w:space="0" w:color="000000"/>
              <w:right w:val="single" w:sz="4" w:space="0" w:color="000000"/>
            </w:tcBorders>
          </w:tcPr>
          <w:p w14:paraId="6376388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Donnent accès aux postes, aux licences et aux environnements d’exécution.</w:t>
            </w:r>
          </w:p>
        </w:tc>
        <w:tc>
          <w:tcPr>
            <w:tcW w:w="2200" w:type="dxa"/>
            <w:tcBorders>
              <w:top w:val="single" w:sz="4" w:space="0" w:color="000000"/>
              <w:left w:val="single" w:sz="4" w:space="0" w:color="000000"/>
              <w:bottom w:val="single" w:sz="4" w:space="0" w:color="000000"/>
              <w:right w:val="single" w:sz="4" w:space="0" w:color="000000"/>
            </w:tcBorders>
          </w:tcPr>
          <w:p w14:paraId="496436B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Neutre, sollicités ponctuellement.</w:t>
            </w:r>
          </w:p>
        </w:tc>
        <w:tc>
          <w:tcPr>
            <w:tcW w:w="2257" w:type="dxa"/>
            <w:tcBorders>
              <w:top w:val="single" w:sz="4" w:space="0" w:color="000000"/>
              <w:left w:val="single" w:sz="4" w:space="0" w:color="000000"/>
              <w:bottom w:val="single" w:sz="4" w:space="0" w:color="000000"/>
              <w:right w:val="single" w:sz="4" w:space="0" w:color="000000"/>
            </w:tcBorders>
          </w:tcPr>
          <w:p w14:paraId="2494CF5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Demandes groupées et planifiées, pour ne pas dépendre d’une disponibilité de dernière minute.</w:t>
            </w:r>
          </w:p>
        </w:tc>
      </w:tr>
      <w:tr w:rsidR="00F50D70" w:rsidRPr="00BE4F47" w14:paraId="0C86A316"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7D88EE4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Auxiliaires d’enseignement</w:t>
            </w:r>
          </w:p>
        </w:tc>
        <w:tc>
          <w:tcPr>
            <w:tcW w:w="2200" w:type="dxa"/>
            <w:tcBorders>
              <w:top w:val="single" w:sz="4" w:space="0" w:color="000000"/>
              <w:left w:val="single" w:sz="4" w:space="0" w:color="000000"/>
              <w:bottom w:val="single" w:sz="4" w:space="0" w:color="000000"/>
              <w:right w:val="single" w:sz="4" w:space="0" w:color="000000"/>
            </w:tcBorders>
          </w:tcPr>
          <w:p w14:paraId="09298D6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Répondent aux questions de méthode et relisent les travaux intermédiaires.</w:t>
            </w:r>
          </w:p>
        </w:tc>
        <w:tc>
          <w:tcPr>
            <w:tcW w:w="2200" w:type="dxa"/>
            <w:tcBorders>
              <w:top w:val="single" w:sz="4" w:space="0" w:color="000000"/>
              <w:left w:val="single" w:sz="4" w:space="0" w:color="000000"/>
              <w:bottom w:val="single" w:sz="4" w:space="0" w:color="000000"/>
              <w:right w:val="single" w:sz="4" w:space="0" w:color="000000"/>
            </w:tcBorders>
          </w:tcPr>
          <w:p w14:paraId="1A23900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Favorable.</w:t>
            </w:r>
          </w:p>
        </w:tc>
        <w:tc>
          <w:tcPr>
            <w:tcW w:w="2257" w:type="dxa"/>
            <w:tcBorders>
              <w:top w:val="single" w:sz="4" w:space="0" w:color="000000"/>
              <w:left w:val="single" w:sz="4" w:space="0" w:color="000000"/>
              <w:bottom w:val="single" w:sz="4" w:space="0" w:color="000000"/>
              <w:right w:val="single" w:sz="4" w:space="0" w:color="000000"/>
            </w:tcBorders>
          </w:tcPr>
          <w:p w14:paraId="61581E1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Sollicitation avant chaque jalon plutôt qu’après une difficulté.</w:t>
            </w:r>
          </w:p>
        </w:tc>
      </w:tr>
      <w:tr w:rsidR="00F50D70" w:rsidRPr="00BE4F47" w14:paraId="6466F5FD"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242B30D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Ingénieurs et opérateurs représentés</w:t>
            </w:r>
          </w:p>
        </w:tc>
        <w:tc>
          <w:tcPr>
            <w:tcW w:w="2200" w:type="dxa"/>
            <w:tcBorders>
              <w:top w:val="single" w:sz="4" w:space="0" w:color="000000"/>
              <w:left w:val="single" w:sz="4" w:space="0" w:color="000000"/>
              <w:bottom w:val="single" w:sz="4" w:space="0" w:color="000000"/>
              <w:right w:val="single" w:sz="4" w:space="0" w:color="000000"/>
            </w:tcBorders>
          </w:tcPr>
          <w:p w14:paraId="27FDD4F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Utilisateurs cibles du système dans le scénario.</w:t>
            </w:r>
          </w:p>
        </w:tc>
        <w:tc>
          <w:tcPr>
            <w:tcW w:w="2200" w:type="dxa"/>
            <w:tcBorders>
              <w:top w:val="single" w:sz="4" w:space="0" w:color="000000"/>
              <w:left w:val="single" w:sz="4" w:space="0" w:color="000000"/>
              <w:bottom w:val="single" w:sz="4" w:space="0" w:color="000000"/>
              <w:right w:val="single" w:sz="4" w:space="0" w:color="000000"/>
            </w:tcBorders>
          </w:tcPr>
          <w:p w14:paraId="4FDFE34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Réservés : un outil d’aide à la décision mal expliqué est perçu comme une mise en cause du jugement humain.</w:t>
            </w:r>
          </w:p>
        </w:tc>
        <w:tc>
          <w:tcPr>
            <w:tcW w:w="2257" w:type="dxa"/>
            <w:tcBorders>
              <w:top w:val="single" w:sz="4" w:space="0" w:color="000000"/>
              <w:left w:val="single" w:sz="4" w:space="0" w:color="000000"/>
              <w:bottom w:val="single" w:sz="4" w:space="0" w:color="000000"/>
              <w:right w:val="single" w:sz="4" w:space="0" w:color="000000"/>
            </w:tcBorders>
          </w:tcPr>
          <w:p w14:paraId="5B1F8CB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Explicabilité imposée par EX-F-05 et validation humaine imposée par EX-F-08.</w:t>
            </w:r>
          </w:p>
        </w:tc>
      </w:tr>
      <w:tr w:rsidR="00F50D70" w:rsidRPr="00BE4F47" w14:paraId="6752459D"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5CF7E81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Autorité réglementaire représentée, CCSN</w:t>
            </w:r>
          </w:p>
        </w:tc>
        <w:tc>
          <w:tcPr>
            <w:tcW w:w="2200" w:type="dxa"/>
            <w:tcBorders>
              <w:top w:val="single" w:sz="4" w:space="0" w:color="000000"/>
              <w:left w:val="single" w:sz="4" w:space="0" w:color="000000"/>
              <w:bottom w:val="single" w:sz="4" w:space="0" w:color="000000"/>
              <w:right w:val="single" w:sz="4" w:space="0" w:color="000000"/>
            </w:tcBorders>
          </w:tcPr>
          <w:p w14:paraId="2D908E6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Impose la traçabilité et la gestion documentaire dans le scénario.</w:t>
            </w:r>
          </w:p>
        </w:tc>
        <w:tc>
          <w:tcPr>
            <w:tcW w:w="2200" w:type="dxa"/>
            <w:tcBorders>
              <w:top w:val="single" w:sz="4" w:space="0" w:color="000000"/>
              <w:left w:val="single" w:sz="4" w:space="0" w:color="000000"/>
              <w:bottom w:val="single" w:sz="4" w:space="0" w:color="000000"/>
              <w:right w:val="single" w:sz="4" w:space="0" w:color="000000"/>
            </w:tcBorders>
          </w:tcPr>
          <w:p w14:paraId="1DB3040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Neutre et exigeante.</w:t>
            </w:r>
          </w:p>
        </w:tc>
        <w:tc>
          <w:tcPr>
            <w:tcW w:w="2257" w:type="dxa"/>
            <w:tcBorders>
              <w:top w:val="single" w:sz="4" w:space="0" w:color="000000"/>
              <w:left w:val="single" w:sz="4" w:space="0" w:color="000000"/>
              <w:bottom w:val="single" w:sz="4" w:space="0" w:color="000000"/>
              <w:right w:val="single" w:sz="4" w:space="0" w:color="000000"/>
            </w:tcBorders>
          </w:tcPr>
          <w:p w14:paraId="77ADF30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Journalisation horodatée (EX-F-10) et gestion de configuration de la section 4.</w:t>
            </w:r>
          </w:p>
        </w:tc>
      </w:tr>
      <w:tr w:rsidR="00F50D70" w:rsidRPr="00BE4F47" w14:paraId="180D3E31"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5A4576A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Population et communautés</w:t>
            </w:r>
          </w:p>
        </w:tc>
        <w:tc>
          <w:tcPr>
            <w:tcW w:w="2200" w:type="dxa"/>
            <w:tcBorders>
              <w:top w:val="single" w:sz="4" w:space="0" w:color="000000"/>
              <w:left w:val="single" w:sz="4" w:space="0" w:color="000000"/>
              <w:bottom w:val="single" w:sz="4" w:space="0" w:color="000000"/>
              <w:right w:val="single" w:sz="4" w:space="0" w:color="000000"/>
            </w:tcBorders>
          </w:tcPr>
          <w:p w14:paraId="35E667C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Concernées par une remise en service dans le scénario.</w:t>
            </w:r>
          </w:p>
        </w:tc>
        <w:tc>
          <w:tcPr>
            <w:tcW w:w="2200" w:type="dxa"/>
            <w:tcBorders>
              <w:top w:val="single" w:sz="4" w:space="0" w:color="000000"/>
              <w:left w:val="single" w:sz="4" w:space="0" w:color="000000"/>
              <w:bottom w:val="single" w:sz="4" w:space="0" w:color="000000"/>
              <w:right w:val="single" w:sz="4" w:space="0" w:color="000000"/>
            </w:tcBorders>
          </w:tcPr>
          <w:p w14:paraId="6327CEC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Partagée, du soutien à l’opposition.</w:t>
            </w:r>
          </w:p>
        </w:tc>
        <w:tc>
          <w:tcPr>
            <w:tcW w:w="2257" w:type="dxa"/>
            <w:tcBorders>
              <w:top w:val="single" w:sz="4" w:space="0" w:color="000000"/>
              <w:left w:val="single" w:sz="4" w:space="0" w:color="000000"/>
              <w:bottom w:val="single" w:sz="4" w:space="0" w:color="000000"/>
              <w:right w:val="single" w:sz="4" w:space="0" w:color="000000"/>
            </w:tcBorders>
          </w:tcPr>
          <w:p w14:paraId="093381F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Traitement explicite des enjeux de confiance et de responsabilité au rapport final (EX-C-03).</w:t>
            </w:r>
          </w:p>
        </w:tc>
      </w:tr>
    </w:tbl>
    <w:p w14:paraId="4F179B64" w14:textId="77777777" w:rsidR="00F50D70" w:rsidRPr="00BE4F47" w:rsidRDefault="00000000" w:rsidP="008E113B">
      <w:pPr>
        <w:spacing w:after="130" w:line="360" w:lineRule="auto"/>
        <w:ind w:left="360"/>
        <w:rPr>
          <w:rFonts w:ascii="Aptos" w:hAnsi="Aptos"/>
        </w:rPr>
      </w:pPr>
      <w:bookmarkStart w:id="149" w:name="_Toc241082887"/>
      <w:r w:rsidRPr="00BE4F47">
        <w:rPr>
          <w:rFonts w:ascii="Aptos" w:eastAsia="Calibri" w:hAnsi="Aptos" w:cs="Calibri"/>
          <w:color w:val="1A1A19"/>
          <w:sz w:val="20"/>
          <w:szCs w:val="20"/>
        </w:rPr>
        <w:t>Deux positions appellent une vigilance particulière. Les utilisateurs cibles sont réservés, et c’est la raison pour laquelle l’explicabilité n’est pas traitée comme un agrément d’interface mais comme une exigence fonctionnelle. La population est partagée, et c’est la raison pour laquelle le rapport final doit énoncer les limites du système plutôt que ses seules performances.</w:t>
      </w:r>
      <w:bookmarkEnd w:id="149"/>
    </w:p>
    <w:p w14:paraId="57B13101" w14:textId="77777777" w:rsidR="00F50D70" w:rsidRPr="00136F18" w:rsidRDefault="00000000" w:rsidP="008E113B">
      <w:pPr>
        <w:pStyle w:val="Titre1"/>
        <w:spacing w:line="360" w:lineRule="auto"/>
      </w:pPr>
      <w:bookmarkStart w:id="150" w:name="__RefHeading___Toc240715120"/>
      <w:bookmarkStart w:id="151" w:name="_Toc241082888"/>
      <w:bookmarkEnd w:id="150"/>
      <w:r w:rsidRPr="00136F18">
        <w:t>Stratégie de contrôle des versions</w:t>
      </w:r>
      <w:bookmarkEnd w:id="151"/>
    </w:p>
    <w:p w14:paraId="43B1DFDC" w14:textId="77777777" w:rsidR="00F50D70" w:rsidRPr="00BE4F47" w:rsidRDefault="00000000" w:rsidP="008E113B">
      <w:pPr>
        <w:spacing w:after="130" w:line="360" w:lineRule="auto"/>
        <w:ind w:left="360"/>
        <w:rPr>
          <w:rFonts w:ascii="Aptos" w:hAnsi="Aptos"/>
        </w:rPr>
      </w:pPr>
      <w:bookmarkStart w:id="152" w:name="_Toc241082889"/>
      <w:r w:rsidRPr="00BE4F47">
        <w:rPr>
          <w:rFonts w:ascii="Aptos" w:eastAsia="Calibri" w:hAnsi="Aptos" w:cs="Calibri"/>
          <w:color w:val="1A1A19"/>
          <w:sz w:val="20"/>
          <w:szCs w:val="20"/>
        </w:rPr>
        <w:t>Huit personnes produisent les livrables décrits à la section 2. Cette section explique comment leur travail est conservé, versionné et retrouvé, pour qu’un résultat d’essai reste rattachable à la version du modèle et des données qui l’a produit.</w:t>
      </w:r>
      <w:bookmarkEnd w:id="152"/>
    </w:p>
    <w:p w14:paraId="19E5D55D" w14:textId="77777777" w:rsidR="00F50D70" w:rsidRPr="00136F18" w:rsidRDefault="00000000" w:rsidP="008E113B">
      <w:pPr>
        <w:pStyle w:val="Titre2"/>
        <w:spacing w:line="360" w:lineRule="auto"/>
      </w:pPr>
      <w:bookmarkStart w:id="153" w:name="_Toc241082890"/>
      <w:r w:rsidRPr="00136F18">
        <w:t>Objet et portée</w:t>
      </w:r>
      <w:bookmarkEnd w:id="153"/>
    </w:p>
    <w:p w14:paraId="21370D7B"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154" w:name="_Toc241082891"/>
      <w:r w:rsidRPr="00BE4F47">
        <w:rPr>
          <w:rFonts w:ascii="Aptos" w:eastAsia="Calibri" w:hAnsi="Aptos" w:cs="Calibri"/>
          <w:color w:val="1A1A19"/>
          <w:sz w:val="20"/>
          <w:szCs w:val="20"/>
        </w:rPr>
        <w:t>La consigne du carnet demande de décrire les outils et les mécanismes employés pour gérer les informations relatives au projet. Elle parle d’informations, pas seulement de code. La présente section couvre donc l’ensemble de ce que le projet produit : documents, code, modèles, diagrammes, jeux de données, résultats d’essais et références.</w:t>
      </w:r>
      <w:bookmarkEnd w:id="154"/>
    </w:p>
    <w:p w14:paraId="580CE01A"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155" w:name="_Toc241082892"/>
      <w:r w:rsidRPr="00BE4F47">
        <w:rPr>
          <w:rFonts w:ascii="Aptos" w:eastAsia="Calibri" w:hAnsi="Aptos" w:cs="Calibri"/>
          <w:color w:val="1A1A19"/>
          <w:sz w:val="20"/>
          <w:szCs w:val="20"/>
        </w:rPr>
        <w:t>Trois raisons rendent cette gestion nécessaire dans ce projet précis.</w:t>
      </w:r>
      <w:bookmarkEnd w:id="155"/>
    </w:p>
    <w:p w14:paraId="00FE3D09"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Huit personnes rédigent onze sections du même document. Sans règle de nommage et sans dépôt unique, les versions divergent en quelques jours.</w:t>
      </w:r>
    </w:p>
    <w:p w14:paraId="347831DA"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lastRenderedPageBreak/>
        <w:t>Un résultat d’essai n’a de valeur que s’il est rattachable à une version précise du modèle et du jeu de données. C’est la condition de la reproductibilité annoncée à la section 8 et exigée par EX-Q-05.</w:t>
      </w:r>
    </w:p>
    <w:p w14:paraId="021D38CA"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Le projet se place dans un cadre nucléaire simulé. La traçabilité documentaire est une attente explicite du système de gestion décrit par REGDOC-2.1.1 [1].</w:t>
      </w:r>
    </w:p>
    <w:p w14:paraId="36184C07"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156" w:name="_Toc241082893"/>
      <w:r w:rsidRPr="00BE4F47">
        <w:rPr>
          <w:rFonts w:ascii="Aptos" w:eastAsia="Calibri" w:hAnsi="Aptos" w:cs="Calibri"/>
          <w:color w:val="1A1A19"/>
          <w:sz w:val="20"/>
          <w:szCs w:val="20"/>
        </w:rPr>
        <w:t>La démarche suit le processus de gestion de la configuration de la norme ISO/IEC/IEEE 12207 [2], déjà retenue au tableau des normes de la section 6. Ce processus comporte quatre activités : identifier les éléments de configuration, contrôler leurs modifications, enregistrer leur état, et vérifier que la configuration livrée est bien celle qui était prévue. La section suit cet ordre.</w:t>
      </w:r>
      <w:bookmarkEnd w:id="156"/>
    </w:p>
    <w:p w14:paraId="5D2971F0"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157" w:name="_Toc241082894"/>
      <w:r w:rsidRPr="00BE4F47">
        <w:rPr>
          <w:rFonts w:ascii="Aptos" w:eastAsia="Calibri" w:hAnsi="Aptos" w:cs="Calibri"/>
          <w:color w:val="1A1A19"/>
          <w:sz w:val="20"/>
          <w:szCs w:val="20"/>
        </w:rPr>
        <w:t xml:space="preserve">L’équipe a retenu GitHub comme plateforme unique. Le dépôt contient le code, les modèles, les diagrammes et les sections du plan. GitHub </w:t>
      </w:r>
      <w:proofErr w:type="spellStart"/>
      <w:r w:rsidRPr="00BE4F47">
        <w:rPr>
          <w:rFonts w:ascii="Aptos" w:eastAsia="Calibri" w:hAnsi="Aptos" w:cs="Calibri"/>
          <w:color w:val="1A1A19"/>
          <w:sz w:val="20"/>
          <w:szCs w:val="20"/>
        </w:rPr>
        <w:t>Projects</w:t>
      </w:r>
      <w:proofErr w:type="spellEnd"/>
      <w:r w:rsidRPr="00BE4F47">
        <w:rPr>
          <w:rFonts w:ascii="Aptos" w:eastAsia="Calibri" w:hAnsi="Aptos" w:cs="Calibri"/>
          <w:color w:val="1A1A19"/>
          <w:sz w:val="20"/>
          <w:szCs w:val="20"/>
        </w:rPr>
        <w:t xml:space="preserve"> assure le suivi des tâches. Aucun autre outil de gestion n’est employé.</w:t>
      </w:r>
      <w:bookmarkEnd w:id="157"/>
    </w:p>
    <w:p w14:paraId="1A04DEA1" w14:textId="77777777" w:rsidR="00F50D70" w:rsidRPr="00BE4F47" w:rsidRDefault="00F50D70" w:rsidP="008E113B">
      <w:pPr>
        <w:spacing w:line="360" w:lineRule="auto"/>
        <w:ind w:left="720"/>
        <w:rPr>
          <w:rFonts w:ascii="Aptos" w:eastAsia="Calibri" w:hAnsi="Aptos" w:cs="Calibri"/>
          <w:color w:val="1A1A19"/>
          <w:sz w:val="20"/>
          <w:szCs w:val="20"/>
        </w:rPr>
      </w:pPr>
    </w:p>
    <w:p w14:paraId="47DD832E" w14:textId="77777777" w:rsidR="00F50D70" w:rsidRPr="00136F18" w:rsidRDefault="00000000" w:rsidP="008E113B">
      <w:pPr>
        <w:pStyle w:val="Titre2"/>
        <w:spacing w:line="360" w:lineRule="auto"/>
      </w:pPr>
      <w:bookmarkStart w:id="158" w:name="_Toc241082895"/>
      <w:r w:rsidRPr="00136F18">
        <w:t>Inventaire de l’information à gérer</w:t>
      </w:r>
      <w:bookmarkEnd w:id="158"/>
    </w:p>
    <w:p w14:paraId="17FE5A7F" w14:textId="77777777" w:rsidR="00F50D70" w:rsidRPr="00BE4F47" w:rsidRDefault="00000000" w:rsidP="008E113B">
      <w:pPr>
        <w:spacing w:after="130" w:line="360" w:lineRule="auto"/>
        <w:ind w:left="360"/>
        <w:rPr>
          <w:rFonts w:ascii="Aptos" w:eastAsia="Calibri" w:hAnsi="Aptos" w:cs="Calibri"/>
          <w:color w:val="1A1A19"/>
          <w:sz w:val="20"/>
          <w:szCs w:val="20"/>
        </w:rPr>
      </w:pPr>
      <w:bookmarkStart w:id="159" w:name="_Toc241082896"/>
      <w:r w:rsidRPr="00BE4F47">
        <w:rPr>
          <w:rFonts w:ascii="Aptos" w:eastAsia="Calibri" w:hAnsi="Aptos" w:cs="Calibri"/>
          <w:color w:val="1A1A19"/>
          <w:sz w:val="20"/>
          <w:szCs w:val="20"/>
        </w:rPr>
        <w:t>Toute information produite par le projet appartient à l’une des catégories ci-dessous. Chaque catégorie a un outil et un responsable.</w:t>
      </w:r>
      <w:bookmarkEnd w:id="159"/>
    </w:p>
    <w:p w14:paraId="13E28B5D" w14:textId="77777777" w:rsidR="00F50D70" w:rsidRPr="00BE4F47" w:rsidRDefault="00000000" w:rsidP="008E113B">
      <w:pPr>
        <w:pStyle w:val="Lgende"/>
        <w:spacing w:line="360" w:lineRule="auto"/>
        <w:rPr>
          <w:rFonts w:ascii="Aptos" w:hAnsi="Aptos"/>
        </w:rPr>
      </w:pPr>
      <w:bookmarkStart w:id="160" w:name="_Toc241082897"/>
      <w:r w:rsidRPr="00BE4F47">
        <w:rPr>
          <w:rFonts w:ascii="Aptos" w:hAnsi="Aptos"/>
        </w:rPr>
        <w:t>Tableau 4-1. Éléments de configuration du projet</w:t>
      </w:r>
      <w:bookmarkEnd w:id="160"/>
    </w:p>
    <w:tbl>
      <w:tblPr>
        <w:tblW w:w="9360" w:type="dxa"/>
        <w:tblLayout w:type="fixed"/>
        <w:tblCellMar>
          <w:top w:w="55" w:type="dxa"/>
          <w:left w:w="85" w:type="dxa"/>
          <w:bottom w:w="55" w:type="dxa"/>
          <w:right w:w="85" w:type="dxa"/>
        </w:tblCellMar>
        <w:tblLook w:val="04A0" w:firstRow="1" w:lastRow="0" w:firstColumn="1" w:lastColumn="0" w:noHBand="0" w:noVBand="1"/>
      </w:tblPr>
      <w:tblGrid>
        <w:gridCol w:w="1900"/>
        <w:gridCol w:w="2700"/>
        <w:gridCol w:w="1900"/>
        <w:gridCol w:w="1500"/>
        <w:gridCol w:w="1360"/>
      </w:tblGrid>
      <w:tr w:rsidR="00F50D70" w:rsidRPr="00BE4F47" w14:paraId="78A03423" w14:textId="77777777" w:rsidTr="0036725C">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5091E5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Catégorie</w:t>
            </w:r>
          </w:p>
        </w:tc>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9DEBCB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Contenu</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0FB685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Emplacement</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7DDB42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Responsable</w:t>
            </w:r>
          </w:p>
        </w:tc>
        <w:tc>
          <w:tcPr>
            <w:tcW w:w="136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F5630F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Historique</w:t>
            </w:r>
          </w:p>
        </w:tc>
      </w:tr>
      <w:tr w:rsidR="00F50D70" w:rsidRPr="00BE4F47" w14:paraId="3CCF79E2"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34FD117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Sections du plan de projet</w:t>
            </w:r>
          </w:p>
        </w:tc>
        <w:tc>
          <w:tcPr>
            <w:tcW w:w="2700" w:type="dxa"/>
            <w:tcBorders>
              <w:top w:val="single" w:sz="4" w:space="0" w:color="000000"/>
              <w:left w:val="single" w:sz="4" w:space="0" w:color="000000"/>
              <w:bottom w:val="single" w:sz="4" w:space="0" w:color="000000"/>
              <w:right w:val="single" w:sz="4" w:space="0" w:color="000000"/>
            </w:tcBorders>
          </w:tcPr>
          <w:p w14:paraId="6B93A15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Onze sections rédigées en format Word</w:t>
            </w:r>
          </w:p>
        </w:tc>
        <w:tc>
          <w:tcPr>
            <w:tcW w:w="1900" w:type="dxa"/>
            <w:tcBorders>
              <w:top w:val="single" w:sz="4" w:space="0" w:color="000000"/>
              <w:left w:val="single" w:sz="4" w:space="0" w:color="000000"/>
              <w:bottom w:val="single" w:sz="4" w:space="0" w:color="000000"/>
              <w:right w:val="single" w:sz="4" w:space="0" w:color="000000"/>
            </w:tcBorders>
          </w:tcPr>
          <w:p w14:paraId="19A0D59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 dossier plan/</w:t>
            </w:r>
          </w:p>
        </w:tc>
        <w:tc>
          <w:tcPr>
            <w:tcW w:w="1500" w:type="dxa"/>
            <w:tcBorders>
              <w:top w:val="single" w:sz="4" w:space="0" w:color="000000"/>
              <w:left w:val="single" w:sz="4" w:space="0" w:color="000000"/>
              <w:bottom w:val="single" w:sz="4" w:space="0" w:color="000000"/>
              <w:right w:val="single" w:sz="4" w:space="0" w:color="000000"/>
            </w:tcBorders>
          </w:tcPr>
          <w:p w14:paraId="4A2F56E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tc>
        <w:tc>
          <w:tcPr>
            <w:tcW w:w="1360" w:type="dxa"/>
            <w:tcBorders>
              <w:top w:val="single" w:sz="4" w:space="0" w:color="000000"/>
              <w:left w:val="single" w:sz="4" w:space="0" w:color="000000"/>
              <w:bottom w:val="single" w:sz="4" w:space="0" w:color="000000"/>
              <w:right w:val="single" w:sz="4" w:space="0" w:color="000000"/>
            </w:tcBorders>
          </w:tcPr>
          <w:p w14:paraId="1524B8B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w:t>
            </w:r>
          </w:p>
        </w:tc>
      </w:tr>
      <w:tr w:rsidR="00F50D70" w:rsidRPr="00BE4F47" w14:paraId="05A32B35"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7E83A36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Code et scripts</w:t>
            </w:r>
          </w:p>
        </w:tc>
        <w:tc>
          <w:tcPr>
            <w:tcW w:w="2700" w:type="dxa"/>
            <w:tcBorders>
              <w:top w:val="single" w:sz="4" w:space="0" w:color="000000"/>
              <w:left w:val="single" w:sz="4" w:space="0" w:color="000000"/>
              <w:bottom w:val="single" w:sz="4" w:space="0" w:color="000000"/>
              <w:right w:val="single" w:sz="4" w:space="0" w:color="000000"/>
            </w:tcBorders>
          </w:tcPr>
          <w:p w14:paraId="1B215BA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Noyau de simulation, détection, interface</w:t>
            </w:r>
          </w:p>
        </w:tc>
        <w:tc>
          <w:tcPr>
            <w:tcW w:w="1900" w:type="dxa"/>
            <w:tcBorders>
              <w:top w:val="single" w:sz="4" w:space="0" w:color="000000"/>
              <w:left w:val="single" w:sz="4" w:space="0" w:color="000000"/>
              <w:bottom w:val="single" w:sz="4" w:space="0" w:color="000000"/>
              <w:right w:val="single" w:sz="4" w:space="0" w:color="000000"/>
            </w:tcBorders>
          </w:tcPr>
          <w:p w14:paraId="69C5BB0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w:t>
            </w:r>
          </w:p>
        </w:tc>
        <w:tc>
          <w:tcPr>
            <w:tcW w:w="1500" w:type="dxa"/>
            <w:tcBorders>
              <w:top w:val="single" w:sz="4" w:space="0" w:color="000000"/>
              <w:left w:val="single" w:sz="4" w:space="0" w:color="000000"/>
              <w:bottom w:val="single" w:sz="4" w:space="0" w:color="000000"/>
              <w:right w:val="single" w:sz="4" w:space="0" w:color="000000"/>
            </w:tcBorders>
          </w:tcPr>
          <w:p w14:paraId="61A5FA6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w:t>
            </w:r>
          </w:p>
        </w:tc>
        <w:tc>
          <w:tcPr>
            <w:tcW w:w="1360" w:type="dxa"/>
            <w:tcBorders>
              <w:top w:val="single" w:sz="4" w:space="0" w:color="000000"/>
              <w:left w:val="single" w:sz="4" w:space="0" w:color="000000"/>
              <w:bottom w:val="single" w:sz="4" w:space="0" w:color="000000"/>
              <w:right w:val="single" w:sz="4" w:space="0" w:color="000000"/>
            </w:tcBorders>
          </w:tcPr>
          <w:p w14:paraId="3785087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w:t>
            </w:r>
          </w:p>
        </w:tc>
      </w:tr>
      <w:tr w:rsidR="00F50D70" w:rsidRPr="00BE4F47" w14:paraId="1952C442"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5FBD3F8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Modèles</w:t>
            </w:r>
          </w:p>
        </w:tc>
        <w:tc>
          <w:tcPr>
            <w:tcW w:w="2700" w:type="dxa"/>
            <w:tcBorders>
              <w:top w:val="single" w:sz="4" w:space="0" w:color="000000"/>
              <w:left w:val="single" w:sz="4" w:space="0" w:color="000000"/>
              <w:bottom w:val="single" w:sz="4" w:space="0" w:color="000000"/>
              <w:right w:val="single" w:sz="4" w:space="0" w:color="000000"/>
            </w:tcBorders>
          </w:tcPr>
          <w:p w14:paraId="7A3B35D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 xml:space="preserve">Fichiers </w:t>
            </w:r>
            <w:proofErr w:type="spellStart"/>
            <w:r w:rsidRPr="00BE4F47">
              <w:rPr>
                <w:rFonts w:ascii="Aptos" w:eastAsia="Calibri" w:hAnsi="Aptos" w:cs="Calibri"/>
                <w:color w:val="1A1A19"/>
                <w:sz w:val="15"/>
                <w:szCs w:val="15"/>
                <w:lang w:val="fr-FR"/>
              </w:rPr>
              <w:t>Modelica</w:t>
            </w:r>
            <w:proofErr w:type="spellEnd"/>
            <w:r w:rsidRPr="00BE4F47">
              <w:rPr>
                <w:rFonts w:ascii="Aptos" w:eastAsia="Calibri" w:hAnsi="Aptos" w:cs="Calibri"/>
                <w:color w:val="1A1A19"/>
                <w:sz w:val="15"/>
                <w:szCs w:val="15"/>
                <w:lang w:val="fr-FR"/>
              </w:rPr>
              <w:t xml:space="preserve"> de la boucle et du modèle de référence</w:t>
            </w:r>
          </w:p>
        </w:tc>
        <w:tc>
          <w:tcPr>
            <w:tcW w:w="1900" w:type="dxa"/>
            <w:tcBorders>
              <w:top w:val="single" w:sz="4" w:space="0" w:color="000000"/>
              <w:left w:val="single" w:sz="4" w:space="0" w:color="000000"/>
              <w:bottom w:val="single" w:sz="4" w:space="0" w:color="000000"/>
              <w:right w:val="single" w:sz="4" w:space="0" w:color="000000"/>
            </w:tcBorders>
          </w:tcPr>
          <w:p w14:paraId="4C8D9FD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w:t>
            </w:r>
          </w:p>
        </w:tc>
        <w:tc>
          <w:tcPr>
            <w:tcW w:w="1500" w:type="dxa"/>
            <w:tcBorders>
              <w:top w:val="single" w:sz="4" w:space="0" w:color="000000"/>
              <w:left w:val="single" w:sz="4" w:space="0" w:color="000000"/>
              <w:bottom w:val="single" w:sz="4" w:space="0" w:color="000000"/>
              <w:right w:val="single" w:sz="4" w:space="0" w:color="000000"/>
            </w:tcBorders>
          </w:tcPr>
          <w:p w14:paraId="70391AF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L4</w:t>
            </w:r>
          </w:p>
        </w:tc>
        <w:tc>
          <w:tcPr>
            <w:tcW w:w="1360" w:type="dxa"/>
            <w:tcBorders>
              <w:top w:val="single" w:sz="4" w:space="0" w:color="000000"/>
              <w:left w:val="single" w:sz="4" w:space="0" w:color="000000"/>
              <w:bottom w:val="single" w:sz="4" w:space="0" w:color="000000"/>
              <w:right w:val="single" w:sz="4" w:space="0" w:color="000000"/>
            </w:tcBorders>
          </w:tcPr>
          <w:p w14:paraId="59CC9A9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w:t>
            </w:r>
          </w:p>
        </w:tc>
      </w:tr>
      <w:tr w:rsidR="00F50D70" w:rsidRPr="00BE4F47" w14:paraId="6F8ECA47"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173FDD1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Diagrammes</w:t>
            </w:r>
          </w:p>
        </w:tc>
        <w:tc>
          <w:tcPr>
            <w:tcW w:w="2700" w:type="dxa"/>
            <w:tcBorders>
              <w:top w:val="single" w:sz="4" w:space="0" w:color="000000"/>
              <w:left w:val="single" w:sz="4" w:space="0" w:color="000000"/>
              <w:bottom w:val="single" w:sz="4" w:space="0" w:color="000000"/>
              <w:right w:val="single" w:sz="4" w:space="0" w:color="000000"/>
            </w:tcBorders>
          </w:tcPr>
          <w:p w14:paraId="0810746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 xml:space="preserve">GEMMA, structure de découpage, arbre des risques, en format </w:t>
            </w:r>
            <w:proofErr w:type="spellStart"/>
            <w:r w:rsidRPr="00BE4F47">
              <w:rPr>
                <w:rFonts w:ascii="Aptos" w:eastAsia="Calibri" w:hAnsi="Aptos" w:cs="Calibri"/>
                <w:color w:val="1A1A19"/>
                <w:sz w:val="15"/>
                <w:szCs w:val="15"/>
                <w:lang w:val="fr-FR"/>
              </w:rPr>
              <w:t>PlantUML</w:t>
            </w:r>
            <w:proofErr w:type="spellEnd"/>
          </w:p>
        </w:tc>
        <w:tc>
          <w:tcPr>
            <w:tcW w:w="1900" w:type="dxa"/>
            <w:tcBorders>
              <w:top w:val="single" w:sz="4" w:space="0" w:color="000000"/>
              <w:left w:val="single" w:sz="4" w:space="0" w:color="000000"/>
              <w:bottom w:val="single" w:sz="4" w:space="0" w:color="000000"/>
              <w:right w:val="single" w:sz="4" w:space="0" w:color="000000"/>
            </w:tcBorders>
          </w:tcPr>
          <w:p w14:paraId="7A4F234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w:t>
            </w:r>
          </w:p>
        </w:tc>
        <w:tc>
          <w:tcPr>
            <w:tcW w:w="1500" w:type="dxa"/>
            <w:tcBorders>
              <w:top w:val="single" w:sz="4" w:space="0" w:color="000000"/>
              <w:left w:val="single" w:sz="4" w:space="0" w:color="000000"/>
              <w:bottom w:val="single" w:sz="4" w:space="0" w:color="000000"/>
              <w:right w:val="single" w:sz="4" w:space="0" w:color="000000"/>
            </w:tcBorders>
          </w:tcPr>
          <w:p w14:paraId="4908748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Auteur du diagramme</w:t>
            </w:r>
          </w:p>
        </w:tc>
        <w:tc>
          <w:tcPr>
            <w:tcW w:w="1360" w:type="dxa"/>
            <w:tcBorders>
              <w:top w:val="single" w:sz="4" w:space="0" w:color="000000"/>
              <w:left w:val="single" w:sz="4" w:space="0" w:color="000000"/>
              <w:bottom w:val="single" w:sz="4" w:space="0" w:color="000000"/>
              <w:right w:val="single" w:sz="4" w:space="0" w:color="000000"/>
            </w:tcBorders>
          </w:tcPr>
          <w:p w14:paraId="646AC83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w:t>
            </w:r>
          </w:p>
        </w:tc>
      </w:tr>
      <w:tr w:rsidR="00F50D70" w:rsidRPr="00BE4F47" w14:paraId="5AD280F7"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53F2F4C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Jeux de données d’essai</w:t>
            </w:r>
          </w:p>
        </w:tc>
        <w:tc>
          <w:tcPr>
            <w:tcW w:w="2700" w:type="dxa"/>
            <w:tcBorders>
              <w:top w:val="single" w:sz="4" w:space="0" w:color="000000"/>
              <w:left w:val="single" w:sz="4" w:space="0" w:color="000000"/>
              <w:bottom w:val="single" w:sz="4" w:space="0" w:color="000000"/>
              <w:right w:val="single" w:sz="4" w:space="0" w:color="000000"/>
            </w:tcBorders>
          </w:tcPr>
          <w:p w14:paraId="2AA4B72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Données synthétiques générées, bruitées et dégradées</w:t>
            </w:r>
          </w:p>
        </w:tc>
        <w:tc>
          <w:tcPr>
            <w:tcW w:w="1900" w:type="dxa"/>
            <w:tcBorders>
              <w:top w:val="single" w:sz="4" w:space="0" w:color="000000"/>
              <w:left w:val="single" w:sz="4" w:space="0" w:color="000000"/>
              <w:bottom w:val="single" w:sz="4" w:space="0" w:color="000000"/>
              <w:right w:val="single" w:sz="4" w:space="0" w:color="000000"/>
            </w:tcBorders>
          </w:tcPr>
          <w:p w14:paraId="0C12421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 via Git LFS si volumineux</w:t>
            </w:r>
          </w:p>
        </w:tc>
        <w:tc>
          <w:tcPr>
            <w:tcW w:w="1500" w:type="dxa"/>
            <w:tcBorders>
              <w:top w:val="single" w:sz="4" w:space="0" w:color="000000"/>
              <w:left w:val="single" w:sz="4" w:space="0" w:color="000000"/>
              <w:bottom w:val="single" w:sz="4" w:space="0" w:color="000000"/>
              <w:right w:val="single" w:sz="4" w:space="0" w:color="000000"/>
            </w:tcBorders>
          </w:tcPr>
          <w:p w14:paraId="337EECD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L9</w:t>
            </w:r>
          </w:p>
        </w:tc>
        <w:tc>
          <w:tcPr>
            <w:tcW w:w="1360" w:type="dxa"/>
            <w:tcBorders>
              <w:top w:val="single" w:sz="4" w:space="0" w:color="000000"/>
              <w:left w:val="single" w:sz="4" w:space="0" w:color="000000"/>
              <w:bottom w:val="single" w:sz="4" w:space="0" w:color="000000"/>
              <w:right w:val="single" w:sz="4" w:space="0" w:color="000000"/>
            </w:tcBorders>
          </w:tcPr>
          <w:p w14:paraId="27509E3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 et empreinte</w:t>
            </w:r>
          </w:p>
        </w:tc>
      </w:tr>
      <w:tr w:rsidR="00F50D70" w:rsidRPr="00BE4F47" w14:paraId="781D783D"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58AA6D8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Résultats d’essais</w:t>
            </w:r>
          </w:p>
        </w:tc>
        <w:tc>
          <w:tcPr>
            <w:tcW w:w="2700" w:type="dxa"/>
            <w:tcBorders>
              <w:top w:val="single" w:sz="4" w:space="0" w:color="000000"/>
              <w:left w:val="single" w:sz="4" w:space="0" w:color="000000"/>
              <w:bottom w:val="single" w:sz="4" w:space="0" w:color="000000"/>
              <w:right w:val="single" w:sz="4" w:space="0" w:color="000000"/>
            </w:tcBorders>
          </w:tcPr>
          <w:p w14:paraId="1D38C02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Journaux, mesures, rapports de couverture</w:t>
            </w:r>
          </w:p>
        </w:tc>
        <w:tc>
          <w:tcPr>
            <w:tcW w:w="1900" w:type="dxa"/>
            <w:tcBorders>
              <w:top w:val="single" w:sz="4" w:space="0" w:color="000000"/>
              <w:left w:val="single" w:sz="4" w:space="0" w:color="000000"/>
              <w:bottom w:val="single" w:sz="4" w:space="0" w:color="000000"/>
              <w:right w:val="single" w:sz="4" w:space="0" w:color="000000"/>
            </w:tcBorders>
          </w:tcPr>
          <w:p w14:paraId="2530E93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w:t>
            </w:r>
          </w:p>
        </w:tc>
        <w:tc>
          <w:tcPr>
            <w:tcW w:w="1500" w:type="dxa"/>
            <w:tcBorders>
              <w:top w:val="single" w:sz="4" w:space="0" w:color="000000"/>
              <w:left w:val="single" w:sz="4" w:space="0" w:color="000000"/>
              <w:bottom w:val="single" w:sz="4" w:space="0" w:color="000000"/>
              <w:right w:val="single" w:sz="4" w:space="0" w:color="000000"/>
            </w:tcBorders>
          </w:tcPr>
          <w:p w14:paraId="606FDAA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L9</w:t>
            </w:r>
          </w:p>
        </w:tc>
        <w:tc>
          <w:tcPr>
            <w:tcW w:w="1360" w:type="dxa"/>
            <w:tcBorders>
              <w:top w:val="single" w:sz="4" w:space="0" w:color="000000"/>
              <w:left w:val="single" w:sz="4" w:space="0" w:color="000000"/>
              <w:bottom w:val="single" w:sz="4" w:space="0" w:color="000000"/>
              <w:right w:val="single" w:sz="4" w:space="0" w:color="000000"/>
            </w:tcBorders>
          </w:tcPr>
          <w:p w14:paraId="3E23A27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 et étiquette</w:t>
            </w:r>
          </w:p>
        </w:tc>
      </w:tr>
      <w:tr w:rsidR="00F50D70" w:rsidRPr="00BE4F47" w14:paraId="5C5586A3"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1D9AAC6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Références bibliographiques</w:t>
            </w:r>
          </w:p>
        </w:tc>
        <w:tc>
          <w:tcPr>
            <w:tcW w:w="2700" w:type="dxa"/>
            <w:tcBorders>
              <w:top w:val="single" w:sz="4" w:space="0" w:color="000000"/>
              <w:left w:val="single" w:sz="4" w:space="0" w:color="000000"/>
              <w:bottom w:val="single" w:sz="4" w:space="0" w:color="000000"/>
              <w:right w:val="single" w:sz="4" w:space="0" w:color="000000"/>
            </w:tcBorders>
          </w:tcPr>
          <w:p w14:paraId="51D4C92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Bibliothèque des sources citées dans les onze sections</w:t>
            </w:r>
          </w:p>
        </w:tc>
        <w:tc>
          <w:tcPr>
            <w:tcW w:w="1900" w:type="dxa"/>
            <w:tcBorders>
              <w:top w:val="single" w:sz="4" w:space="0" w:color="000000"/>
              <w:left w:val="single" w:sz="4" w:space="0" w:color="000000"/>
              <w:bottom w:val="single" w:sz="4" w:space="0" w:color="000000"/>
              <w:right w:val="single" w:sz="4" w:space="0" w:color="000000"/>
            </w:tcBorders>
          </w:tcPr>
          <w:p w14:paraId="6B35BFE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Zotero, avec export déposé au dépôt</w:t>
            </w:r>
          </w:p>
        </w:tc>
        <w:tc>
          <w:tcPr>
            <w:tcW w:w="1500" w:type="dxa"/>
            <w:tcBorders>
              <w:top w:val="single" w:sz="4" w:space="0" w:color="000000"/>
              <w:left w:val="single" w:sz="4" w:space="0" w:color="000000"/>
              <w:bottom w:val="single" w:sz="4" w:space="0" w:color="000000"/>
              <w:right w:val="single" w:sz="4" w:space="0" w:color="000000"/>
            </w:tcBorders>
          </w:tcPr>
          <w:p w14:paraId="0810AA0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tc>
        <w:tc>
          <w:tcPr>
            <w:tcW w:w="1360" w:type="dxa"/>
            <w:tcBorders>
              <w:top w:val="single" w:sz="4" w:space="0" w:color="000000"/>
              <w:left w:val="single" w:sz="4" w:space="0" w:color="000000"/>
              <w:bottom w:val="single" w:sz="4" w:space="0" w:color="000000"/>
              <w:right w:val="single" w:sz="4" w:space="0" w:color="000000"/>
            </w:tcBorders>
          </w:tcPr>
          <w:p w14:paraId="0256F08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Export daté</w:t>
            </w:r>
          </w:p>
        </w:tc>
      </w:tr>
      <w:tr w:rsidR="00F50D70" w:rsidRPr="00BE4F47" w14:paraId="65B5E094"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581B0C2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Suivi des tâches et des risques</w:t>
            </w:r>
          </w:p>
        </w:tc>
        <w:tc>
          <w:tcPr>
            <w:tcW w:w="2700" w:type="dxa"/>
            <w:tcBorders>
              <w:top w:val="single" w:sz="4" w:space="0" w:color="000000"/>
              <w:left w:val="single" w:sz="4" w:space="0" w:color="000000"/>
              <w:bottom w:val="single" w:sz="4" w:space="0" w:color="000000"/>
              <w:right w:val="single" w:sz="4" w:space="0" w:color="000000"/>
            </w:tcBorders>
          </w:tcPr>
          <w:p w14:paraId="20AD5AE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Éléments de travail, affectations, listes de vérification</w:t>
            </w:r>
          </w:p>
        </w:tc>
        <w:tc>
          <w:tcPr>
            <w:tcW w:w="1900" w:type="dxa"/>
            <w:tcBorders>
              <w:top w:val="single" w:sz="4" w:space="0" w:color="000000"/>
              <w:left w:val="single" w:sz="4" w:space="0" w:color="000000"/>
              <w:bottom w:val="single" w:sz="4" w:space="0" w:color="000000"/>
              <w:right w:val="single" w:sz="4" w:space="0" w:color="000000"/>
            </w:tcBorders>
          </w:tcPr>
          <w:p w14:paraId="3586297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 xml:space="preserve">GitHub </w:t>
            </w:r>
            <w:proofErr w:type="spellStart"/>
            <w:r w:rsidRPr="00BE4F47">
              <w:rPr>
                <w:rFonts w:ascii="Aptos" w:eastAsia="Calibri" w:hAnsi="Aptos" w:cs="Calibri"/>
                <w:color w:val="1A1A19"/>
                <w:sz w:val="15"/>
                <w:szCs w:val="15"/>
                <w:lang w:val="fr-FR"/>
              </w:rPr>
              <w:t>Projects</w:t>
            </w:r>
            <w:proofErr w:type="spellEnd"/>
            <w:r w:rsidRPr="00BE4F47">
              <w:rPr>
                <w:rFonts w:ascii="Aptos" w:eastAsia="Calibri" w:hAnsi="Aptos" w:cs="Calibri"/>
                <w:color w:val="1A1A19"/>
                <w:sz w:val="15"/>
                <w:szCs w:val="15"/>
                <w:lang w:val="fr-FR"/>
              </w:rPr>
              <w:t xml:space="preserve"> et issues</w:t>
            </w:r>
          </w:p>
        </w:tc>
        <w:tc>
          <w:tcPr>
            <w:tcW w:w="1500" w:type="dxa"/>
            <w:tcBorders>
              <w:top w:val="single" w:sz="4" w:space="0" w:color="000000"/>
              <w:left w:val="single" w:sz="4" w:space="0" w:color="000000"/>
              <w:bottom w:val="single" w:sz="4" w:space="0" w:color="000000"/>
              <w:right w:val="single" w:sz="4" w:space="0" w:color="000000"/>
            </w:tcBorders>
          </w:tcPr>
          <w:p w14:paraId="76F26FC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tc>
        <w:tc>
          <w:tcPr>
            <w:tcW w:w="1360" w:type="dxa"/>
            <w:tcBorders>
              <w:top w:val="single" w:sz="4" w:space="0" w:color="000000"/>
              <w:left w:val="single" w:sz="4" w:space="0" w:color="000000"/>
              <w:bottom w:val="single" w:sz="4" w:space="0" w:color="000000"/>
              <w:right w:val="single" w:sz="4" w:space="0" w:color="000000"/>
            </w:tcBorders>
          </w:tcPr>
          <w:p w14:paraId="4DB64D0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Journal des issues</w:t>
            </w:r>
          </w:p>
        </w:tc>
      </w:tr>
      <w:tr w:rsidR="00F50D70" w:rsidRPr="00BE4F47" w14:paraId="374B7B4A"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D75823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Comptes rendus</w:t>
            </w:r>
          </w:p>
        </w:tc>
        <w:tc>
          <w:tcPr>
            <w:tcW w:w="2700" w:type="dxa"/>
            <w:tcBorders>
              <w:top w:val="single" w:sz="4" w:space="0" w:color="000000"/>
              <w:left w:val="single" w:sz="4" w:space="0" w:color="000000"/>
              <w:bottom w:val="single" w:sz="4" w:space="0" w:color="000000"/>
              <w:right w:val="single" w:sz="4" w:space="0" w:color="000000"/>
            </w:tcBorders>
          </w:tcPr>
          <w:p w14:paraId="7010E91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Minutes de laboratoire et d’atelier</w:t>
            </w:r>
          </w:p>
        </w:tc>
        <w:tc>
          <w:tcPr>
            <w:tcW w:w="1900" w:type="dxa"/>
            <w:tcBorders>
              <w:top w:val="single" w:sz="4" w:space="0" w:color="000000"/>
              <w:left w:val="single" w:sz="4" w:space="0" w:color="000000"/>
              <w:bottom w:val="single" w:sz="4" w:space="0" w:color="000000"/>
              <w:right w:val="single" w:sz="4" w:space="0" w:color="000000"/>
            </w:tcBorders>
          </w:tcPr>
          <w:p w14:paraId="53CA2BC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 dossier comptes-rendus/</w:t>
            </w:r>
          </w:p>
        </w:tc>
        <w:tc>
          <w:tcPr>
            <w:tcW w:w="1500" w:type="dxa"/>
            <w:tcBorders>
              <w:top w:val="single" w:sz="4" w:space="0" w:color="000000"/>
              <w:left w:val="single" w:sz="4" w:space="0" w:color="000000"/>
              <w:bottom w:val="single" w:sz="4" w:space="0" w:color="000000"/>
              <w:right w:val="single" w:sz="4" w:space="0" w:color="000000"/>
            </w:tcBorders>
          </w:tcPr>
          <w:p w14:paraId="0DFD919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Secrétaire de séance</w:t>
            </w:r>
          </w:p>
        </w:tc>
        <w:tc>
          <w:tcPr>
            <w:tcW w:w="1360" w:type="dxa"/>
            <w:tcBorders>
              <w:top w:val="single" w:sz="4" w:space="0" w:color="000000"/>
              <w:left w:val="single" w:sz="4" w:space="0" w:color="000000"/>
              <w:bottom w:val="single" w:sz="4" w:space="0" w:color="000000"/>
              <w:right w:val="single" w:sz="4" w:space="0" w:color="000000"/>
            </w:tcBorders>
          </w:tcPr>
          <w:p w14:paraId="53C7E93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w:t>
            </w:r>
          </w:p>
        </w:tc>
      </w:tr>
      <w:tr w:rsidR="00F50D70" w:rsidRPr="00BE4F47" w14:paraId="64B02162"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65C58D3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Environnement d’exécution</w:t>
            </w:r>
          </w:p>
        </w:tc>
        <w:tc>
          <w:tcPr>
            <w:tcW w:w="2700" w:type="dxa"/>
            <w:tcBorders>
              <w:top w:val="single" w:sz="4" w:space="0" w:color="000000"/>
              <w:left w:val="single" w:sz="4" w:space="0" w:color="000000"/>
              <w:bottom w:val="single" w:sz="4" w:space="0" w:color="000000"/>
              <w:right w:val="single" w:sz="4" w:space="0" w:color="000000"/>
            </w:tcBorders>
          </w:tcPr>
          <w:p w14:paraId="66C74DD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Versions des bibliothèques employées pour les essais</w:t>
            </w:r>
          </w:p>
        </w:tc>
        <w:tc>
          <w:tcPr>
            <w:tcW w:w="1900" w:type="dxa"/>
            <w:tcBorders>
              <w:top w:val="single" w:sz="4" w:space="0" w:color="000000"/>
              <w:left w:val="single" w:sz="4" w:space="0" w:color="000000"/>
              <w:bottom w:val="single" w:sz="4" w:space="0" w:color="000000"/>
              <w:right w:val="single" w:sz="4" w:space="0" w:color="000000"/>
            </w:tcBorders>
          </w:tcPr>
          <w:p w14:paraId="07015F2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Image Docker étiquetée, fichier au dépôt</w:t>
            </w:r>
          </w:p>
        </w:tc>
        <w:tc>
          <w:tcPr>
            <w:tcW w:w="1500" w:type="dxa"/>
            <w:tcBorders>
              <w:top w:val="single" w:sz="4" w:space="0" w:color="000000"/>
              <w:left w:val="single" w:sz="4" w:space="0" w:color="000000"/>
              <w:bottom w:val="single" w:sz="4" w:space="0" w:color="000000"/>
              <w:right w:val="single" w:sz="4" w:space="0" w:color="000000"/>
            </w:tcBorders>
          </w:tcPr>
          <w:p w14:paraId="5AAB802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L6</w:t>
            </w:r>
          </w:p>
        </w:tc>
        <w:tc>
          <w:tcPr>
            <w:tcW w:w="1360" w:type="dxa"/>
            <w:tcBorders>
              <w:top w:val="single" w:sz="4" w:space="0" w:color="000000"/>
              <w:left w:val="single" w:sz="4" w:space="0" w:color="000000"/>
              <w:bottom w:val="single" w:sz="4" w:space="0" w:color="000000"/>
              <w:right w:val="single" w:sz="4" w:space="0" w:color="000000"/>
            </w:tcBorders>
          </w:tcPr>
          <w:p w14:paraId="005F579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Étiquette</w:t>
            </w:r>
          </w:p>
        </w:tc>
      </w:tr>
    </w:tbl>
    <w:p w14:paraId="53FD8B29" w14:textId="77777777" w:rsidR="00F50D70" w:rsidRPr="00BE4F47" w:rsidRDefault="00F50D70" w:rsidP="008E113B">
      <w:pPr>
        <w:spacing w:line="360" w:lineRule="auto"/>
        <w:ind w:left="360"/>
        <w:rPr>
          <w:rFonts w:ascii="Aptos" w:hAnsi="Aptos"/>
        </w:rPr>
      </w:pPr>
    </w:p>
    <w:p w14:paraId="40D094F6" w14:textId="77777777" w:rsidR="00F50D70" w:rsidRPr="00BE4F47" w:rsidRDefault="00000000" w:rsidP="008E113B">
      <w:pPr>
        <w:spacing w:after="130" w:line="360" w:lineRule="auto"/>
        <w:ind w:left="0"/>
        <w:rPr>
          <w:rFonts w:ascii="Aptos" w:eastAsia="Calibri" w:hAnsi="Aptos" w:cs="Calibri"/>
          <w:color w:val="1A1A19"/>
          <w:sz w:val="20"/>
          <w:szCs w:val="20"/>
        </w:rPr>
      </w:pPr>
      <w:bookmarkStart w:id="161" w:name="_Toc241082898"/>
      <w:r w:rsidRPr="00BE4F47">
        <w:rPr>
          <w:rFonts w:ascii="Aptos" w:eastAsia="Calibri" w:hAnsi="Aptos" w:cs="Calibri"/>
          <w:color w:val="1A1A19"/>
          <w:sz w:val="20"/>
          <w:szCs w:val="20"/>
        </w:rPr>
        <w:t>Tout est au même endroit. Un seul dépôt contient la totalité de ce que le projet produit, à l’exception de la bibliothèque Zotero, dont un export est déposé au dépôt à chaque jalon.</w:t>
      </w:r>
      <w:bookmarkEnd w:id="161"/>
    </w:p>
    <w:p w14:paraId="1CEF7EE1" w14:textId="77777777" w:rsidR="00F50D70" w:rsidRPr="00BE4F47" w:rsidRDefault="00000000" w:rsidP="008E113B">
      <w:pPr>
        <w:spacing w:after="130" w:line="360" w:lineRule="auto"/>
        <w:ind w:left="0"/>
        <w:rPr>
          <w:rFonts w:ascii="Aptos" w:eastAsia="Calibri" w:hAnsi="Aptos" w:cs="Calibri"/>
          <w:color w:val="1A1A19"/>
          <w:sz w:val="20"/>
          <w:szCs w:val="20"/>
        </w:rPr>
      </w:pPr>
      <w:bookmarkStart w:id="162" w:name="_Toc241082899"/>
      <w:r w:rsidRPr="00BE4F47">
        <w:rPr>
          <w:rFonts w:ascii="Aptos" w:eastAsia="Calibri" w:hAnsi="Aptos" w:cs="Calibri"/>
          <w:color w:val="1A1A19"/>
          <w:sz w:val="20"/>
          <w:szCs w:val="20"/>
        </w:rPr>
        <w:lastRenderedPageBreak/>
        <w:t>Les notes personnelles des membres ne font pas partie des informations du projet et ne sont pas déposées.</w:t>
      </w:r>
      <w:bookmarkEnd w:id="162"/>
    </w:p>
    <w:p w14:paraId="2AE34B97" w14:textId="77777777" w:rsidR="00F50D70" w:rsidRPr="00BE4F47" w:rsidRDefault="00F50D70" w:rsidP="008E113B">
      <w:pPr>
        <w:spacing w:line="360" w:lineRule="auto"/>
        <w:ind w:left="360"/>
        <w:rPr>
          <w:rFonts w:ascii="Aptos" w:hAnsi="Aptos"/>
        </w:rPr>
      </w:pPr>
    </w:p>
    <w:p w14:paraId="6CD7AF21" w14:textId="77777777" w:rsidR="00F50D70" w:rsidRPr="00136F18" w:rsidRDefault="00000000" w:rsidP="008E113B">
      <w:pPr>
        <w:pStyle w:val="Titre2"/>
        <w:spacing w:line="360" w:lineRule="auto"/>
      </w:pPr>
      <w:bookmarkStart w:id="163" w:name="_Toc241082900"/>
      <w:r w:rsidRPr="00136F18">
        <w:t>Outils retenus</w:t>
      </w:r>
      <w:bookmarkEnd w:id="163"/>
    </w:p>
    <w:p w14:paraId="29666593"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164" w:name="_Toc241082901"/>
      <w:r w:rsidRPr="00BE4F47">
        <w:rPr>
          <w:rFonts w:ascii="Aptos" w:eastAsia="Calibri" w:hAnsi="Aptos" w:cs="Calibri"/>
          <w:color w:val="1A1A19"/>
          <w:sz w:val="20"/>
          <w:szCs w:val="20"/>
        </w:rPr>
        <w:t>GitHub fournit la plupart des mécanismes. Les autres outils proviennent de la décision d’outillage de la section 8.</w:t>
      </w:r>
      <w:bookmarkEnd w:id="164"/>
    </w:p>
    <w:p w14:paraId="5853711F" w14:textId="77777777" w:rsidR="00F50D70" w:rsidRPr="00BE4F47" w:rsidRDefault="00000000" w:rsidP="008E113B">
      <w:pPr>
        <w:pStyle w:val="Lgende"/>
        <w:spacing w:line="360" w:lineRule="auto"/>
        <w:rPr>
          <w:rFonts w:ascii="Aptos" w:hAnsi="Aptos"/>
        </w:rPr>
      </w:pPr>
      <w:bookmarkStart w:id="165" w:name="_Toc241082902"/>
      <w:r w:rsidRPr="00BE4F47">
        <w:rPr>
          <w:rFonts w:ascii="Aptos" w:hAnsi="Aptos"/>
        </w:rPr>
        <w:t>Tableau 4-2. Mécanismes de gestion et outil correspondant</w:t>
      </w:r>
      <w:bookmarkEnd w:id="165"/>
    </w:p>
    <w:tbl>
      <w:tblPr>
        <w:tblW w:w="9337" w:type="dxa"/>
        <w:tblLayout w:type="fixed"/>
        <w:tblCellMar>
          <w:top w:w="55" w:type="dxa"/>
          <w:left w:w="85" w:type="dxa"/>
          <w:bottom w:w="55" w:type="dxa"/>
          <w:right w:w="85" w:type="dxa"/>
        </w:tblCellMar>
        <w:tblLook w:val="04A0" w:firstRow="1" w:lastRow="0" w:firstColumn="1" w:lastColumn="0" w:noHBand="0" w:noVBand="1"/>
      </w:tblPr>
      <w:tblGrid>
        <w:gridCol w:w="2594"/>
        <w:gridCol w:w="3391"/>
        <w:gridCol w:w="3352"/>
      </w:tblGrid>
      <w:tr w:rsidR="00F50D70" w:rsidRPr="00BE4F47" w14:paraId="2171CC39" w14:textId="77777777" w:rsidTr="0036725C">
        <w:trPr>
          <w:tblHeader/>
        </w:trPr>
        <w:tc>
          <w:tcPr>
            <w:tcW w:w="259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4279F5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Mécanisme</w:t>
            </w:r>
          </w:p>
        </w:tc>
        <w:tc>
          <w:tcPr>
            <w:tcW w:w="339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F1951E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Outil GitHub ou autre</w:t>
            </w:r>
          </w:p>
        </w:tc>
        <w:tc>
          <w:tcPr>
            <w:tcW w:w="335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9670D3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Ce que cela apporte</w:t>
            </w:r>
          </w:p>
        </w:tc>
      </w:tr>
      <w:tr w:rsidR="00F50D70" w:rsidRPr="00BE4F47" w14:paraId="47274AC7"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25B45BC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Historique et sauvegarde</w:t>
            </w:r>
          </w:p>
        </w:tc>
        <w:tc>
          <w:tcPr>
            <w:tcW w:w="3391" w:type="dxa"/>
            <w:tcBorders>
              <w:top w:val="single" w:sz="4" w:space="0" w:color="000000"/>
              <w:left w:val="single" w:sz="4" w:space="0" w:color="000000"/>
              <w:bottom w:val="single" w:sz="4" w:space="0" w:color="000000"/>
              <w:right w:val="single" w:sz="4" w:space="0" w:color="000000"/>
            </w:tcBorders>
          </w:tcPr>
          <w:p w14:paraId="1330EC0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 hébergé sur GitHub</w:t>
            </w:r>
          </w:p>
        </w:tc>
        <w:tc>
          <w:tcPr>
            <w:tcW w:w="3352" w:type="dxa"/>
            <w:tcBorders>
              <w:top w:val="single" w:sz="4" w:space="0" w:color="000000"/>
              <w:left w:val="single" w:sz="4" w:space="0" w:color="000000"/>
              <w:bottom w:val="single" w:sz="4" w:space="0" w:color="000000"/>
              <w:right w:val="single" w:sz="4" w:space="0" w:color="000000"/>
            </w:tcBorders>
          </w:tcPr>
          <w:p w14:paraId="56DBBE7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Chaque modification est datée et attribuée. Chaque membre détient une copie locale complète.</w:t>
            </w:r>
          </w:p>
        </w:tc>
      </w:tr>
      <w:tr w:rsidR="00F50D70" w:rsidRPr="00BE4F47" w14:paraId="605943A5"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496C82D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Revue avant intégration</w:t>
            </w:r>
          </w:p>
        </w:tc>
        <w:tc>
          <w:tcPr>
            <w:tcW w:w="3391" w:type="dxa"/>
            <w:tcBorders>
              <w:top w:val="single" w:sz="4" w:space="0" w:color="000000"/>
              <w:left w:val="single" w:sz="4" w:space="0" w:color="000000"/>
              <w:bottom w:val="single" w:sz="4" w:space="0" w:color="000000"/>
              <w:right w:val="single" w:sz="4" w:space="0" w:color="000000"/>
            </w:tcBorders>
          </w:tcPr>
          <w:p w14:paraId="62E3738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Demande de tirage (pull </w:t>
            </w:r>
            <w:proofErr w:type="spellStart"/>
            <w:r w:rsidRPr="00BE4F47">
              <w:rPr>
                <w:rFonts w:ascii="Aptos" w:eastAsia="Calibri" w:hAnsi="Aptos" w:cs="Calibri"/>
                <w:color w:val="1A1A19"/>
                <w:sz w:val="16"/>
                <w:szCs w:val="16"/>
                <w:lang w:val="fr-FR"/>
              </w:rPr>
              <w:t>request</w:t>
            </w:r>
            <w:proofErr w:type="spellEnd"/>
            <w:r w:rsidRPr="00BE4F47">
              <w:rPr>
                <w:rFonts w:ascii="Aptos" w:eastAsia="Calibri" w:hAnsi="Aptos" w:cs="Calibri"/>
                <w:color w:val="1A1A19"/>
                <w:sz w:val="16"/>
                <w:szCs w:val="16"/>
                <w:lang w:val="fr-FR"/>
              </w:rPr>
              <w:t>)</w:t>
            </w:r>
          </w:p>
        </w:tc>
        <w:tc>
          <w:tcPr>
            <w:tcW w:w="3352" w:type="dxa"/>
            <w:tcBorders>
              <w:top w:val="single" w:sz="4" w:space="0" w:color="000000"/>
              <w:left w:val="single" w:sz="4" w:space="0" w:color="000000"/>
              <w:bottom w:val="single" w:sz="4" w:space="0" w:color="000000"/>
              <w:right w:val="single" w:sz="4" w:space="0" w:color="000000"/>
            </w:tcBorders>
          </w:tcPr>
          <w:p w14:paraId="4AD4CA1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changement est lu avant d’entrer dans la branche principale.</w:t>
            </w:r>
          </w:p>
        </w:tc>
      </w:tr>
      <w:tr w:rsidR="00F50D70" w:rsidRPr="00BE4F47" w14:paraId="1C7554CF"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5B84FDB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Désignation du relecteur</w:t>
            </w:r>
          </w:p>
        </w:tc>
        <w:tc>
          <w:tcPr>
            <w:tcW w:w="3391" w:type="dxa"/>
            <w:tcBorders>
              <w:top w:val="single" w:sz="4" w:space="0" w:color="000000"/>
              <w:left w:val="single" w:sz="4" w:space="0" w:color="000000"/>
              <w:bottom w:val="single" w:sz="4" w:space="0" w:color="000000"/>
              <w:right w:val="single" w:sz="4" w:space="0" w:color="000000"/>
            </w:tcBorders>
          </w:tcPr>
          <w:p w14:paraId="18070B9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Fichier CODEOWNERS</w:t>
            </w:r>
          </w:p>
        </w:tc>
        <w:tc>
          <w:tcPr>
            <w:tcW w:w="3352" w:type="dxa"/>
            <w:tcBorders>
              <w:top w:val="single" w:sz="4" w:space="0" w:color="000000"/>
              <w:left w:val="single" w:sz="4" w:space="0" w:color="000000"/>
              <w:bottom w:val="single" w:sz="4" w:space="0" w:color="000000"/>
              <w:right w:val="single" w:sz="4" w:space="0" w:color="000000"/>
            </w:tcBorders>
          </w:tcPr>
          <w:p w14:paraId="6155323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relecteur de chaque dossier est déclaré une fois, puis assigné automatiquement.</w:t>
            </w:r>
          </w:p>
        </w:tc>
      </w:tr>
      <w:tr w:rsidR="00F50D70" w:rsidRPr="00BE4F47" w14:paraId="7AC90D5B"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5C434C5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Interdiction de fusionner son propre travail</w:t>
            </w:r>
          </w:p>
        </w:tc>
        <w:tc>
          <w:tcPr>
            <w:tcW w:w="3391" w:type="dxa"/>
            <w:tcBorders>
              <w:top w:val="single" w:sz="4" w:space="0" w:color="000000"/>
              <w:left w:val="single" w:sz="4" w:space="0" w:color="000000"/>
              <w:bottom w:val="single" w:sz="4" w:space="0" w:color="000000"/>
              <w:right w:val="single" w:sz="4" w:space="0" w:color="000000"/>
            </w:tcBorders>
          </w:tcPr>
          <w:p w14:paraId="1CD44F7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Protection de la branche principale</w:t>
            </w:r>
          </w:p>
        </w:tc>
        <w:tc>
          <w:tcPr>
            <w:tcW w:w="3352" w:type="dxa"/>
            <w:tcBorders>
              <w:top w:val="single" w:sz="4" w:space="0" w:color="000000"/>
              <w:left w:val="single" w:sz="4" w:space="0" w:color="000000"/>
              <w:bottom w:val="single" w:sz="4" w:space="0" w:color="000000"/>
              <w:right w:val="single" w:sz="4" w:space="0" w:color="000000"/>
            </w:tcBorders>
          </w:tcPr>
          <w:p w14:paraId="17FA5CD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règle est appliquée par la plateforme et non par la bonne volonté de chacun.</w:t>
            </w:r>
          </w:p>
        </w:tc>
      </w:tr>
      <w:tr w:rsidR="00F50D70" w:rsidRPr="00BE4F47" w14:paraId="7E79B7AC"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0E12470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Liste de vérification</w:t>
            </w:r>
          </w:p>
        </w:tc>
        <w:tc>
          <w:tcPr>
            <w:tcW w:w="3391" w:type="dxa"/>
            <w:tcBorders>
              <w:top w:val="single" w:sz="4" w:space="0" w:color="000000"/>
              <w:left w:val="single" w:sz="4" w:space="0" w:color="000000"/>
              <w:bottom w:val="single" w:sz="4" w:space="0" w:color="000000"/>
              <w:right w:val="single" w:sz="4" w:space="0" w:color="000000"/>
            </w:tcBorders>
          </w:tcPr>
          <w:p w14:paraId="6E3CCC9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Gabarit de demande de tirage</w:t>
            </w:r>
          </w:p>
        </w:tc>
        <w:tc>
          <w:tcPr>
            <w:tcW w:w="3352" w:type="dxa"/>
            <w:tcBorders>
              <w:top w:val="single" w:sz="4" w:space="0" w:color="000000"/>
              <w:left w:val="single" w:sz="4" w:space="0" w:color="000000"/>
              <w:bottom w:val="single" w:sz="4" w:space="0" w:color="000000"/>
              <w:right w:val="single" w:sz="4" w:space="0" w:color="000000"/>
            </w:tcBorders>
          </w:tcPr>
          <w:p w14:paraId="2D82656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six points apparaissent automatiquement à chaque demande.</w:t>
            </w:r>
          </w:p>
        </w:tc>
      </w:tr>
      <w:tr w:rsidR="00F50D70" w:rsidRPr="00BE4F47" w14:paraId="77E4C554"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1E8840B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Suivi des tâches</w:t>
            </w:r>
          </w:p>
        </w:tc>
        <w:tc>
          <w:tcPr>
            <w:tcW w:w="3391" w:type="dxa"/>
            <w:tcBorders>
              <w:top w:val="single" w:sz="4" w:space="0" w:color="000000"/>
              <w:left w:val="single" w:sz="4" w:space="0" w:color="000000"/>
              <w:bottom w:val="single" w:sz="4" w:space="0" w:color="000000"/>
              <w:right w:val="single" w:sz="4" w:space="0" w:color="000000"/>
            </w:tcBorders>
          </w:tcPr>
          <w:p w14:paraId="6C27707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GitHub </w:t>
            </w:r>
            <w:proofErr w:type="spellStart"/>
            <w:r w:rsidRPr="00BE4F47">
              <w:rPr>
                <w:rFonts w:ascii="Aptos" w:eastAsia="Calibri" w:hAnsi="Aptos" w:cs="Calibri"/>
                <w:color w:val="1A1A19"/>
                <w:sz w:val="16"/>
                <w:szCs w:val="16"/>
                <w:lang w:val="fr-FR"/>
              </w:rPr>
              <w:t>Projects</w:t>
            </w:r>
            <w:proofErr w:type="spellEnd"/>
            <w:r w:rsidRPr="00BE4F47">
              <w:rPr>
                <w:rFonts w:ascii="Aptos" w:eastAsia="Calibri" w:hAnsi="Aptos" w:cs="Calibri"/>
                <w:color w:val="1A1A19"/>
                <w:sz w:val="16"/>
                <w:szCs w:val="16"/>
                <w:lang w:val="fr-FR"/>
              </w:rPr>
              <w:t xml:space="preserve"> et issues</w:t>
            </w:r>
          </w:p>
        </w:tc>
        <w:tc>
          <w:tcPr>
            <w:tcW w:w="3352" w:type="dxa"/>
            <w:tcBorders>
              <w:top w:val="single" w:sz="4" w:space="0" w:color="000000"/>
              <w:left w:val="single" w:sz="4" w:space="0" w:color="000000"/>
              <w:bottom w:val="single" w:sz="4" w:space="0" w:color="000000"/>
              <w:right w:val="single" w:sz="4" w:space="0" w:color="000000"/>
            </w:tcBorders>
          </w:tcPr>
          <w:p w14:paraId="40116F3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Un élément de travail par tâche, rattaché à un jalon et à un lot.</w:t>
            </w:r>
          </w:p>
        </w:tc>
      </w:tr>
      <w:tr w:rsidR="00F50D70" w:rsidRPr="00BE4F47" w14:paraId="7F8F1BAB"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1E732FB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Jalons</w:t>
            </w:r>
          </w:p>
        </w:tc>
        <w:tc>
          <w:tcPr>
            <w:tcW w:w="3391" w:type="dxa"/>
            <w:tcBorders>
              <w:top w:val="single" w:sz="4" w:space="0" w:color="000000"/>
              <w:left w:val="single" w:sz="4" w:space="0" w:color="000000"/>
              <w:bottom w:val="single" w:sz="4" w:space="0" w:color="000000"/>
              <w:right w:val="single" w:sz="4" w:space="0" w:color="000000"/>
            </w:tcBorders>
          </w:tcPr>
          <w:p w14:paraId="43FB21D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proofErr w:type="spellStart"/>
            <w:r w:rsidRPr="00BE4F47">
              <w:rPr>
                <w:rFonts w:ascii="Aptos" w:eastAsia="Calibri" w:hAnsi="Aptos" w:cs="Calibri"/>
                <w:color w:val="1A1A19"/>
                <w:sz w:val="16"/>
                <w:szCs w:val="16"/>
                <w:lang w:val="fr-FR"/>
              </w:rPr>
              <w:t>Milestones</w:t>
            </w:r>
            <w:proofErr w:type="spellEnd"/>
            <w:r w:rsidRPr="00BE4F47">
              <w:rPr>
                <w:rFonts w:ascii="Aptos" w:eastAsia="Calibri" w:hAnsi="Aptos" w:cs="Calibri"/>
                <w:color w:val="1A1A19"/>
                <w:sz w:val="16"/>
                <w:szCs w:val="16"/>
                <w:lang w:val="fr-FR"/>
              </w:rPr>
              <w:t xml:space="preserve"> GitHub</w:t>
            </w:r>
          </w:p>
        </w:tc>
        <w:tc>
          <w:tcPr>
            <w:tcW w:w="3352" w:type="dxa"/>
            <w:tcBorders>
              <w:top w:val="single" w:sz="4" w:space="0" w:color="000000"/>
              <w:left w:val="single" w:sz="4" w:space="0" w:color="000000"/>
              <w:bottom w:val="single" w:sz="4" w:space="0" w:color="000000"/>
              <w:right w:val="single" w:sz="4" w:space="0" w:color="000000"/>
            </w:tcBorders>
          </w:tcPr>
          <w:p w14:paraId="144D966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J0 à J5 déclarés une fois. Chaque issue y est rattachée.</w:t>
            </w:r>
          </w:p>
        </w:tc>
      </w:tr>
      <w:tr w:rsidR="00F50D70" w:rsidRPr="00BE4F47" w14:paraId="0C5AFE96"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302568C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Configurations de référence</w:t>
            </w:r>
          </w:p>
        </w:tc>
        <w:tc>
          <w:tcPr>
            <w:tcW w:w="3391" w:type="dxa"/>
            <w:tcBorders>
              <w:top w:val="single" w:sz="4" w:space="0" w:color="000000"/>
              <w:left w:val="single" w:sz="4" w:space="0" w:color="000000"/>
              <w:bottom w:val="single" w:sz="4" w:space="0" w:color="000000"/>
              <w:right w:val="single" w:sz="4" w:space="0" w:color="000000"/>
            </w:tcBorders>
          </w:tcPr>
          <w:p w14:paraId="2632801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Étiquettes et publications (releases)</w:t>
            </w:r>
          </w:p>
        </w:tc>
        <w:tc>
          <w:tcPr>
            <w:tcW w:w="3352" w:type="dxa"/>
            <w:tcBorders>
              <w:top w:val="single" w:sz="4" w:space="0" w:color="000000"/>
              <w:left w:val="single" w:sz="4" w:space="0" w:color="000000"/>
              <w:bottom w:val="single" w:sz="4" w:space="0" w:color="000000"/>
              <w:right w:val="single" w:sz="4" w:space="0" w:color="000000"/>
            </w:tcBorders>
          </w:tcPr>
          <w:p w14:paraId="7A683F8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L’état exact du dépôt à chaque jalon est conservé et téléchargeable.</w:t>
            </w:r>
          </w:p>
        </w:tc>
      </w:tr>
      <w:tr w:rsidR="00F50D70" w:rsidRPr="00BE4F47" w14:paraId="4FD5781B"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19E5656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Registre des changements</w:t>
            </w:r>
          </w:p>
        </w:tc>
        <w:tc>
          <w:tcPr>
            <w:tcW w:w="3391" w:type="dxa"/>
            <w:tcBorders>
              <w:top w:val="single" w:sz="4" w:space="0" w:color="000000"/>
              <w:left w:val="single" w:sz="4" w:space="0" w:color="000000"/>
              <w:bottom w:val="single" w:sz="4" w:space="0" w:color="000000"/>
              <w:right w:val="single" w:sz="4" w:space="0" w:color="000000"/>
            </w:tcBorders>
          </w:tcPr>
          <w:p w14:paraId="10711BD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Issues portant l’étiquette changement</w:t>
            </w:r>
          </w:p>
        </w:tc>
        <w:tc>
          <w:tcPr>
            <w:tcW w:w="3352" w:type="dxa"/>
            <w:tcBorders>
              <w:top w:val="single" w:sz="4" w:space="0" w:color="000000"/>
              <w:left w:val="single" w:sz="4" w:space="0" w:color="000000"/>
              <w:bottom w:val="single" w:sz="4" w:space="0" w:color="000000"/>
              <w:right w:val="single" w:sz="4" w:space="0" w:color="000000"/>
            </w:tcBorders>
          </w:tcPr>
          <w:p w14:paraId="5E4673C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Toute demande de fonction nouvelle après le jalon J3 y est versée.</w:t>
            </w:r>
          </w:p>
        </w:tc>
      </w:tr>
      <w:tr w:rsidR="00F50D70" w:rsidRPr="00BE4F47" w14:paraId="1AAB2DAC"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4B6D8E9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Fichiers volumineux</w:t>
            </w:r>
          </w:p>
        </w:tc>
        <w:tc>
          <w:tcPr>
            <w:tcW w:w="3391" w:type="dxa"/>
            <w:tcBorders>
              <w:top w:val="single" w:sz="4" w:space="0" w:color="000000"/>
              <w:left w:val="single" w:sz="4" w:space="0" w:color="000000"/>
              <w:bottom w:val="single" w:sz="4" w:space="0" w:color="000000"/>
              <w:right w:val="single" w:sz="4" w:space="0" w:color="000000"/>
            </w:tcBorders>
          </w:tcPr>
          <w:p w14:paraId="4503BDC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Git LFS</w:t>
            </w:r>
          </w:p>
        </w:tc>
        <w:tc>
          <w:tcPr>
            <w:tcW w:w="3352" w:type="dxa"/>
            <w:tcBorders>
              <w:top w:val="single" w:sz="4" w:space="0" w:color="000000"/>
              <w:left w:val="single" w:sz="4" w:space="0" w:color="000000"/>
              <w:bottom w:val="single" w:sz="4" w:space="0" w:color="000000"/>
              <w:right w:val="single" w:sz="4" w:space="0" w:color="000000"/>
            </w:tcBorders>
          </w:tcPr>
          <w:p w14:paraId="3B933D8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jeux de données dépassant la limite du dépôt ordinaire y sont stockés.</w:t>
            </w:r>
          </w:p>
        </w:tc>
      </w:tr>
      <w:tr w:rsidR="00F50D70" w:rsidRPr="00BE4F47" w14:paraId="00885EA6"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3403CE9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Environnement d’exécution</w:t>
            </w:r>
          </w:p>
        </w:tc>
        <w:tc>
          <w:tcPr>
            <w:tcW w:w="3391" w:type="dxa"/>
            <w:tcBorders>
              <w:top w:val="single" w:sz="4" w:space="0" w:color="000000"/>
              <w:left w:val="single" w:sz="4" w:space="0" w:color="000000"/>
              <w:bottom w:val="single" w:sz="4" w:space="0" w:color="000000"/>
              <w:right w:val="single" w:sz="4" w:space="0" w:color="000000"/>
            </w:tcBorders>
          </w:tcPr>
          <w:p w14:paraId="111A408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Fichier Docker au dépôt</w:t>
            </w:r>
          </w:p>
        </w:tc>
        <w:tc>
          <w:tcPr>
            <w:tcW w:w="3352" w:type="dxa"/>
            <w:tcBorders>
              <w:top w:val="single" w:sz="4" w:space="0" w:color="000000"/>
              <w:left w:val="single" w:sz="4" w:space="0" w:color="000000"/>
              <w:bottom w:val="single" w:sz="4" w:space="0" w:color="000000"/>
              <w:right w:val="single" w:sz="4" w:space="0" w:color="000000"/>
            </w:tcBorders>
          </w:tcPr>
          <w:p w14:paraId="372AD05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Fige les versions des bibliothèques employées pour un essai.</w:t>
            </w:r>
          </w:p>
        </w:tc>
      </w:tr>
      <w:tr w:rsidR="00F50D70" w:rsidRPr="00BE4F47" w14:paraId="2D86743C"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0AA3B82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Références bibliographiques</w:t>
            </w:r>
          </w:p>
        </w:tc>
        <w:tc>
          <w:tcPr>
            <w:tcW w:w="3391" w:type="dxa"/>
            <w:tcBorders>
              <w:top w:val="single" w:sz="4" w:space="0" w:color="000000"/>
              <w:left w:val="single" w:sz="4" w:space="0" w:color="000000"/>
              <w:bottom w:val="single" w:sz="4" w:space="0" w:color="000000"/>
              <w:right w:val="single" w:sz="4" w:space="0" w:color="000000"/>
            </w:tcBorders>
          </w:tcPr>
          <w:p w14:paraId="45DBC22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Zotero, style IEEE</w:t>
            </w:r>
          </w:p>
        </w:tc>
        <w:tc>
          <w:tcPr>
            <w:tcW w:w="3352" w:type="dxa"/>
            <w:tcBorders>
              <w:top w:val="single" w:sz="4" w:space="0" w:color="000000"/>
              <w:left w:val="single" w:sz="4" w:space="0" w:color="000000"/>
              <w:bottom w:val="single" w:sz="4" w:space="0" w:color="000000"/>
              <w:right w:val="single" w:sz="4" w:space="0" w:color="000000"/>
            </w:tcBorders>
          </w:tcPr>
          <w:p w14:paraId="1AB504D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Bibliothèque unique tenue par le chargé de projet. Un export est déposé à chaque jalon.</w:t>
            </w:r>
          </w:p>
        </w:tc>
      </w:tr>
    </w:tbl>
    <w:p w14:paraId="1A25DF04" w14:textId="77777777" w:rsidR="00F50D70" w:rsidRPr="00BE4F47" w:rsidRDefault="00F50D70" w:rsidP="008E113B">
      <w:pPr>
        <w:spacing w:line="360" w:lineRule="auto"/>
        <w:ind w:left="0"/>
        <w:rPr>
          <w:rFonts w:ascii="Aptos" w:hAnsi="Aptos"/>
          <w:lang w:val="fr-FR"/>
        </w:rPr>
      </w:pPr>
    </w:p>
    <w:p w14:paraId="39E95F4A" w14:textId="77777777" w:rsidR="00F50D70" w:rsidRPr="00BE4F47" w:rsidRDefault="00F50D70" w:rsidP="008E113B">
      <w:pPr>
        <w:spacing w:line="360" w:lineRule="auto"/>
        <w:ind w:left="0"/>
        <w:rPr>
          <w:rFonts w:ascii="Aptos" w:hAnsi="Aptos"/>
          <w:lang w:val="fr-FR"/>
        </w:rPr>
      </w:pPr>
    </w:p>
    <w:p w14:paraId="48F9749F" w14:textId="77777777" w:rsidR="00F50D70" w:rsidRPr="00136F18" w:rsidRDefault="00000000" w:rsidP="008E113B">
      <w:pPr>
        <w:pStyle w:val="Titre2"/>
        <w:spacing w:line="360" w:lineRule="auto"/>
      </w:pPr>
      <w:bookmarkStart w:id="166" w:name="_Toc241082903"/>
      <w:r w:rsidRPr="00136F18">
        <w:t>Flux de travail et revue par les pairs</w:t>
      </w:r>
      <w:bookmarkEnd w:id="166"/>
    </w:p>
    <w:p w14:paraId="24FBD054"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167" w:name="_Toc241082904"/>
      <w:r w:rsidRPr="00BE4F47">
        <w:rPr>
          <w:rFonts w:ascii="Aptos" w:eastAsia="Calibri" w:hAnsi="Aptos" w:cs="Calibri"/>
          <w:color w:val="1A1A19"/>
          <w:sz w:val="20"/>
          <w:szCs w:val="20"/>
        </w:rPr>
        <w:t>La branche principale est protégée par la configuration du dépôt. Personne ne peut y écrire directement, pas même le chargé de projet.</w:t>
      </w:r>
      <w:bookmarkEnd w:id="167"/>
    </w:p>
    <w:p w14:paraId="6B73F4D0"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168" w:name="_Toc241082905"/>
      <w:r w:rsidRPr="00BE4F47">
        <w:rPr>
          <w:rFonts w:ascii="Aptos" w:eastAsia="Calibri" w:hAnsi="Aptos" w:cs="Calibri"/>
          <w:color w:val="1A1A19"/>
          <w:sz w:val="20"/>
          <w:szCs w:val="20"/>
        </w:rPr>
        <w:t>Chaque travail se fait sur une branche dédiée, nommée d’après le lot et l’objet du travail.</w:t>
      </w:r>
      <w:bookmarkEnd w:id="168"/>
    </w:p>
    <w:p w14:paraId="5A83C8A5" w14:textId="77777777" w:rsidR="00F50D70" w:rsidRPr="00BE4F47" w:rsidRDefault="00000000" w:rsidP="008E113B">
      <w:pPr>
        <w:spacing w:after="130" w:line="360" w:lineRule="auto"/>
        <w:ind w:left="425"/>
        <w:rPr>
          <w:rFonts w:ascii="Aptos" w:hAnsi="Aptos"/>
        </w:rPr>
      </w:pPr>
      <w:bookmarkStart w:id="169" w:name="_Toc241082906"/>
      <w:r w:rsidRPr="00BE4F47">
        <w:rPr>
          <w:rFonts w:ascii="Aptos" w:eastAsia="Calibri" w:hAnsi="Aptos" w:cs="Calibri"/>
          <w:color w:val="1A1A19"/>
          <w:sz w:val="20"/>
          <w:szCs w:val="20"/>
        </w:rPr>
        <w:lastRenderedPageBreak/>
        <w:t>L’intégration passe par une demande de tirage. C’est le point de revue. Le relecteur est désigné automatiquement par le fichier, qui associe chaque dossier à son relecteur selon la rotation du RACI de la section 3.</w:t>
      </w:r>
      <w:bookmarkEnd w:id="169"/>
    </w:p>
    <w:p w14:paraId="0CB5502A"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170" w:name="_Toc241082907"/>
      <w:r w:rsidRPr="00BE4F47">
        <w:rPr>
          <w:rFonts w:ascii="Aptos" w:eastAsia="Calibri" w:hAnsi="Aptos" w:cs="Calibri"/>
          <w:color w:val="1A1A19"/>
          <w:sz w:val="20"/>
          <w:szCs w:val="20"/>
        </w:rPr>
        <w:t>Une issue n’est fermée que par la fusion de la demande de tirage qui la traite. L’auteur ne ferme pas sa propre issue.</w:t>
      </w:r>
      <w:bookmarkEnd w:id="170"/>
    </w:p>
    <w:p w14:paraId="22D11627" w14:textId="77777777" w:rsidR="00F50D70" w:rsidRPr="00BE4F47" w:rsidRDefault="00F50D70" w:rsidP="008E113B">
      <w:pPr>
        <w:spacing w:line="360" w:lineRule="auto"/>
        <w:ind w:left="720"/>
        <w:outlineLvl w:val="9"/>
        <w:rPr>
          <w:rFonts w:ascii="Aptos" w:hAnsi="Aptos"/>
        </w:rPr>
      </w:pPr>
    </w:p>
    <w:p w14:paraId="4A4BA72A" w14:textId="77777777" w:rsidR="00F50D70" w:rsidRPr="00136F18" w:rsidRDefault="00000000" w:rsidP="008E113B">
      <w:pPr>
        <w:pStyle w:val="Titre1"/>
        <w:spacing w:line="360" w:lineRule="auto"/>
      </w:pPr>
      <w:bookmarkStart w:id="171" w:name="__RefHeading___Toc240715125"/>
      <w:bookmarkStart w:id="172" w:name="_Toc241082908"/>
      <w:bookmarkEnd w:id="171"/>
      <w:r w:rsidRPr="00136F18">
        <w:t>Revue de l’état de l’art</w:t>
      </w:r>
      <w:bookmarkEnd w:id="172"/>
    </w:p>
    <w:p w14:paraId="5358DDA8" w14:textId="77777777" w:rsidR="00F50D70" w:rsidRPr="00BE4F47" w:rsidRDefault="00000000" w:rsidP="008E113B">
      <w:pPr>
        <w:spacing w:after="130" w:line="360" w:lineRule="auto"/>
        <w:ind w:left="360"/>
        <w:rPr>
          <w:rFonts w:ascii="Aptos" w:hAnsi="Aptos"/>
        </w:rPr>
      </w:pPr>
      <w:bookmarkStart w:id="173" w:name="_Toc241082909"/>
      <w:r w:rsidRPr="00BE4F47">
        <w:rPr>
          <w:rFonts w:ascii="Aptos" w:eastAsia="Calibri" w:hAnsi="Aptos" w:cs="Calibri"/>
          <w:color w:val="1A1A19"/>
          <w:sz w:val="20"/>
          <w:szCs w:val="20"/>
        </w:rPr>
        <w:t>Le dispositif de travail étant posé, il reste à savoir ce qui existe déjà. La revue porte sur les jumeaux numériques en contexte nucléaire, la modélisation thermohydraulique, la détection d’anomalies, la quantification de l’incertitude, la cybersécurité des systèmes industriels et l’aide à la décision, puis situe le projet face à la solution la plus proche.</w:t>
      </w:r>
      <w:bookmarkEnd w:id="173"/>
    </w:p>
    <w:p w14:paraId="133C6959" w14:textId="77777777" w:rsidR="00F50D70" w:rsidRPr="00BE4F47" w:rsidRDefault="00F50D70" w:rsidP="008E113B">
      <w:pPr>
        <w:spacing w:line="360" w:lineRule="auto"/>
        <w:ind w:left="0"/>
        <w:rPr>
          <w:rFonts w:ascii="Aptos" w:eastAsia="Calibri" w:hAnsi="Aptos" w:cs="Calibri"/>
          <w:color w:val="1A1A19"/>
          <w:sz w:val="20"/>
          <w:szCs w:val="20"/>
        </w:rPr>
      </w:pPr>
    </w:p>
    <w:p w14:paraId="0FA243B7" w14:textId="77777777" w:rsidR="00F50D70" w:rsidRPr="00256140" w:rsidRDefault="00000000" w:rsidP="008E113B">
      <w:pPr>
        <w:pStyle w:val="Titre2"/>
        <w:spacing w:line="360" w:lineRule="auto"/>
      </w:pPr>
      <w:r w:rsidRPr="00256140">
        <w:t xml:space="preserve"> </w:t>
      </w:r>
      <w:bookmarkStart w:id="174" w:name="__RefHeading___Toc240715127"/>
      <w:bookmarkStart w:id="175" w:name="_Toc241082911"/>
      <w:r w:rsidRPr="00256140">
        <w:t>Méthode de recherche</w:t>
      </w:r>
      <w:bookmarkEnd w:id="174"/>
      <w:bookmarkEnd w:id="175"/>
    </w:p>
    <w:p w14:paraId="5F0C88CA" w14:textId="77777777" w:rsidR="00F50D70" w:rsidRPr="00BE4F47" w:rsidRDefault="00000000" w:rsidP="008E113B">
      <w:pPr>
        <w:spacing w:after="130" w:line="360" w:lineRule="auto"/>
        <w:ind w:left="425"/>
        <w:rPr>
          <w:rFonts w:ascii="Aptos" w:hAnsi="Aptos"/>
        </w:rPr>
      </w:pPr>
      <w:bookmarkStart w:id="176" w:name="_Toc241082912"/>
      <w:r w:rsidRPr="00BE4F47">
        <w:rPr>
          <w:rFonts w:ascii="Aptos" w:eastAsia="Calibri" w:hAnsi="Aptos" w:cs="Calibri"/>
          <w:color w:val="1A1A19"/>
          <w:sz w:val="20"/>
          <w:szCs w:val="20"/>
        </w:rPr>
        <w:t>Une revue n’a de valeur que si elle est reproductible. Le protocole ci-dessous permet à un tiers de refaire la recherche et d’obtenir un résultat comparable.</w:t>
      </w:r>
      <w:bookmarkEnd w:id="176"/>
    </w:p>
    <w:p w14:paraId="7EE887E5" w14:textId="77777777" w:rsidR="00F50D70" w:rsidRPr="00BE4F47" w:rsidRDefault="00000000" w:rsidP="008E113B">
      <w:pPr>
        <w:pStyle w:val="Lgende"/>
        <w:spacing w:line="360" w:lineRule="auto"/>
        <w:rPr>
          <w:rFonts w:ascii="Aptos" w:hAnsi="Aptos"/>
        </w:rPr>
      </w:pPr>
      <w:bookmarkStart w:id="177" w:name="_Toc241082913"/>
      <w:r w:rsidRPr="00BE4F47">
        <w:rPr>
          <w:rFonts w:ascii="Aptos" w:hAnsi="Aptos"/>
        </w:rPr>
        <w:t>Tableau 5-1. Protocole de la recherche documentaire</w:t>
      </w:r>
      <w:bookmarkEnd w:id="177"/>
    </w:p>
    <w:tbl>
      <w:tblPr>
        <w:tblW w:w="8353" w:type="dxa"/>
        <w:tblInd w:w="690" w:type="dxa"/>
        <w:tblLayout w:type="fixed"/>
        <w:tblCellMar>
          <w:top w:w="60" w:type="dxa"/>
          <w:left w:w="90" w:type="dxa"/>
          <w:bottom w:w="60" w:type="dxa"/>
          <w:right w:w="90" w:type="dxa"/>
        </w:tblCellMar>
        <w:tblLook w:val="04A0" w:firstRow="1" w:lastRow="0" w:firstColumn="1" w:lastColumn="0" w:noHBand="0" w:noVBand="1"/>
      </w:tblPr>
      <w:tblGrid>
        <w:gridCol w:w="2052"/>
        <w:gridCol w:w="6301"/>
      </w:tblGrid>
      <w:tr w:rsidR="00F50D70" w:rsidRPr="00BE4F47" w14:paraId="38091969" w14:textId="77777777" w:rsidTr="0036725C">
        <w:trPr>
          <w:trHeight w:val="236"/>
          <w:tblHeader/>
        </w:trPr>
        <w:tc>
          <w:tcPr>
            <w:tcW w:w="205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9B2463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Élément</w:t>
            </w:r>
          </w:p>
        </w:tc>
        <w:tc>
          <w:tcPr>
            <w:tcW w:w="630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73C86B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Valeur</w:t>
            </w:r>
          </w:p>
        </w:tc>
      </w:tr>
      <w:tr w:rsidR="00F50D70" w:rsidRPr="00BE4F47" w14:paraId="055F2593" w14:textId="77777777">
        <w:trPr>
          <w:trHeight w:val="254"/>
        </w:trPr>
        <w:tc>
          <w:tcPr>
            <w:tcW w:w="2052" w:type="dxa"/>
            <w:tcBorders>
              <w:top w:val="single" w:sz="4" w:space="0" w:color="000000"/>
              <w:left w:val="single" w:sz="4" w:space="0" w:color="000000"/>
              <w:bottom w:val="single" w:sz="4" w:space="0" w:color="000000"/>
              <w:right w:val="single" w:sz="4" w:space="0" w:color="000000"/>
            </w:tcBorders>
          </w:tcPr>
          <w:p w14:paraId="50209F7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Date de la recherche</w:t>
            </w:r>
          </w:p>
        </w:tc>
        <w:tc>
          <w:tcPr>
            <w:tcW w:w="6301" w:type="dxa"/>
            <w:tcBorders>
              <w:top w:val="single" w:sz="4" w:space="0" w:color="000000"/>
              <w:left w:val="single" w:sz="4" w:space="0" w:color="000000"/>
              <w:bottom w:val="single" w:sz="4" w:space="0" w:color="000000"/>
              <w:right w:val="single" w:sz="4" w:space="0" w:color="000000"/>
            </w:tcBorders>
          </w:tcPr>
          <w:p w14:paraId="0E91AB2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À COMPLÉTER ]</w:t>
            </w:r>
          </w:p>
        </w:tc>
      </w:tr>
      <w:tr w:rsidR="00F50D70" w:rsidRPr="00BE4F47" w14:paraId="2EEF10B6" w14:textId="77777777">
        <w:trPr>
          <w:trHeight w:val="244"/>
        </w:trPr>
        <w:tc>
          <w:tcPr>
            <w:tcW w:w="2052" w:type="dxa"/>
            <w:tcBorders>
              <w:top w:val="single" w:sz="4" w:space="0" w:color="000000"/>
              <w:left w:val="single" w:sz="4" w:space="0" w:color="000000"/>
              <w:bottom w:val="single" w:sz="4" w:space="0" w:color="000000"/>
              <w:right w:val="single" w:sz="4" w:space="0" w:color="000000"/>
            </w:tcBorders>
          </w:tcPr>
          <w:p w14:paraId="2E31334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Bases interrogées</w:t>
            </w:r>
          </w:p>
        </w:tc>
        <w:tc>
          <w:tcPr>
            <w:tcW w:w="6301" w:type="dxa"/>
            <w:tcBorders>
              <w:top w:val="single" w:sz="4" w:space="0" w:color="000000"/>
              <w:left w:val="single" w:sz="4" w:space="0" w:color="000000"/>
              <w:bottom w:val="single" w:sz="4" w:space="0" w:color="000000"/>
              <w:right w:val="single" w:sz="4" w:space="0" w:color="000000"/>
            </w:tcBorders>
          </w:tcPr>
          <w:p w14:paraId="3089BB9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IEEE Xplore, Scopus, Google Scholar, ASME Digital Collection, Google Patents</w:t>
            </w:r>
          </w:p>
        </w:tc>
      </w:tr>
      <w:tr w:rsidR="00F50D70" w:rsidRPr="00BE4F47" w14:paraId="08E848BC" w14:textId="77777777">
        <w:trPr>
          <w:trHeight w:val="1475"/>
        </w:trPr>
        <w:tc>
          <w:tcPr>
            <w:tcW w:w="2052" w:type="dxa"/>
            <w:tcBorders>
              <w:top w:val="single" w:sz="4" w:space="0" w:color="000000"/>
              <w:left w:val="single" w:sz="4" w:space="0" w:color="000000"/>
              <w:bottom w:val="single" w:sz="4" w:space="0" w:color="000000"/>
              <w:right w:val="single" w:sz="4" w:space="0" w:color="000000"/>
            </w:tcBorders>
          </w:tcPr>
          <w:p w14:paraId="2460E31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Équations de recherche</w:t>
            </w:r>
          </w:p>
        </w:tc>
        <w:tc>
          <w:tcPr>
            <w:tcW w:w="6301" w:type="dxa"/>
            <w:tcBorders>
              <w:top w:val="single" w:sz="4" w:space="0" w:color="000000"/>
              <w:left w:val="single" w:sz="4" w:space="0" w:color="000000"/>
              <w:bottom w:val="single" w:sz="4" w:space="0" w:color="000000"/>
              <w:right w:val="single" w:sz="4" w:space="0" w:color="000000"/>
            </w:tcBorders>
          </w:tcPr>
          <w:p w14:paraId="33F3F1E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nuclear »</w:t>
            </w:r>
          </w:p>
          <w:p w14:paraId="3094B00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thermal-hydraulic »</w:t>
            </w:r>
          </w:p>
          <w:p w14:paraId="5332708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anomaly detection »</w:t>
            </w:r>
          </w:p>
          <w:p w14:paraId="5113154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uncertainty quantification »</w:t>
            </w:r>
          </w:p>
          <w:p w14:paraId="642312E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SCADA » AND « cybersecurity »</w:t>
            </w:r>
          </w:p>
          <w:p w14:paraId="30996C9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w:t>
            </w:r>
            <w:proofErr w:type="gramStart"/>
            <w:r w:rsidRPr="00BE4F47">
              <w:rPr>
                <w:rFonts w:ascii="Aptos" w:eastAsia="Calibri" w:hAnsi="Aptos" w:cs="Calibri"/>
                <w:color w:val="1A1A19"/>
                <w:sz w:val="16"/>
                <w:szCs w:val="16"/>
              </w:rPr>
              <w:t>à</w:t>
            </w:r>
            <w:proofErr w:type="gramEnd"/>
            <w:r w:rsidRPr="00BE4F47">
              <w:rPr>
                <w:rFonts w:ascii="Aptos" w:eastAsia="Calibri" w:hAnsi="Aptos" w:cs="Calibri"/>
                <w:color w:val="1A1A19"/>
                <w:sz w:val="16"/>
                <w:szCs w:val="16"/>
              </w:rPr>
              <w:t xml:space="preserve"> confirmer et compléter par l’auteur : les équations réellement employées)</w:t>
            </w:r>
          </w:p>
        </w:tc>
      </w:tr>
      <w:tr w:rsidR="00F50D70" w:rsidRPr="00BE4F47" w14:paraId="12237846" w14:textId="77777777">
        <w:trPr>
          <w:trHeight w:val="244"/>
        </w:trPr>
        <w:tc>
          <w:tcPr>
            <w:tcW w:w="2052" w:type="dxa"/>
            <w:tcBorders>
              <w:top w:val="single" w:sz="4" w:space="0" w:color="000000"/>
              <w:left w:val="single" w:sz="4" w:space="0" w:color="000000"/>
              <w:bottom w:val="single" w:sz="4" w:space="0" w:color="000000"/>
              <w:right w:val="single" w:sz="4" w:space="0" w:color="000000"/>
            </w:tcBorders>
          </w:tcPr>
          <w:p w14:paraId="523B004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Période couverte</w:t>
            </w:r>
          </w:p>
        </w:tc>
        <w:tc>
          <w:tcPr>
            <w:tcW w:w="6301" w:type="dxa"/>
            <w:tcBorders>
              <w:top w:val="single" w:sz="4" w:space="0" w:color="000000"/>
              <w:left w:val="single" w:sz="4" w:space="0" w:color="000000"/>
              <w:bottom w:val="single" w:sz="4" w:space="0" w:color="000000"/>
              <w:right w:val="single" w:sz="4" w:space="0" w:color="000000"/>
            </w:tcBorders>
          </w:tcPr>
          <w:p w14:paraId="3C86958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2020 à 2026, avec conservation de références antérieures lorsqu’elles sont fondatrices</w:t>
            </w:r>
          </w:p>
        </w:tc>
      </w:tr>
      <w:tr w:rsidR="00F50D70" w:rsidRPr="00BE4F47" w14:paraId="1E596CBE" w14:textId="77777777">
        <w:trPr>
          <w:trHeight w:val="438"/>
        </w:trPr>
        <w:tc>
          <w:tcPr>
            <w:tcW w:w="2052" w:type="dxa"/>
            <w:tcBorders>
              <w:top w:val="single" w:sz="4" w:space="0" w:color="000000"/>
              <w:left w:val="single" w:sz="4" w:space="0" w:color="000000"/>
              <w:bottom w:val="single" w:sz="4" w:space="0" w:color="000000"/>
              <w:right w:val="single" w:sz="4" w:space="0" w:color="000000"/>
            </w:tcBorders>
          </w:tcPr>
          <w:p w14:paraId="75C9BE3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Critères d’inclusion</w:t>
            </w:r>
          </w:p>
        </w:tc>
        <w:tc>
          <w:tcPr>
            <w:tcW w:w="6301" w:type="dxa"/>
            <w:tcBorders>
              <w:top w:val="single" w:sz="4" w:space="0" w:color="000000"/>
              <w:left w:val="single" w:sz="4" w:space="0" w:color="000000"/>
              <w:bottom w:val="single" w:sz="4" w:space="0" w:color="000000"/>
              <w:right w:val="single" w:sz="4" w:space="0" w:color="000000"/>
            </w:tcBorders>
          </w:tcPr>
          <w:p w14:paraId="5792307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Pertinence avec un lot technique du projet ; publication dans une revue avec comité de lecture ou par un organisme reconnu ; texte intégral accessible</w:t>
            </w:r>
          </w:p>
        </w:tc>
      </w:tr>
      <w:tr w:rsidR="00F50D70" w:rsidRPr="00BE4F47" w14:paraId="2092445F" w14:textId="77777777">
        <w:trPr>
          <w:trHeight w:val="438"/>
        </w:trPr>
        <w:tc>
          <w:tcPr>
            <w:tcW w:w="2052" w:type="dxa"/>
            <w:tcBorders>
              <w:top w:val="single" w:sz="4" w:space="0" w:color="000000"/>
              <w:left w:val="single" w:sz="4" w:space="0" w:color="000000"/>
              <w:bottom w:val="single" w:sz="4" w:space="0" w:color="000000"/>
              <w:right w:val="single" w:sz="4" w:space="0" w:color="000000"/>
            </w:tcBorders>
          </w:tcPr>
          <w:p w14:paraId="67AD7B0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Critères d’exclusion</w:t>
            </w:r>
          </w:p>
        </w:tc>
        <w:tc>
          <w:tcPr>
            <w:tcW w:w="6301" w:type="dxa"/>
            <w:tcBorders>
              <w:top w:val="single" w:sz="4" w:space="0" w:color="000000"/>
              <w:left w:val="single" w:sz="4" w:space="0" w:color="000000"/>
              <w:bottom w:val="single" w:sz="4" w:space="0" w:color="000000"/>
              <w:right w:val="single" w:sz="4" w:space="0" w:color="000000"/>
            </w:tcBorders>
          </w:tcPr>
          <w:p w14:paraId="0554C83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Travaux limités à un domaine sans transposition possible ; documents sans méthode explicite ; doublons et </w:t>
            </w:r>
            <w:proofErr w:type="spellStart"/>
            <w:r w:rsidRPr="00BE4F47">
              <w:rPr>
                <w:rFonts w:ascii="Aptos" w:eastAsia="Calibri" w:hAnsi="Aptos" w:cs="Calibri"/>
                <w:color w:val="1A1A19"/>
                <w:sz w:val="16"/>
                <w:szCs w:val="16"/>
              </w:rPr>
              <w:t>préprints</w:t>
            </w:r>
            <w:proofErr w:type="spellEnd"/>
            <w:r w:rsidRPr="00BE4F47">
              <w:rPr>
                <w:rFonts w:ascii="Aptos" w:eastAsia="Calibri" w:hAnsi="Aptos" w:cs="Calibri"/>
                <w:color w:val="1A1A19"/>
                <w:sz w:val="16"/>
                <w:szCs w:val="16"/>
              </w:rPr>
              <w:t xml:space="preserve"> dont la version publiée est disponible</w:t>
            </w:r>
          </w:p>
        </w:tc>
      </w:tr>
      <w:tr w:rsidR="00F50D70" w:rsidRPr="00BE4F47" w14:paraId="134E4166" w14:textId="77777777">
        <w:trPr>
          <w:trHeight w:val="254"/>
        </w:trPr>
        <w:tc>
          <w:tcPr>
            <w:tcW w:w="2052" w:type="dxa"/>
            <w:tcBorders>
              <w:top w:val="single" w:sz="4" w:space="0" w:color="000000"/>
              <w:left w:val="single" w:sz="4" w:space="0" w:color="000000"/>
              <w:bottom w:val="single" w:sz="4" w:space="0" w:color="000000"/>
              <w:right w:val="single" w:sz="4" w:space="0" w:color="000000"/>
            </w:tcBorders>
          </w:tcPr>
          <w:p w14:paraId="2655A82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Résultats obtenus</w:t>
            </w:r>
          </w:p>
        </w:tc>
        <w:tc>
          <w:tcPr>
            <w:tcW w:w="6301" w:type="dxa"/>
            <w:tcBorders>
              <w:top w:val="single" w:sz="4" w:space="0" w:color="000000"/>
              <w:left w:val="single" w:sz="4" w:space="0" w:color="000000"/>
              <w:bottom w:val="single" w:sz="4" w:space="0" w:color="000000"/>
              <w:right w:val="single" w:sz="4" w:space="0" w:color="000000"/>
            </w:tcBorders>
          </w:tcPr>
          <w:p w14:paraId="3F21EB5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 À COMPLÉTER : nombre total de résultats ] ]</w:t>
            </w:r>
          </w:p>
        </w:tc>
      </w:tr>
      <w:tr w:rsidR="00F50D70" w:rsidRPr="00BE4F47" w14:paraId="486734FD" w14:textId="77777777">
        <w:trPr>
          <w:trHeight w:val="438"/>
        </w:trPr>
        <w:tc>
          <w:tcPr>
            <w:tcW w:w="2052" w:type="dxa"/>
            <w:tcBorders>
              <w:top w:val="single" w:sz="4" w:space="0" w:color="000000"/>
              <w:left w:val="single" w:sz="4" w:space="0" w:color="000000"/>
              <w:bottom w:val="single" w:sz="4" w:space="0" w:color="000000"/>
              <w:right w:val="single" w:sz="4" w:space="0" w:color="000000"/>
            </w:tcBorders>
          </w:tcPr>
          <w:p w14:paraId="3C2FA2E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Retenus après lecture du résumé</w:t>
            </w:r>
          </w:p>
        </w:tc>
        <w:tc>
          <w:tcPr>
            <w:tcW w:w="6301" w:type="dxa"/>
            <w:tcBorders>
              <w:top w:val="single" w:sz="4" w:space="0" w:color="000000"/>
              <w:left w:val="single" w:sz="4" w:space="0" w:color="000000"/>
              <w:bottom w:val="single" w:sz="4" w:space="0" w:color="000000"/>
              <w:right w:val="single" w:sz="4" w:space="0" w:color="000000"/>
            </w:tcBorders>
          </w:tcPr>
          <w:p w14:paraId="0A8917E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À COMPLÉTER</w:t>
            </w:r>
          </w:p>
        </w:tc>
      </w:tr>
      <w:tr w:rsidR="00F50D70" w:rsidRPr="00BE4F47" w14:paraId="468BA337" w14:textId="77777777">
        <w:trPr>
          <w:trHeight w:val="254"/>
        </w:trPr>
        <w:tc>
          <w:tcPr>
            <w:tcW w:w="2052" w:type="dxa"/>
            <w:tcBorders>
              <w:top w:val="single" w:sz="4" w:space="0" w:color="000000"/>
              <w:left w:val="single" w:sz="4" w:space="0" w:color="000000"/>
              <w:bottom w:val="single" w:sz="4" w:space="0" w:color="000000"/>
              <w:right w:val="single" w:sz="4" w:space="0" w:color="000000"/>
            </w:tcBorders>
          </w:tcPr>
          <w:p w14:paraId="3A68A49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Retenus après lecture intégrale</w:t>
            </w:r>
          </w:p>
        </w:tc>
        <w:tc>
          <w:tcPr>
            <w:tcW w:w="6301" w:type="dxa"/>
            <w:tcBorders>
              <w:top w:val="single" w:sz="4" w:space="0" w:color="000000"/>
              <w:left w:val="single" w:sz="4" w:space="0" w:color="000000"/>
              <w:bottom w:val="single" w:sz="4" w:space="0" w:color="000000"/>
              <w:right w:val="single" w:sz="4" w:space="0" w:color="000000"/>
            </w:tcBorders>
          </w:tcPr>
          <w:p w14:paraId="5B7F87D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 articles et 5 brevets</w:t>
            </w:r>
          </w:p>
        </w:tc>
      </w:tr>
    </w:tbl>
    <w:p w14:paraId="760159D5" w14:textId="77777777" w:rsidR="00F50D70" w:rsidRPr="00BE4F47" w:rsidRDefault="00F50D70" w:rsidP="008E113B">
      <w:pPr>
        <w:spacing w:after="150" w:line="360" w:lineRule="auto"/>
        <w:ind w:left="425"/>
        <w:rPr>
          <w:rFonts w:ascii="Aptos" w:eastAsia="Calibri" w:hAnsi="Aptos" w:cs="Calibri"/>
          <w:color w:val="1A1A19"/>
          <w:sz w:val="20"/>
          <w:szCs w:val="20"/>
        </w:rPr>
      </w:pPr>
    </w:p>
    <w:p w14:paraId="2CE02CF4" w14:textId="77777777" w:rsidR="00F50D70" w:rsidRPr="00BE4F47" w:rsidRDefault="00000000" w:rsidP="008E113B">
      <w:pPr>
        <w:spacing w:after="150" w:line="360" w:lineRule="auto"/>
        <w:ind w:left="425"/>
        <w:rPr>
          <w:rFonts w:ascii="Aptos" w:hAnsi="Aptos"/>
        </w:rPr>
      </w:pPr>
      <w:bookmarkStart w:id="178" w:name="_Toc241082914"/>
      <w:r w:rsidRPr="00BE4F47">
        <w:rPr>
          <w:rFonts w:ascii="Aptos" w:eastAsia="Calibri" w:hAnsi="Aptos" w:cs="Calibri"/>
          <w:color w:val="1A1A19"/>
          <w:sz w:val="20"/>
          <w:szCs w:val="20"/>
        </w:rPr>
        <w:lastRenderedPageBreak/>
        <w:t xml:space="preserve">Les documents retenus ont été sélectionnés en fonction de leur rattachement aux lots techniques du projet : modèle de référence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(L4), architecture logicielle et cybersécurité (L5), acquisition des données et noyau de simulation (L6), détection d’anomalies et quantification de l’incertitude (L7), interface d’aide à la décision (L8) et vérification et validation (L9).</w:t>
      </w:r>
      <w:bookmarkEnd w:id="178"/>
    </w:p>
    <w:p w14:paraId="2F2947C3" w14:textId="77777777" w:rsidR="00F50D70" w:rsidRPr="00BE4F47" w:rsidRDefault="00F50D70" w:rsidP="008E113B">
      <w:pPr>
        <w:spacing w:line="360" w:lineRule="auto"/>
        <w:ind w:left="0"/>
        <w:rPr>
          <w:rFonts w:ascii="Aptos" w:hAnsi="Aptos"/>
        </w:rPr>
      </w:pPr>
    </w:p>
    <w:p w14:paraId="5DB2C361" w14:textId="77777777" w:rsidR="00F50D70" w:rsidRPr="00256140" w:rsidRDefault="00000000" w:rsidP="008E113B">
      <w:pPr>
        <w:pStyle w:val="Titre2"/>
        <w:spacing w:line="360" w:lineRule="auto"/>
      </w:pPr>
      <w:bookmarkStart w:id="179" w:name="__RefHeading___Toc240715130"/>
      <w:bookmarkStart w:id="180" w:name="_Toc241082915"/>
      <w:bookmarkEnd w:id="179"/>
      <w:r w:rsidRPr="00256140">
        <w:t>Solutions existantes</w:t>
      </w:r>
      <w:bookmarkEnd w:id="180"/>
    </w:p>
    <w:p w14:paraId="2DFE3B47" w14:textId="77777777" w:rsidR="00F50D70" w:rsidRPr="00256140" w:rsidRDefault="00000000" w:rsidP="008E113B">
      <w:pPr>
        <w:pStyle w:val="Titre4"/>
        <w:spacing w:line="360" w:lineRule="auto"/>
      </w:pPr>
      <w:bookmarkStart w:id="181" w:name="__RefHeading___Toc240715131"/>
      <w:bookmarkEnd w:id="181"/>
      <w:r w:rsidRPr="00256140">
        <w:t>Jumeaux numériques dans le domaine nucléaire</w:t>
      </w:r>
    </w:p>
    <w:p w14:paraId="0D34E0DF"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182" w:name="_Toc241082916"/>
      <w:r w:rsidRPr="00BE4F47">
        <w:rPr>
          <w:rFonts w:ascii="Aptos" w:eastAsia="Calibri" w:hAnsi="Aptos" w:cs="Calibri"/>
          <w:color w:val="1A1A19"/>
          <w:sz w:val="20"/>
          <w:szCs w:val="20"/>
        </w:rPr>
        <w:t>Le secteur nucléaire étudie les jumeaux numériques pour la surveillance, le diagnostic, la maintenance et l’aide à la décision.</w:t>
      </w:r>
      <w:bookmarkEnd w:id="182"/>
    </w:p>
    <w:p w14:paraId="40A388D4" w14:textId="77777777" w:rsidR="00F50D70" w:rsidRPr="00BE4F47" w:rsidRDefault="00000000" w:rsidP="008E113B">
      <w:pPr>
        <w:spacing w:after="130" w:line="360" w:lineRule="auto"/>
        <w:ind w:left="992"/>
        <w:rPr>
          <w:rFonts w:ascii="Aptos" w:hAnsi="Aptos"/>
        </w:rPr>
      </w:pPr>
      <w:bookmarkStart w:id="183" w:name="_Toc241082917"/>
      <w:r w:rsidRPr="00BE4F47">
        <w:rPr>
          <w:rFonts w:ascii="Aptos" w:eastAsia="Calibri" w:hAnsi="Aptos" w:cs="Calibri"/>
          <w:color w:val="1A1A19"/>
          <w:sz w:val="20"/>
          <w:szCs w:val="20"/>
        </w:rPr>
        <w:t xml:space="preserve">M. Hu et ses coauteurs proposent une revue des architectures de jumeaux numériques appliquées au domaine nucléaire. Ils montrent que les solutions actuelles cherchent principalement à intégrer des modèles physiques, des données de fonctionnement et des fonctions d’analyse dans une architecture numérique cohérente, et soulignent l’importance des modèles </w:t>
      </w:r>
      <w:proofErr w:type="spellStart"/>
      <w:r w:rsidRPr="00BE4F47">
        <w:rPr>
          <w:rFonts w:ascii="Aptos" w:eastAsia="Calibri" w:hAnsi="Aptos" w:cs="Calibri"/>
          <w:color w:val="1A1A19"/>
          <w:sz w:val="20"/>
          <w:szCs w:val="20"/>
        </w:rPr>
        <w:t>thermohydrauliques</w:t>
      </w:r>
      <w:proofErr w:type="spellEnd"/>
      <w:r w:rsidRPr="00BE4F47">
        <w:rPr>
          <w:rFonts w:ascii="Aptos" w:eastAsia="Calibri" w:hAnsi="Aptos" w:cs="Calibri"/>
          <w:color w:val="1A1A19"/>
          <w:sz w:val="20"/>
          <w:szCs w:val="20"/>
        </w:rPr>
        <w:t xml:space="preserve"> pour représenter le comportement des systèmes nucléaires [3].</w:t>
      </w:r>
      <w:bookmarkEnd w:id="183"/>
    </w:p>
    <w:p w14:paraId="5CC5013C" w14:textId="77777777" w:rsidR="00F50D70" w:rsidRPr="00BE4F47" w:rsidRDefault="00000000" w:rsidP="008E113B">
      <w:pPr>
        <w:spacing w:after="130" w:line="360" w:lineRule="auto"/>
        <w:ind w:left="992"/>
        <w:rPr>
          <w:rFonts w:ascii="Aptos" w:hAnsi="Aptos"/>
        </w:rPr>
      </w:pPr>
      <w:bookmarkStart w:id="184" w:name="_Toc241082918"/>
      <w:r w:rsidRPr="00BE4F47">
        <w:rPr>
          <w:rFonts w:ascii="Aptos" w:eastAsia="Calibri" w:hAnsi="Aptos" w:cs="Calibri"/>
          <w:color w:val="1A1A19"/>
          <w:sz w:val="20"/>
          <w:szCs w:val="20"/>
        </w:rPr>
        <w:t>Q. Huang et ses coauteurs montrent, dans une revue publiée en 2025, que les jumeaux numériques appliqués aux réacteurs nucléaires restent à des niveaux de maturité faibles à intermédiaires. Ils distinguent quatre familles de solutions : les modèles fondés sur la physique, les approches fondées sur les données, les modèles fondés sur les connaissances expertes, et les approches hybrides combinant plusieurs de ces méthodes [4].</w:t>
      </w:r>
      <w:bookmarkEnd w:id="184"/>
    </w:p>
    <w:p w14:paraId="0CCD3AEF" w14:textId="77777777" w:rsidR="00F50D70" w:rsidRPr="00BE4F47" w:rsidRDefault="00000000" w:rsidP="008E113B">
      <w:pPr>
        <w:spacing w:after="130" w:line="360" w:lineRule="auto"/>
        <w:ind w:left="992"/>
        <w:rPr>
          <w:rFonts w:ascii="Aptos" w:hAnsi="Aptos"/>
        </w:rPr>
      </w:pPr>
      <w:bookmarkStart w:id="185" w:name="_Toc241082919"/>
      <w:r w:rsidRPr="00BE4F47">
        <w:rPr>
          <w:rFonts w:ascii="Aptos" w:eastAsia="Calibri" w:hAnsi="Aptos" w:cs="Calibri"/>
          <w:color w:val="1A1A19"/>
          <w:sz w:val="20"/>
          <w:szCs w:val="20"/>
        </w:rPr>
        <w:t>La norme ISO 23247-1 fournit le cadre de référence du jumeau numérique, employé ici par analogie et hors de son domaine d’application déclaré. Cette limite est traitée dans la déclaration d’applicabilité de la section 6.</w:t>
      </w:r>
      <w:bookmarkEnd w:id="185"/>
    </w:p>
    <w:p w14:paraId="385A9806"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186" w:name="_Toc241082920"/>
      <w:r w:rsidRPr="00BE4F47">
        <w:rPr>
          <w:rFonts w:ascii="Aptos" w:eastAsia="Calibri" w:hAnsi="Aptos" w:cs="Calibri"/>
          <w:color w:val="1A1A19"/>
          <w:sz w:val="20"/>
          <w:szCs w:val="20"/>
        </w:rPr>
        <w:t xml:space="preserve">Ces travaux montrent que le jumeau numérique constitue une approche pertinente pour la surveillance d’une boucle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mais qu’il présente encore des difficultés liées à la fidélité des modèles, à la disponibilité des données et à l’interprétation des résultats.</w:t>
      </w:r>
      <w:bookmarkEnd w:id="186"/>
    </w:p>
    <w:p w14:paraId="0686F6AD" w14:textId="77777777" w:rsidR="00F50D70" w:rsidRPr="00BE4F47" w:rsidRDefault="00000000" w:rsidP="008E113B">
      <w:pPr>
        <w:pStyle w:val="Titre4"/>
        <w:spacing w:line="360" w:lineRule="auto"/>
        <w:rPr>
          <w:rFonts w:eastAsia="Calibri"/>
        </w:rPr>
      </w:pPr>
      <w:bookmarkStart w:id="187" w:name="__RefHeading___Toc240715137"/>
      <w:bookmarkEnd w:id="187"/>
      <w:r w:rsidRPr="00BE4F47">
        <w:t xml:space="preserve">Modélisation </w:t>
      </w:r>
      <w:proofErr w:type="spellStart"/>
      <w:r w:rsidRPr="00BE4F47">
        <w:t>thermohydraulique</w:t>
      </w:r>
      <w:proofErr w:type="spellEnd"/>
    </w:p>
    <w:p w14:paraId="02B1EBD2" w14:textId="77777777" w:rsidR="00F50D70" w:rsidRPr="00BE4F47" w:rsidRDefault="00000000" w:rsidP="008E113B">
      <w:pPr>
        <w:spacing w:after="130" w:line="360" w:lineRule="auto"/>
        <w:ind w:left="992"/>
        <w:rPr>
          <w:rFonts w:ascii="Aptos" w:hAnsi="Aptos"/>
        </w:rPr>
      </w:pPr>
      <w:bookmarkStart w:id="188" w:name="_Toc241082921"/>
      <w:r w:rsidRPr="00BE4F47">
        <w:rPr>
          <w:rFonts w:ascii="Aptos" w:eastAsia="Calibri" w:hAnsi="Aptos" w:cs="Calibri"/>
          <w:color w:val="1A1A19"/>
          <w:sz w:val="20"/>
          <w:szCs w:val="20"/>
        </w:rPr>
        <w:t>Dans une boucle thermohydraulique, le modèle doit représenter l’évolution de la température, de la pression et du débit, les trois variables retenues par l’exigence EX-F-01.</w:t>
      </w:r>
      <w:bookmarkEnd w:id="188"/>
    </w:p>
    <w:p w14:paraId="7EB087C4" w14:textId="77777777" w:rsidR="00F50D70" w:rsidRPr="00BE4F47" w:rsidRDefault="00000000" w:rsidP="008E113B">
      <w:pPr>
        <w:spacing w:after="130" w:line="360" w:lineRule="auto"/>
        <w:ind w:left="992"/>
        <w:rPr>
          <w:rFonts w:ascii="Aptos" w:hAnsi="Aptos"/>
        </w:rPr>
      </w:pPr>
      <w:bookmarkStart w:id="189" w:name="_Toc241082922"/>
      <w:r w:rsidRPr="00BE4F47">
        <w:rPr>
          <w:rFonts w:ascii="Aptos" w:eastAsia="Calibri" w:hAnsi="Aptos" w:cs="Calibri"/>
          <w:color w:val="1A1A19"/>
          <w:sz w:val="20"/>
          <w:szCs w:val="20"/>
        </w:rPr>
        <w:t xml:space="preserve">Les modèles de </w:t>
      </w:r>
      <w:proofErr w:type="spellStart"/>
      <w:r w:rsidRPr="00BE4F47">
        <w:rPr>
          <w:rFonts w:ascii="Aptos" w:eastAsia="Calibri" w:hAnsi="Aptos" w:cs="Calibri"/>
          <w:color w:val="1A1A19"/>
          <w:sz w:val="20"/>
          <w:szCs w:val="20"/>
        </w:rPr>
        <w:t>haute fidélité</w:t>
      </w:r>
      <w:proofErr w:type="spellEnd"/>
      <w:r w:rsidRPr="00BE4F47">
        <w:rPr>
          <w:rFonts w:ascii="Aptos" w:eastAsia="Calibri" w:hAnsi="Aptos" w:cs="Calibri"/>
          <w:color w:val="1A1A19"/>
          <w:sz w:val="20"/>
          <w:szCs w:val="20"/>
        </w:rPr>
        <w:t xml:space="preserve"> fournissent une représentation détaillée du comportement du système, au prix d’un coût de calcul élevé. Cette contrainte devient déterminante lorsque le modèle doit être exploité dans un contexte de surveillance ou d’aide à la décision en temps réel, situation dans laquelle se place le prototype [3], [4].</w:t>
      </w:r>
      <w:bookmarkEnd w:id="189"/>
    </w:p>
    <w:p w14:paraId="5555580D"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190" w:name="_Toc241082923"/>
      <w:r w:rsidRPr="00BE4F47">
        <w:rPr>
          <w:rFonts w:ascii="Aptos" w:eastAsia="Calibri" w:hAnsi="Aptos" w:cs="Calibri"/>
          <w:color w:val="1A1A19"/>
          <w:sz w:val="20"/>
          <w:szCs w:val="20"/>
        </w:rPr>
        <w:lastRenderedPageBreak/>
        <w:t>Ce constat justifie le recours à un modèle simplifié de type 0D/1D à paramètres concentrés. L’objectif n’est pas de reproduire l’ensemble de la centrale, mais de disposer d’un modèle suffisamment représentatif pour servir de référence lors des essais du jumeau numérique, conformément au périmètre défini à la section 1.</w:t>
      </w:r>
      <w:bookmarkEnd w:id="190"/>
    </w:p>
    <w:p w14:paraId="461FC037" w14:textId="77777777" w:rsidR="00F50D70" w:rsidRPr="00BE4F47" w:rsidRDefault="00000000" w:rsidP="008E113B">
      <w:pPr>
        <w:pStyle w:val="Titre4"/>
        <w:spacing w:line="360" w:lineRule="auto"/>
      </w:pPr>
      <w:bookmarkStart w:id="191" w:name="__RefHeading___Toc240715141"/>
      <w:bookmarkEnd w:id="191"/>
      <w:r w:rsidRPr="00BE4F47">
        <w:t>Détection d’anomalies</w:t>
      </w:r>
    </w:p>
    <w:p w14:paraId="4B1DE17C" w14:textId="77777777" w:rsidR="00F50D70" w:rsidRPr="00BE4F47" w:rsidRDefault="00000000" w:rsidP="008E113B">
      <w:pPr>
        <w:spacing w:after="130" w:line="360" w:lineRule="auto"/>
        <w:ind w:left="992"/>
        <w:rPr>
          <w:rFonts w:ascii="Aptos" w:hAnsi="Aptos"/>
        </w:rPr>
      </w:pPr>
      <w:bookmarkStart w:id="192" w:name="_Toc241082924"/>
      <w:r w:rsidRPr="00BE4F47">
        <w:rPr>
          <w:rFonts w:ascii="Aptos" w:eastAsia="Calibri" w:hAnsi="Aptos" w:cs="Calibri"/>
          <w:color w:val="1A1A19"/>
          <w:sz w:val="20"/>
          <w:szCs w:val="20"/>
        </w:rPr>
        <w:t>La détection repose sur la comparaison entre les données observées et les données attendues produites par le modèle, ce que reprend l’exigence EX-F-03.</w:t>
      </w:r>
      <w:bookmarkEnd w:id="192"/>
    </w:p>
    <w:p w14:paraId="54603447"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193" w:name="_Toc241082925"/>
      <w:r w:rsidRPr="00BE4F47">
        <w:rPr>
          <w:rFonts w:ascii="Aptos" w:eastAsia="Calibri" w:hAnsi="Aptos" w:cs="Calibri"/>
          <w:color w:val="1A1A19"/>
          <w:sz w:val="20"/>
          <w:szCs w:val="20"/>
        </w:rPr>
        <w:t>H. Huang et ses coauteurs proposent une approche de détection d’anomalies en ligne fondée sur un jumeau numérique et des données en temps réel, dans un contexte de système d’automatisation. Leurs travaux montrent qu’un modèle numérique peut servir de référence pour détecter un comportement qui s’écarte du fonctionnement normal [5].</w:t>
      </w:r>
      <w:bookmarkEnd w:id="193"/>
    </w:p>
    <w:p w14:paraId="09C266A8" w14:textId="77777777" w:rsidR="00F50D70" w:rsidRPr="00BE4F47" w:rsidRDefault="00000000" w:rsidP="008E113B">
      <w:pPr>
        <w:spacing w:after="130" w:line="360" w:lineRule="auto"/>
        <w:ind w:left="992"/>
        <w:rPr>
          <w:rFonts w:ascii="Aptos" w:hAnsi="Aptos"/>
        </w:rPr>
      </w:pPr>
      <w:bookmarkStart w:id="194" w:name="_Toc241082926"/>
      <w:r w:rsidRPr="00BE4F47">
        <w:rPr>
          <w:rFonts w:ascii="Aptos" w:eastAsia="Calibri" w:hAnsi="Aptos" w:cs="Calibri"/>
          <w:color w:val="1A1A19"/>
          <w:sz w:val="20"/>
          <w:szCs w:val="20"/>
        </w:rPr>
        <w:t>C. Alcaraz et J. Lopez élargissent cette approche aux scénarios industriels et montrent que le jumeau numérique peut servir de mécanisme complémentaire de détection, y compris pour des comportements d’origine cyber [6].</w:t>
      </w:r>
      <w:bookmarkEnd w:id="194"/>
    </w:p>
    <w:p w14:paraId="01E8ECDD" w14:textId="77777777" w:rsidR="00F50D70" w:rsidRPr="00BE4F47" w:rsidRDefault="00000000" w:rsidP="008E113B">
      <w:pPr>
        <w:pStyle w:val="Retraitcorpsdetexte3"/>
        <w:spacing w:line="360" w:lineRule="auto"/>
        <w:ind w:left="992"/>
        <w:rPr>
          <w:rFonts w:ascii="Aptos" w:eastAsia="Calibri" w:hAnsi="Aptos" w:cs="Calibri"/>
          <w:color w:val="1A1A19"/>
          <w:sz w:val="20"/>
          <w:szCs w:val="20"/>
        </w:rPr>
      </w:pPr>
      <w:bookmarkStart w:id="195" w:name="_Toc241082927"/>
      <w:r w:rsidRPr="00BE4F47">
        <w:rPr>
          <w:rFonts w:ascii="Aptos" w:eastAsia="Calibri" w:hAnsi="Aptos" w:cs="Calibri"/>
          <w:color w:val="1A1A19"/>
          <w:sz w:val="20"/>
          <w:szCs w:val="20"/>
        </w:rPr>
        <w:t>Dans le GEMMA de l’équipe, cette fonction correspond à la transition de l’état F1 vers l’état D2, franchie dès qu’une dérive ou une anomalie est confirmée en fonctionnement.</w:t>
      </w:r>
      <w:bookmarkEnd w:id="195"/>
    </w:p>
    <w:p w14:paraId="5FD385BE" w14:textId="77777777" w:rsidR="00F50D70" w:rsidRPr="00BE4F47" w:rsidRDefault="00F50D70" w:rsidP="008E113B">
      <w:pPr>
        <w:pStyle w:val="Retraitcorpsdetexte3"/>
        <w:spacing w:line="360" w:lineRule="auto"/>
        <w:ind w:left="992"/>
        <w:rPr>
          <w:rFonts w:ascii="Aptos" w:eastAsia="Calibri" w:hAnsi="Aptos" w:cs="Calibri"/>
          <w:color w:val="1A1A19"/>
          <w:sz w:val="20"/>
          <w:szCs w:val="20"/>
        </w:rPr>
      </w:pPr>
    </w:p>
    <w:p w14:paraId="50BEB15A" w14:textId="77777777" w:rsidR="00F50D70" w:rsidRPr="00BE4F47" w:rsidRDefault="00000000" w:rsidP="008E113B">
      <w:pPr>
        <w:pStyle w:val="Titre4"/>
        <w:spacing w:line="360" w:lineRule="auto"/>
        <w:rPr>
          <w:rFonts w:eastAsia="Calibri"/>
        </w:rPr>
      </w:pPr>
      <w:bookmarkStart w:id="196" w:name="__RefHeading___Toc240715146"/>
      <w:bookmarkEnd w:id="196"/>
      <w:r w:rsidRPr="00BE4F47">
        <w:t>Quantification de l’incertitude</w:t>
      </w:r>
    </w:p>
    <w:p w14:paraId="3EA6A6AF" w14:textId="77777777" w:rsidR="00F50D70" w:rsidRPr="00BE4F47" w:rsidRDefault="00000000" w:rsidP="008E113B">
      <w:pPr>
        <w:spacing w:after="130" w:line="360" w:lineRule="auto"/>
        <w:ind w:left="992"/>
        <w:rPr>
          <w:rFonts w:ascii="Aptos" w:hAnsi="Aptos"/>
        </w:rPr>
      </w:pPr>
      <w:bookmarkStart w:id="197" w:name="_Toc241082928"/>
      <w:r w:rsidRPr="00BE4F47">
        <w:rPr>
          <w:rFonts w:ascii="Aptos" w:eastAsia="Calibri" w:hAnsi="Aptos" w:cs="Calibri"/>
          <w:color w:val="1A1A19"/>
          <w:sz w:val="20"/>
          <w:szCs w:val="20"/>
        </w:rPr>
        <w:t>Dans un système d’aide à la décision, produire un diagnostic ne suffit pas. Il faut également évaluer le niveau de confiance associé au résultat, ce qu’exige EX-F-07.</w:t>
      </w:r>
      <w:bookmarkEnd w:id="197"/>
    </w:p>
    <w:p w14:paraId="1A554B03"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198" w:name="_Toc241082929"/>
      <w:r w:rsidRPr="00BE4F47">
        <w:rPr>
          <w:rFonts w:ascii="Aptos" w:eastAsia="Calibri" w:hAnsi="Aptos" w:cs="Calibri"/>
          <w:color w:val="1A1A19"/>
          <w:sz w:val="20"/>
          <w:szCs w:val="20"/>
        </w:rPr>
        <w:t>K. Kobayashi, D. Kumar et S. B. Alam ont étudié l’emploi de techniques de quantification de l’incertitude pour les technologies de jumeaux numériques nucléaires. Leurs travaux montrent l’importance d’estimer les incertitudes associées aux paramètres et aux modèles, afin d’éviter qu’un résultat numérique soit interprété avec une certitude qu’il n’a pas [7].</w:t>
      </w:r>
      <w:bookmarkEnd w:id="198"/>
    </w:p>
    <w:p w14:paraId="552B77D9" w14:textId="77777777" w:rsidR="00F50D70" w:rsidRPr="00BE4F47" w:rsidRDefault="00000000" w:rsidP="008E113B">
      <w:pPr>
        <w:spacing w:after="130" w:line="360" w:lineRule="auto"/>
        <w:ind w:left="992"/>
        <w:rPr>
          <w:rFonts w:ascii="Aptos" w:hAnsi="Aptos"/>
        </w:rPr>
      </w:pPr>
      <w:bookmarkStart w:id="199" w:name="_Toc241082930"/>
      <w:r w:rsidRPr="00BE4F47">
        <w:rPr>
          <w:rFonts w:ascii="Aptos" w:eastAsia="Calibri" w:hAnsi="Aptos" w:cs="Calibri"/>
          <w:color w:val="1A1A19"/>
          <w:sz w:val="20"/>
          <w:szCs w:val="20"/>
        </w:rPr>
        <w:t>La norme ASME V&amp;V 20 apporte le complément méthodologique que la littérature laisse ouvert. La décomposition de l’écart entre modèle et référence et ses conséquences sur la campagne d’essais sont détaillées à la section 6.5.</w:t>
      </w:r>
      <w:bookmarkEnd w:id="199"/>
    </w:p>
    <w:p w14:paraId="7FA19DCA" w14:textId="77777777" w:rsidR="00B03F2E" w:rsidRDefault="00000000" w:rsidP="008E113B">
      <w:pPr>
        <w:spacing w:after="130" w:line="360" w:lineRule="auto"/>
        <w:ind w:left="992"/>
        <w:rPr>
          <w:rFonts w:ascii="Aptos" w:eastAsia="Calibri" w:hAnsi="Aptos" w:cs="Calibri"/>
          <w:color w:val="1A1A19"/>
          <w:sz w:val="20"/>
          <w:szCs w:val="20"/>
        </w:rPr>
      </w:pPr>
      <w:bookmarkStart w:id="200" w:name="_Toc241082931"/>
      <w:r w:rsidRPr="00BE4F47">
        <w:rPr>
          <w:rFonts w:ascii="Aptos" w:eastAsia="Calibri" w:hAnsi="Aptos" w:cs="Calibri"/>
          <w:color w:val="1A1A19"/>
          <w:sz w:val="20"/>
          <w:szCs w:val="20"/>
        </w:rPr>
        <w:t>Le niveau de confiance affiché par le prototype pourra dépendre des éléments suivants :</w:t>
      </w:r>
      <w:bookmarkEnd w:id="200"/>
    </w:p>
    <w:p w14:paraId="762F460A" w14:textId="77777777" w:rsidR="00F50D70" w:rsidRPr="00BE4F47" w:rsidRDefault="00000000" w:rsidP="008E113B">
      <w:pPr>
        <w:numPr>
          <w:ilvl w:val="0"/>
          <w:numId w:val="22"/>
        </w:numPr>
        <w:spacing w:after="130" w:line="360" w:lineRule="auto"/>
        <w:rPr>
          <w:rFonts w:ascii="Aptos" w:eastAsia="Calibri" w:hAnsi="Aptos" w:cs="Calibri"/>
          <w:color w:val="1A1A19"/>
          <w:sz w:val="20"/>
          <w:szCs w:val="20"/>
        </w:rPr>
      </w:pPr>
      <w:bookmarkStart w:id="201" w:name="_Toc241082932"/>
      <w:r w:rsidRPr="00BE4F47">
        <w:rPr>
          <w:rFonts w:ascii="Aptos" w:eastAsia="Calibri" w:hAnsi="Aptos" w:cs="Calibri"/>
          <w:color w:val="1A1A19"/>
          <w:sz w:val="20"/>
          <w:szCs w:val="20"/>
        </w:rPr>
        <w:t>La disponibilité des données</w:t>
      </w:r>
      <w:bookmarkEnd w:id="201"/>
    </w:p>
    <w:p w14:paraId="0E9EF0FC" w14:textId="77777777" w:rsidR="00F50D70" w:rsidRPr="00BE4F47" w:rsidRDefault="00000000" w:rsidP="008E113B">
      <w:pPr>
        <w:numPr>
          <w:ilvl w:val="0"/>
          <w:numId w:val="21"/>
        </w:numPr>
        <w:spacing w:after="130" w:line="360" w:lineRule="auto"/>
        <w:rPr>
          <w:rFonts w:ascii="Aptos" w:eastAsia="Calibri" w:hAnsi="Aptos" w:cs="Calibri"/>
          <w:color w:val="1A1A19"/>
          <w:sz w:val="20"/>
          <w:szCs w:val="20"/>
        </w:rPr>
      </w:pPr>
      <w:bookmarkStart w:id="202" w:name="_Toc241082933"/>
      <w:r w:rsidRPr="00BE4F47">
        <w:rPr>
          <w:rFonts w:ascii="Aptos" w:eastAsia="Calibri" w:hAnsi="Aptos" w:cs="Calibri"/>
          <w:color w:val="1A1A19"/>
          <w:sz w:val="20"/>
          <w:szCs w:val="20"/>
        </w:rPr>
        <w:t>La qualité des mesures ;</w:t>
      </w:r>
      <w:bookmarkEnd w:id="202"/>
    </w:p>
    <w:p w14:paraId="028FB710" w14:textId="77777777" w:rsidR="00F50D70" w:rsidRPr="00BE4F47" w:rsidRDefault="00000000" w:rsidP="008E113B">
      <w:pPr>
        <w:numPr>
          <w:ilvl w:val="0"/>
          <w:numId w:val="21"/>
        </w:numPr>
        <w:spacing w:after="130" w:line="360" w:lineRule="auto"/>
        <w:rPr>
          <w:rFonts w:ascii="Aptos" w:eastAsia="Calibri" w:hAnsi="Aptos" w:cs="Calibri"/>
          <w:color w:val="1A1A19"/>
          <w:sz w:val="20"/>
          <w:szCs w:val="20"/>
        </w:rPr>
      </w:pPr>
      <w:bookmarkStart w:id="203" w:name="_Toc241082934"/>
      <w:r w:rsidRPr="00BE4F47">
        <w:rPr>
          <w:rFonts w:ascii="Aptos" w:eastAsia="Calibri" w:hAnsi="Aptos" w:cs="Calibri"/>
          <w:color w:val="1A1A19"/>
          <w:sz w:val="20"/>
          <w:szCs w:val="20"/>
        </w:rPr>
        <w:t>L’écart entre le modèle et les données ;</w:t>
      </w:r>
      <w:bookmarkEnd w:id="203"/>
    </w:p>
    <w:p w14:paraId="5E6E872D" w14:textId="77777777" w:rsidR="00F50D70" w:rsidRPr="00BE4F47" w:rsidRDefault="00000000" w:rsidP="008E113B">
      <w:pPr>
        <w:numPr>
          <w:ilvl w:val="0"/>
          <w:numId w:val="21"/>
        </w:numPr>
        <w:spacing w:after="130" w:line="360" w:lineRule="auto"/>
        <w:rPr>
          <w:rFonts w:ascii="Aptos" w:eastAsia="Calibri" w:hAnsi="Aptos" w:cs="Calibri"/>
          <w:color w:val="1A1A19"/>
          <w:sz w:val="20"/>
          <w:szCs w:val="20"/>
        </w:rPr>
      </w:pPr>
      <w:bookmarkStart w:id="204" w:name="_Toc241082935"/>
      <w:r w:rsidRPr="00BE4F47">
        <w:rPr>
          <w:rFonts w:ascii="Aptos" w:eastAsia="Calibri" w:hAnsi="Aptos" w:cs="Calibri"/>
          <w:color w:val="1A1A19"/>
          <w:sz w:val="20"/>
          <w:szCs w:val="20"/>
        </w:rPr>
        <w:t>Le nombre de capteur cohérents entre eux ;</w:t>
      </w:r>
      <w:bookmarkEnd w:id="204"/>
    </w:p>
    <w:p w14:paraId="5144A330" w14:textId="77777777" w:rsidR="00F50D70" w:rsidRPr="00BE4F47" w:rsidRDefault="00000000" w:rsidP="008E113B">
      <w:pPr>
        <w:numPr>
          <w:ilvl w:val="0"/>
          <w:numId w:val="21"/>
        </w:numPr>
        <w:spacing w:after="130" w:line="360" w:lineRule="auto"/>
        <w:rPr>
          <w:rFonts w:ascii="Aptos" w:eastAsia="Times New Roman" w:hAnsi="Aptos"/>
        </w:rPr>
      </w:pPr>
      <w:bookmarkStart w:id="205" w:name="_Toc241082936"/>
      <w:r w:rsidRPr="00BE4F47">
        <w:rPr>
          <w:rFonts w:ascii="Aptos" w:eastAsia="Calibri" w:hAnsi="Aptos" w:cs="Calibri"/>
          <w:color w:val="1A1A19"/>
          <w:sz w:val="20"/>
          <w:szCs w:val="20"/>
        </w:rPr>
        <w:t>Le domaine de validité du modèle .</w:t>
      </w:r>
      <w:bookmarkEnd w:id="205"/>
    </w:p>
    <w:p w14:paraId="5135511D" w14:textId="77777777" w:rsidR="00F50D70" w:rsidRPr="00BE4F47" w:rsidRDefault="00000000" w:rsidP="008E113B">
      <w:pPr>
        <w:pStyle w:val="Titre4"/>
        <w:spacing w:line="360" w:lineRule="auto"/>
        <w:rPr>
          <w:rFonts w:eastAsia="Calibri"/>
        </w:rPr>
      </w:pPr>
      <w:r w:rsidRPr="00BE4F47">
        <w:lastRenderedPageBreak/>
        <w:t>Cybersécurité et cyber-</w:t>
      </w:r>
      <w:r w:rsidRPr="00BE4F47">
        <w:rPr>
          <w:rFonts w:eastAsia="Calibri"/>
        </w:rPr>
        <w:t>résilience</w:t>
      </w:r>
    </w:p>
    <w:p w14:paraId="057595DD"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206" w:name="_Toc241082937"/>
      <w:r w:rsidRPr="00BE4F47">
        <w:rPr>
          <w:rFonts w:ascii="Aptos" w:eastAsia="Calibri" w:hAnsi="Aptos" w:cs="Calibri"/>
          <w:color w:val="1A1A19"/>
          <w:sz w:val="20"/>
          <w:szCs w:val="20"/>
        </w:rPr>
        <w:t>Une donnée falsifiée, retardée ou supprimée entraîne une représentation erronée de l’état du système, donc une décision erronée de l’opérateur.</w:t>
      </w:r>
      <w:bookmarkEnd w:id="206"/>
    </w:p>
    <w:p w14:paraId="0B02E7FA" w14:textId="77777777" w:rsidR="00F50D70" w:rsidRPr="00BE4F47" w:rsidRDefault="00000000" w:rsidP="008E113B">
      <w:pPr>
        <w:spacing w:after="130" w:line="360" w:lineRule="auto"/>
        <w:ind w:left="992"/>
        <w:rPr>
          <w:rFonts w:ascii="Aptos" w:hAnsi="Aptos"/>
        </w:rPr>
      </w:pPr>
      <w:bookmarkStart w:id="207" w:name="_Toc241082938"/>
      <w:r w:rsidRPr="00BE4F47">
        <w:rPr>
          <w:rFonts w:ascii="Aptos" w:eastAsia="Calibri" w:hAnsi="Aptos" w:cs="Calibri"/>
          <w:color w:val="1A1A19"/>
          <w:sz w:val="20"/>
          <w:szCs w:val="20"/>
        </w:rPr>
        <w:t xml:space="preserve">A. </w:t>
      </w:r>
      <w:proofErr w:type="spellStart"/>
      <w:r w:rsidRPr="00BE4F47">
        <w:rPr>
          <w:rFonts w:ascii="Aptos" w:eastAsia="Calibri" w:hAnsi="Aptos" w:cs="Calibri"/>
          <w:color w:val="1A1A19"/>
          <w:sz w:val="20"/>
          <w:szCs w:val="20"/>
        </w:rPr>
        <w:t>Sayghe</w:t>
      </w:r>
      <w:proofErr w:type="spellEnd"/>
      <w:r w:rsidRPr="00BE4F47">
        <w:rPr>
          <w:rFonts w:ascii="Aptos" w:eastAsia="Calibri" w:hAnsi="Aptos" w:cs="Calibri"/>
          <w:color w:val="1A1A19"/>
          <w:sz w:val="20"/>
          <w:szCs w:val="20"/>
        </w:rPr>
        <w:t xml:space="preserve"> propose une architecture de détection d’intrusions reposant sur un jumeau numérique d’un système SCADA. Le jumeau permet de simuler le procédé, d’y injecter différents types de cyberattaques et d’en évaluer l’incidence [8]. C. Alcaraz et J. Lopez montrent de leur côté que les jumeaux numériques peuvent servir de mécanisme complémentaire de détection dans les systèmes </w:t>
      </w:r>
      <w:proofErr w:type="spellStart"/>
      <w:r w:rsidRPr="00BE4F47">
        <w:rPr>
          <w:rFonts w:ascii="Aptos" w:eastAsia="Calibri" w:hAnsi="Aptos" w:cs="Calibri"/>
          <w:color w:val="1A1A19"/>
          <w:sz w:val="20"/>
          <w:szCs w:val="20"/>
        </w:rPr>
        <w:t>cyberphysiques</w:t>
      </w:r>
      <w:proofErr w:type="spellEnd"/>
      <w:r w:rsidRPr="00BE4F47">
        <w:rPr>
          <w:rFonts w:ascii="Aptos" w:eastAsia="Calibri" w:hAnsi="Aptos" w:cs="Calibri"/>
          <w:color w:val="1A1A19"/>
          <w:sz w:val="20"/>
          <w:szCs w:val="20"/>
        </w:rPr>
        <w:t xml:space="preserve"> [6].</w:t>
      </w:r>
      <w:bookmarkEnd w:id="207"/>
    </w:p>
    <w:p w14:paraId="098A0723" w14:textId="77777777" w:rsidR="00F50D70" w:rsidRPr="00BE4F47" w:rsidRDefault="00000000" w:rsidP="008E113B">
      <w:pPr>
        <w:pStyle w:val="Retraitcorpsdetexte3"/>
        <w:spacing w:line="360" w:lineRule="auto"/>
        <w:ind w:left="992" w:firstLine="0"/>
        <w:rPr>
          <w:rFonts w:ascii="Aptos" w:eastAsia="Calibri" w:hAnsi="Aptos" w:cs="Calibri"/>
          <w:color w:val="1A1A19"/>
          <w:sz w:val="20"/>
          <w:szCs w:val="20"/>
        </w:rPr>
      </w:pPr>
      <w:bookmarkStart w:id="208" w:name="_Toc241082939"/>
      <w:r w:rsidRPr="00BE4F47">
        <w:rPr>
          <w:rFonts w:ascii="Aptos" w:eastAsia="Calibri" w:hAnsi="Aptos" w:cs="Calibri"/>
          <w:color w:val="1A1A19"/>
          <w:sz w:val="20"/>
          <w:szCs w:val="20"/>
        </w:rPr>
        <w:t>Pour le projet, la cyber-résilience ne se limite donc pas à empêcher une attaque. Elle signifie que le système doit être capable :</w:t>
      </w:r>
      <w:bookmarkEnd w:id="208"/>
      <w:r w:rsidRPr="00BE4F47">
        <w:rPr>
          <w:rFonts w:ascii="Aptos" w:eastAsia="Calibri" w:hAnsi="Aptos" w:cs="Calibri"/>
          <w:color w:val="1A1A19"/>
          <w:sz w:val="20"/>
          <w:szCs w:val="20"/>
        </w:rPr>
        <w:t xml:space="preserve"> </w:t>
      </w:r>
    </w:p>
    <w:p w14:paraId="0F408EBA" w14:textId="77777777" w:rsidR="00F50D70" w:rsidRPr="00BE4F47" w:rsidRDefault="00F50D70" w:rsidP="008E113B">
      <w:pPr>
        <w:pStyle w:val="Retraitcorpsdetexte3"/>
        <w:spacing w:line="360" w:lineRule="auto"/>
        <w:ind w:left="992" w:firstLine="0"/>
        <w:rPr>
          <w:rFonts w:ascii="Aptos" w:eastAsia="Calibri" w:hAnsi="Aptos" w:cs="Calibri"/>
          <w:color w:val="1A1A19"/>
          <w:sz w:val="20"/>
          <w:szCs w:val="20"/>
        </w:rPr>
      </w:pPr>
    </w:p>
    <w:p w14:paraId="3AB03436" w14:textId="77777777" w:rsidR="00F50D70" w:rsidRPr="00BE4F47" w:rsidRDefault="00000000" w:rsidP="008E113B">
      <w:pPr>
        <w:pStyle w:val="Retraitcorpsdetexte3"/>
        <w:numPr>
          <w:ilvl w:val="0"/>
          <w:numId w:val="9"/>
        </w:numPr>
        <w:spacing w:line="360" w:lineRule="auto"/>
        <w:rPr>
          <w:rFonts w:ascii="Aptos" w:eastAsia="Calibri" w:hAnsi="Aptos" w:cs="Calibri"/>
          <w:color w:val="1A1A19"/>
          <w:sz w:val="20"/>
          <w:szCs w:val="20"/>
        </w:rPr>
      </w:pPr>
      <w:bookmarkStart w:id="209" w:name="_Toc241082940"/>
      <w:r w:rsidRPr="00BE4F47">
        <w:rPr>
          <w:rFonts w:ascii="Aptos" w:eastAsia="Calibri" w:hAnsi="Aptos" w:cs="Calibri"/>
          <w:color w:val="1A1A19"/>
          <w:sz w:val="20"/>
          <w:szCs w:val="20"/>
        </w:rPr>
        <w:t>D’identifier une donnée incohérente</w:t>
      </w:r>
      <w:bookmarkEnd w:id="209"/>
    </w:p>
    <w:p w14:paraId="14CFCFC4" w14:textId="77777777" w:rsidR="00F50D70" w:rsidRPr="00BE4F47" w:rsidRDefault="00F50D70" w:rsidP="008E113B">
      <w:pPr>
        <w:pStyle w:val="Retraitcorpsdetexte3"/>
        <w:spacing w:line="360" w:lineRule="auto"/>
        <w:ind w:left="992" w:firstLine="0"/>
        <w:rPr>
          <w:rFonts w:ascii="Aptos" w:eastAsia="Calibri" w:hAnsi="Aptos" w:cs="Calibri"/>
          <w:color w:val="1A1A19"/>
          <w:sz w:val="20"/>
          <w:szCs w:val="20"/>
        </w:rPr>
      </w:pPr>
    </w:p>
    <w:p w14:paraId="03624502" w14:textId="77777777" w:rsidR="00F50D70" w:rsidRPr="00BE4F47" w:rsidRDefault="00000000" w:rsidP="008E113B">
      <w:pPr>
        <w:pStyle w:val="Retraitcorpsdetexte3"/>
        <w:numPr>
          <w:ilvl w:val="0"/>
          <w:numId w:val="9"/>
        </w:numPr>
        <w:spacing w:line="360" w:lineRule="auto"/>
        <w:rPr>
          <w:rFonts w:ascii="Aptos" w:eastAsia="Calibri" w:hAnsi="Aptos" w:cs="Calibri"/>
          <w:color w:val="1A1A19"/>
          <w:sz w:val="20"/>
          <w:szCs w:val="20"/>
        </w:rPr>
      </w:pPr>
      <w:bookmarkStart w:id="210" w:name="_Toc241082941"/>
      <w:r w:rsidRPr="00BE4F47">
        <w:rPr>
          <w:rFonts w:ascii="Aptos" w:eastAsia="Calibri" w:hAnsi="Aptos" w:cs="Calibri"/>
          <w:color w:val="1A1A19"/>
          <w:sz w:val="20"/>
          <w:szCs w:val="20"/>
        </w:rPr>
        <w:t>De détecter une perte de communication;</w:t>
      </w:r>
      <w:bookmarkEnd w:id="210"/>
    </w:p>
    <w:p w14:paraId="6BFE170B" w14:textId="77777777" w:rsidR="00F50D70" w:rsidRPr="00BE4F47" w:rsidRDefault="00F50D70" w:rsidP="008E113B">
      <w:pPr>
        <w:pStyle w:val="Retraitcorpsdetexte3"/>
        <w:spacing w:line="360" w:lineRule="auto"/>
        <w:ind w:left="992" w:firstLine="0"/>
        <w:rPr>
          <w:rFonts w:ascii="Aptos" w:eastAsia="Calibri" w:hAnsi="Aptos" w:cs="Calibri"/>
          <w:color w:val="1A1A19"/>
          <w:sz w:val="20"/>
          <w:szCs w:val="20"/>
        </w:rPr>
      </w:pPr>
    </w:p>
    <w:p w14:paraId="0DC6FF7A" w14:textId="77777777" w:rsidR="00F50D70" w:rsidRPr="00BE4F47" w:rsidRDefault="00000000" w:rsidP="008E113B">
      <w:pPr>
        <w:pStyle w:val="Retraitcorpsdetexte3"/>
        <w:numPr>
          <w:ilvl w:val="0"/>
          <w:numId w:val="9"/>
        </w:numPr>
        <w:spacing w:line="360" w:lineRule="auto"/>
        <w:rPr>
          <w:rFonts w:ascii="Aptos" w:eastAsia="Segoe UI Symbol" w:hAnsi="Aptos" w:cs="Calibri"/>
          <w:color w:val="1A1A19"/>
          <w:sz w:val="20"/>
          <w:szCs w:val="20"/>
        </w:rPr>
      </w:pPr>
      <w:bookmarkStart w:id="211" w:name="_Toc241082942"/>
      <w:r w:rsidRPr="00BE4F47">
        <w:rPr>
          <w:rFonts w:ascii="Aptos" w:eastAsia="Calibri" w:hAnsi="Aptos" w:cs="Calibri"/>
          <w:color w:val="1A1A19"/>
          <w:sz w:val="20"/>
          <w:szCs w:val="20"/>
        </w:rPr>
        <w:t>De reconnaitre une mesure potentiellement falsifi</w:t>
      </w:r>
      <w:r w:rsidRPr="00BE4F47">
        <w:rPr>
          <w:rFonts w:ascii="Aptos" w:eastAsia="Segoe UI Symbol" w:hAnsi="Aptos" w:cs="Calibri"/>
          <w:color w:val="1A1A19"/>
          <w:sz w:val="20"/>
          <w:szCs w:val="20"/>
        </w:rPr>
        <w:t>ée;</w:t>
      </w:r>
      <w:bookmarkEnd w:id="211"/>
    </w:p>
    <w:p w14:paraId="2643B62D" w14:textId="77777777" w:rsidR="00F50D70" w:rsidRPr="00BE4F47" w:rsidRDefault="00F50D70" w:rsidP="008E113B">
      <w:pPr>
        <w:pStyle w:val="Retraitcorpsdetexte3"/>
        <w:spacing w:line="360" w:lineRule="auto"/>
        <w:ind w:left="992" w:firstLine="0"/>
        <w:rPr>
          <w:rFonts w:ascii="Aptos" w:eastAsia="Segoe UI Symbol" w:hAnsi="Aptos" w:cs="Calibri"/>
          <w:color w:val="1A1A19"/>
          <w:sz w:val="20"/>
          <w:szCs w:val="20"/>
        </w:rPr>
      </w:pPr>
    </w:p>
    <w:p w14:paraId="0EB0A16F" w14:textId="77777777" w:rsidR="00F50D70" w:rsidRPr="00BE4F47" w:rsidRDefault="00000000" w:rsidP="008E113B">
      <w:pPr>
        <w:pStyle w:val="Retraitcorpsdetexte3"/>
        <w:numPr>
          <w:ilvl w:val="0"/>
          <w:numId w:val="9"/>
        </w:numPr>
        <w:spacing w:line="360" w:lineRule="auto"/>
        <w:rPr>
          <w:rFonts w:ascii="Aptos" w:eastAsia="Segoe UI Symbol" w:hAnsi="Aptos" w:cs="Calibri"/>
          <w:color w:val="1A1A19"/>
          <w:sz w:val="20"/>
          <w:szCs w:val="20"/>
        </w:rPr>
      </w:pPr>
      <w:bookmarkStart w:id="212" w:name="_Toc241082943"/>
      <w:r w:rsidRPr="00BE4F47">
        <w:rPr>
          <w:rFonts w:ascii="Aptos" w:eastAsia="Segoe UI Symbol" w:hAnsi="Aptos" w:cs="Calibri"/>
          <w:color w:val="1A1A19"/>
          <w:sz w:val="20"/>
          <w:szCs w:val="20"/>
        </w:rPr>
        <w:t>De continuer à fonctionner en mode dégradé lorsque cela reste sur ;</w:t>
      </w:r>
      <w:bookmarkEnd w:id="212"/>
    </w:p>
    <w:p w14:paraId="292DE4EF" w14:textId="77777777" w:rsidR="00F50D70" w:rsidRPr="00BE4F47" w:rsidRDefault="00F50D70" w:rsidP="008E113B">
      <w:pPr>
        <w:pStyle w:val="Retraitcorpsdetexte3"/>
        <w:spacing w:line="360" w:lineRule="auto"/>
        <w:ind w:left="992" w:firstLine="0"/>
        <w:rPr>
          <w:rFonts w:ascii="Aptos" w:eastAsia="Segoe UI Symbol" w:hAnsi="Aptos" w:cs="Calibri"/>
          <w:color w:val="1A1A19"/>
          <w:sz w:val="20"/>
          <w:szCs w:val="20"/>
        </w:rPr>
      </w:pPr>
    </w:p>
    <w:p w14:paraId="60B474D9" w14:textId="77777777" w:rsidR="00F50D70" w:rsidRPr="00BE4F47" w:rsidRDefault="00000000" w:rsidP="008E113B">
      <w:pPr>
        <w:pStyle w:val="Retraitcorpsdetexte3"/>
        <w:numPr>
          <w:ilvl w:val="0"/>
          <w:numId w:val="9"/>
        </w:numPr>
        <w:spacing w:line="360" w:lineRule="auto"/>
        <w:rPr>
          <w:rFonts w:ascii="Aptos" w:eastAsia="Segoe UI Symbol" w:hAnsi="Aptos" w:cs="Segoe UI Symbol"/>
          <w:lang w:eastAsia="ja-JP"/>
        </w:rPr>
      </w:pPr>
      <w:bookmarkStart w:id="213" w:name="_Toc241082944"/>
      <w:r w:rsidRPr="00BE4F47">
        <w:rPr>
          <w:rFonts w:ascii="Aptos" w:eastAsia="Segoe UI Symbol" w:hAnsi="Aptos" w:cs="Calibri"/>
          <w:color w:val="1A1A19"/>
          <w:sz w:val="20"/>
          <w:szCs w:val="20"/>
        </w:rPr>
        <w:t>Ou d’indiquer clairement qu’un diagnostic fiable n’est plus possible.</w:t>
      </w:r>
      <w:bookmarkEnd w:id="213"/>
    </w:p>
    <w:p w14:paraId="05F38260" w14:textId="77777777" w:rsidR="00F50D70" w:rsidRPr="00BE4F47" w:rsidRDefault="00F50D70" w:rsidP="008E113B">
      <w:pPr>
        <w:pStyle w:val="Retraitcorpsdetexte3"/>
        <w:spacing w:line="360" w:lineRule="auto"/>
        <w:ind w:left="0" w:firstLine="0"/>
        <w:rPr>
          <w:rFonts w:ascii="Aptos" w:eastAsia="Segoe UI Symbol" w:hAnsi="Aptos" w:cs="Segoe UI Symbol"/>
          <w:lang w:eastAsia="ja-JP"/>
        </w:rPr>
      </w:pPr>
    </w:p>
    <w:p w14:paraId="69DD52AC" w14:textId="77777777" w:rsidR="00F50D70" w:rsidRPr="00BE4F47" w:rsidRDefault="00000000" w:rsidP="008E113B">
      <w:pPr>
        <w:spacing w:after="130" w:line="360" w:lineRule="auto"/>
        <w:ind w:left="720"/>
        <w:rPr>
          <w:rFonts w:ascii="Aptos" w:hAnsi="Aptos"/>
        </w:rPr>
      </w:pPr>
      <w:bookmarkStart w:id="214" w:name="_Toc241082945"/>
      <w:r w:rsidRPr="00BE4F47">
        <w:rPr>
          <w:rFonts w:ascii="Aptos" w:eastAsia="Calibri" w:hAnsi="Aptos" w:cs="Calibri"/>
          <w:color w:val="1A1A19"/>
          <w:sz w:val="20"/>
          <w:szCs w:val="20"/>
        </w:rPr>
        <w:t>Ces cinq comportements correspondent aux exigences EX-Q-04 et EX-F-06 et, dans le GEMMA, aux états D2 et D3. La norme IEC 62859 ajoute une contrainte que la littérature n’énonce pas : une mesure de cybersécurité ne doit jamais empêcher l’opérateur de percevoir l’état réel du système. Une coupure de flux décidée pour des motifs de sécurité doit donc être signalée, et non silencieuse.</w:t>
      </w:r>
      <w:bookmarkEnd w:id="214"/>
    </w:p>
    <w:p w14:paraId="6AB97A5B" w14:textId="77777777" w:rsidR="00F50D70" w:rsidRPr="00BE4F47" w:rsidRDefault="00000000" w:rsidP="008E113B">
      <w:pPr>
        <w:pStyle w:val="Titre4"/>
        <w:spacing w:line="360" w:lineRule="auto"/>
      </w:pPr>
      <w:bookmarkStart w:id="215" w:name="__RefHeading___Toc240715165"/>
      <w:bookmarkEnd w:id="215"/>
      <w:r w:rsidRPr="00BE4F47">
        <w:t>Aide à la décision et explicabilité</w:t>
      </w:r>
    </w:p>
    <w:p w14:paraId="6897E825"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216" w:name="_Toc241082946"/>
      <w:r w:rsidRPr="00BE4F47">
        <w:rPr>
          <w:rFonts w:ascii="Aptos" w:eastAsia="Calibri" w:hAnsi="Aptos" w:cs="Calibri"/>
          <w:color w:val="1A1A19"/>
          <w:sz w:val="20"/>
          <w:szCs w:val="20"/>
        </w:rPr>
        <w:t>La littérature relève une limite d’interprétabilité des modèles numériques, en particulier avec l’apprentissage automatique [4]. En contexte nucléaire, une indication « normal » ou « anormal » ne suffit pas : l’opérateur doit pouvoir comprendre quelles variables ont conduit au diagnostic. Les exigences EX-F-04, EX-F-05 et EX-F-07 traduisent ce besoin en contenu d’interface.</w:t>
      </w:r>
      <w:bookmarkEnd w:id="216"/>
    </w:p>
    <w:p w14:paraId="26B1D3A5"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217" w:name="_Toc241082948"/>
      <w:r w:rsidRPr="00BE4F47">
        <w:rPr>
          <w:rFonts w:ascii="Aptos" w:eastAsia="Calibri" w:hAnsi="Aptos" w:cs="Calibri"/>
          <w:color w:val="1A1A19"/>
          <w:sz w:val="20"/>
          <w:szCs w:val="20"/>
        </w:rPr>
        <w:t>Le système demeure un outil d’aide à la décision, la responsabilité finale restant celle de l’opérateur (EX-F-08, norme ISO 9241-210 sur la conception centrée sur l’opérateur humain).</w:t>
      </w:r>
      <w:bookmarkEnd w:id="217"/>
    </w:p>
    <w:p w14:paraId="0F11329E" w14:textId="77777777" w:rsidR="00F50D70" w:rsidRPr="00BE4F47" w:rsidRDefault="00F50D70" w:rsidP="008E113B">
      <w:pPr>
        <w:pStyle w:val="Retraitcorpsdetexte3"/>
        <w:spacing w:line="360" w:lineRule="auto"/>
        <w:rPr>
          <w:rFonts w:ascii="Aptos" w:hAnsi="Aptos"/>
        </w:rPr>
      </w:pPr>
    </w:p>
    <w:p w14:paraId="21CF8A6D" w14:textId="77777777" w:rsidR="00F50D70" w:rsidRPr="00B03F2E" w:rsidRDefault="00000000" w:rsidP="008E113B">
      <w:pPr>
        <w:pStyle w:val="Titre2"/>
        <w:spacing w:line="360" w:lineRule="auto"/>
      </w:pPr>
      <w:r w:rsidRPr="00B03F2E">
        <w:lastRenderedPageBreak/>
        <w:t xml:space="preserve"> </w:t>
      </w:r>
      <w:bookmarkStart w:id="218" w:name="__RefHeading___Toc240715169"/>
      <w:bookmarkStart w:id="219" w:name="_Toc241082949"/>
      <w:r w:rsidRPr="00B03F2E">
        <w:t>Recherche de brevets</w:t>
      </w:r>
      <w:bookmarkEnd w:id="218"/>
      <w:bookmarkEnd w:id="219"/>
    </w:p>
    <w:p w14:paraId="31FE45D3" w14:textId="77777777" w:rsidR="00F50D70" w:rsidRPr="00BE4F47" w:rsidRDefault="00000000" w:rsidP="008E113B">
      <w:pPr>
        <w:pStyle w:val="Titre4"/>
        <w:spacing w:line="360" w:lineRule="auto"/>
      </w:pPr>
      <w:bookmarkStart w:id="220" w:name="__RefHeading___Toc240715170"/>
      <w:bookmarkEnd w:id="220"/>
      <w:r w:rsidRPr="00BE4F47">
        <w:t>Portée et limites de la recherche</w:t>
      </w:r>
    </w:p>
    <w:p w14:paraId="02C97B69" w14:textId="77777777" w:rsidR="00F50D70" w:rsidRPr="00BE4F47" w:rsidRDefault="00000000" w:rsidP="008E113B">
      <w:pPr>
        <w:pStyle w:val="Retraitcorpsdetexte3"/>
        <w:spacing w:line="360" w:lineRule="auto"/>
        <w:ind w:left="992"/>
        <w:rPr>
          <w:rFonts w:ascii="Aptos" w:eastAsia="Calibri" w:hAnsi="Aptos" w:cs="Calibri"/>
          <w:color w:val="1A1A19"/>
          <w:sz w:val="20"/>
          <w:szCs w:val="20"/>
        </w:rPr>
      </w:pPr>
      <w:bookmarkStart w:id="221" w:name="_Toc241082950"/>
      <w:r w:rsidRPr="00BE4F47">
        <w:rPr>
          <w:rFonts w:ascii="Aptos" w:eastAsia="Calibri" w:hAnsi="Aptos" w:cs="Calibri"/>
          <w:color w:val="1A1A19"/>
          <w:sz w:val="20"/>
          <w:szCs w:val="20"/>
        </w:rPr>
        <w:t>La recherche a été menée dans Google Patents. Elle constitue une recherche préliminaire d’antériorité, destinée à établir ce qui est déjà connu dans le domaine. Elle ne constitue pas une analyse de liberté d’exploitation, laquelle suppose l’examen des revendications de chaque brevet, la vérification de son statut juridique à la date considérée et la détermination des territoires où il est en vigueur. Une telle analyse relève d’un agent de brevets.</w:t>
      </w:r>
      <w:bookmarkEnd w:id="221"/>
    </w:p>
    <w:p w14:paraId="069010C3" w14:textId="77777777" w:rsidR="00F50D70" w:rsidRPr="00BE4F47" w:rsidRDefault="00F50D70" w:rsidP="008E113B">
      <w:pPr>
        <w:pStyle w:val="Retraitcorpsdetexte3"/>
        <w:spacing w:line="360" w:lineRule="auto"/>
        <w:ind w:left="992"/>
        <w:rPr>
          <w:rFonts w:ascii="Aptos" w:eastAsia="Calibri" w:hAnsi="Aptos" w:cs="Calibri"/>
          <w:color w:val="1A1A19"/>
          <w:sz w:val="20"/>
          <w:szCs w:val="20"/>
        </w:rPr>
      </w:pPr>
    </w:p>
    <w:p w14:paraId="5FDFC35C" w14:textId="77777777" w:rsidR="00F50D70" w:rsidRPr="00BE4F47" w:rsidRDefault="00000000" w:rsidP="008E113B">
      <w:pPr>
        <w:pStyle w:val="Titre4"/>
        <w:spacing w:line="360" w:lineRule="auto"/>
      </w:pPr>
      <w:bookmarkStart w:id="222" w:name="__RefHeading___Toc240715172"/>
      <w:bookmarkEnd w:id="222"/>
      <w:r w:rsidRPr="00BE4F47">
        <w:t>Brevets identifiés</w:t>
      </w:r>
    </w:p>
    <w:p w14:paraId="26568BF0" w14:textId="77777777" w:rsidR="00F50D70" w:rsidRDefault="00000000" w:rsidP="008E113B">
      <w:pPr>
        <w:spacing w:after="150" w:line="360" w:lineRule="auto"/>
        <w:ind w:left="992"/>
        <w:rPr>
          <w:rFonts w:ascii="Aptos" w:eastAsia="Calibri" w:hAnsi="Aptos" w:cs="Calibri"/>
          <w:color w:val="1A1A19"/>
          <w:sz w:val="20"/>
          <w:szCs w:val="20"/>
        </w:rPr>
      </w:pPr>
      <w:bookmarkStart w:id="223" w:name="_Toc241082951"/>
      <w:r w:rsidRPr="00BE4F47">
        <w:rPr>
          <w:rFonts w:ascii="Aptos" w:eastAsia="Calibri" w:hAnsi="Aptos" w:cs="Calibri"/>
          <w:color w:val="1A1A19"/>
          <w:sz w:val="20"/>
          <w:szCs w:val="20"/>
        </w:rPr>
        <w:t>Cinq brevets présentent des similitudes avec des composantes du projet. Le statut et la juridiction ont été vérifiés le 18 septembre 2026.</w:t>
      </w:r>
      <w:bookmarkEnd w:id="223"/>
    </w:p>
    <w:p w14:paraId="6143337A" w14:textId="77777777" w:rsidR="0036725C" w:rsidRDefault="0036725C" w:rsidP="008E113B">
      <w:pPr>
        <w:spacing w:after="150" w:line="360" w:lineRule="auto"/>
        <w:ind w:left="992"/>
        <w:rPr>
          <w:rFonts w:ascii="Aptos" w:eastAsia="Calibri" w:hAnsi="Aptos" w:cs="Calibri"/>
          <w:color w:val="1A1A19"/>
          <w:sz w:val="20"/>
          <w:szCs w:val="20"/>
        </w:rPr>
      </w:pPr>
    </w:p>
    <w:p w14:paraId="6A1ABF7C" w14:textId="77777777" w:rsidR="0036725C" w:rsidRDefault="0036725C" w:rsidP="008E113B">
      <w:pPr>
        <w:spacing w:after="150" w:line="360" w:lineRule="auto"/>
        <w:ind w:left="992"/>
        <w:rPr>
          <w:rFonts w:ascii="Aptos" w:eastAsia="Calibri" w:hAnsi="Aptos" w:cs="Calibri"/>
          <w:color w:val="1A1A19"/>
          <w:sz w:val="20"/>
          <w:szCs w:val="20"/>
        </w:rPr>
      </w:pPr>
    </w:p>
    <w:p w14:paraId="1F30F508" w14:textId="77777777" w:rsidR="0036725C" w:rsidRDefault="0036725C" w:rsidP="008E113B">
      <w:pPr>
        <w:spacing w:after="150" w:line="360" w:lineRule="auto"/>
        <w:ind w:left="992"/>
        <w:rPr>
          <w:rFonts w:ascii="Aptos" w:eastAsia="Calibri" w:hAnsi="Aptos" w:cs="Calibri"/>
          <w:color w:val="1A1A19"/>
          <w:sz w:val="20"/>
          <w:szCs w:val="20"/>
        </w:rPr>
      </w:pPr>
    </w:p>
    <w:p w14:paraId="3434E67C" w14:textId="77777777" w:rsidR="0036725C" w:rsidRPr="00BE4F47" w:rsidRDefault="0036725C" w:rsidP="008E113B">
      <w:pPr>
        <w:spacing w:after="150" w:line="360" w:lineRule="auto"/>
        <w:ind w:left="992"/>
        <w:rPr>
          <w:rFonts w:ascii="Aptos" w:hAnsi="Aptos"/>
        </w:rPr>
      </w:pPr>
    </w:p>
    <w:p w14:paraId="6C7AEDD3" w14:textId="77777777" w:rsidR="00F50D70" w:rsidRPr="00BE4F47" w:rsidRDefault="00000000" w:rsidP="008E113B">
      <w:pPr>
        <w:pStyle w:val="Lgende"/>
        <w:spacing w:line="360" w:lineRule="auto"/>
        <w:rPr>
          <w:rFonts w:ascii="Aptos" w:hAnsi="Aptos"/>
        </w:rPr>
      </w:pPr>
      <w:bookmarkStart w:id="224" w:name="_Toc241082952"/>
      <w:r w:rsidRPr="00BE4F47">
        <w:rPr>
          <w:rFonts w:ascii="Aptos" w:hAnsi="Aptos"/>
        </w:rPr>
        <w:t>Tableau 5-2. Brevets identifiés et différence avec le projet</w:t>
      </w:r>
      <w:bookmarkEnd w:id="224"/>
    </w:p>
    <w:tbl>
      <w:tblPr>
        <w:tblW w:w="7894" w:type="dxa"/>
        <w:tblInd w:w="936" w:type="dxa"/>
        <w:tblLayout w:type="fixed"/>
        <w:tblCellMar>
          <w:top w:w="60" w:type="dxa"/>
          <w:left w:w="90" w:type="dxa"/>
          <w:bottom w:w="60" w:type="dxa"/>
          <w:right w:w="90" w:type="dxa"/>
        </w:tblCellMar>
        <w:tblLook w:val="04A0" w:firstRow="1" w:lastRow="0" w:firstColumn="1" w:lastColumn="0" w:noHBand="0" w:noVBand="1"/>
      </w:tblPr>
      <w:tblGrid>
        <w:gridCol w:w="1197"/>
        <w:gridCol w:w="1839"/>
        <w:gridCol w:w="1434"/>
        <w:gridCol w:w="1316"/>
        <w:gridCol w:w="2108"/>
      </w:tblGrid>
      <w:tr w:rsidR="00F50D70" w:rsidRPr="00BE4F47" w14:paraId="5A9322BC" w14:textId="77777777" w:rsidTr="0036725C">
        <w:trPr>
          <w:trHeight w:val="229"/>
          <w:tblHeader/>
        </w:trPr>
        <w:tc>
          <w:tcPr>
            <w:tcW w:w="119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3029C2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Numéro</w:t>
            </w:r>
          </w:p>
        </w:tc>
        <w:tc>
          <w:tcPr>
            <w:tcW w:w="1839"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62C8E2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Objet</w:t>
            </w:r>
          </w:p>
        </w:tc>
        <w:tc>
          <w:tcPr>
            <w:tcW w:w="143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6566B2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Titulaire</w:t>
            </w:r>
          </w:p>
        </w:tc>
        <w:tc>
          <w:tcPr>
            <w:tcW w:w="1316"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C5969B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Statut et juridiction</w:t>
            </w:r>
          </w:p>
        </w:tc>
        <w:tc>
          <w:tcPr>
            <w:tcW w:w="2108"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D3A8F2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Différence avec le projet</w:t>
            </w:r>
          </w:p>
        </w:tc>
      </w:tr>
      <w:tr w:rsidR="00F50D70" w:rsidRPr="00BE4F47" w14:paraId="6C1A7B70" w14:textId="77777777">
        <w:trPr>
          <w:cantSplit/>
          <w:trHeight w:val="748"/>
        </w:trPr>
        <w:tc>
          <w:tcPr>
            <w:tcW w:w="1197" w:type="dxa"/>
            <w:tcBorders>
              <w:top w:val="single" w:sz="4" w:space="0" w:color="000000"/>
              <w:left w:val="single" w:sz="4" w:space="0" w:color="000000"/>
              <w:bottom w:val="single" w:sz="4" w:space="0" w:color="000000"/>
              <w:right w:val="single" w:sz="4" w:space="0" w:color="000000"/>
            </w:tcBorders>
          </w:tcPr>
          <w:p w14:paraId="59A8766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CN118709527B</w:t>
            </w:r>
          </w:p>
        </w:tc>
        <w:tc>
          <w:tcPr>
            <w:tcW w:w="1839" w:type="dxa"/>
            <w:tcBorders>
              <w:top w:val="single" w:sz="4" w:space="0" w:color="000000"/>
              <w:left w:val="single" w:sz="4" w:space="0" w:color="000000"/>
              <w:bottom w:val="single" w:sz="4" w:space="0" w:color="000000"/>
              <w:right w:val="single" w:sz="4" w:space="0" w:color="000000"/>
            </w:tcBorders>
          </w:tcPr>
          <w:p w14:paraId="2ED2A9F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Modèle de jumeau numérique de centrale nucléaire à approche hybride physique-données [9]</w:t>
            </w:r>
          </w:p>
        </w:tc>
        <w:tc>
          <w:tcPr>
            <w:tcW w:w="1434" w:type="dxa"/>
            <w:tcBorders>
              <w:top w:val="single" w:sz="4" w:space="0" w:color="000000"/>
              <w:left w:val="single" w:sz="4" w:space="0" w:color="000000"/>
              <w:bottom w:val="single" w:sz="4" w:space="0" w:color="000000"/>
              <w:right w:val="single" w:sz="4" w:space="0" w:color="000000"/>
            </w:tcBorders>
          </w:tcPr>
          <w:p w14:paraId="62CFB8E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Université Jiao Tong de Shanghai</w:t>
            </w:r>
          </w:p>
        </w:tc>
        <w:tc>
          <w:tcPr>
            <w:tcW w:w="1316" w:type="dxa"/>
            <w:tcBorders>
              <w:top w:val="single" w:sz="4" w:space="0" w:color="000000"/>
              <w:left w:val="single" w:sz="4" w:space="0" w:color="000000"/>
              <w:bottom w:val="single" w:sz="4" w:space="0" w:color="000000"/>
              <w:right w:val="single" w:sz="4" w:space="0" w:color="000000"/>
            </w:tcBorders>
          </w:tcPr>
          <w:p w14:paraId="55F4808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Délivré, actif</w:t>
            </w:r>
          </w:p>
          <w:p w14:paraId="1FF2BCD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Chine</w:t>
            </w:r>
          </w:p>
          <w:p w14:paraId="3E44489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Dépôt : 2024-06-04</w:t>
            </w:r>
          </w:p>
        </w:tc>
        <w:tc>
          <w:tcPr>
            <w:tcW w:w="2108" w:type="dxa"/>
            <w:tcBorders>
              <w:top w:val="single" w:sz="4" w:space="0" w:color="000000"/>
              <w:left w:val="single" w:sz="4" w:space="0" w:color="000000"/>
              <w:bottom w:val="single" w:sz="4" w:space="0" w:color="000000"/>
              <w:right w:val="single" w:sz="4" w:space="0" w:color="000000"/>
            </w:tcBorders>
          </w:tcPr>
          <w:p w14:paraId="5CA2C98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Centré sur la construction du modèle numérique, non sur la surveillance et la décision.</w:t>
            </w:r>
          </w:p>
        </w:tc>
      </w:tr>
      <w:tr w:rsidR="00F50D70" w:rsidRPr="00BE4F47" w14:paraId="3656787B" w14:textId="77777777">
        <w:trPr>
          <w:cantSplit/>
          <w:trHeight w:val="1020"/>
        </w:trPr>
        <w:tc>
          <w:tcPr>
            <w:tcW w:w="1197" w:type="dxa"/>
            <w:tcBorders>
              <w:top w:val="single" w:sz="4" w:space="0" w:color="000000"/>
              <w:left w:val="single" w:sz="4" w:space="0" w:color="000000"/>
              <w:bottom w:val="single" w:sz="4" w:space="0" w:color="000000"/>
              <w:right w:val="single" w:sz="4" w:space="0" w:color="000000"/>
            </w:tcBorders>
          </w:tcPr>
          <w:p w14:paraId="4EFE5C6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CN118228587A</w:t>
            </w:r>
          </w:p>
        </w:tc>
        <w:tc>
          <w:tcPr>
            <w:tcW w:w="1839" w:type="dxa"/>
            <w:tcBorders>
              <w:top w:val="single" w:sz="4" w:space="0" w:color="000000"/>
              <w:left w:val="single" w:sz="4" w:space="0" w:color="000000"/>
              <w:bottom w:val="single" w:sz="4" w:space="0" w:color="000000"/>
              <w:right w:val="single" w:sz="4" w:space="0" w:color="000000"/>
            </w:tcBorders>
          </w:tcPr>
          <w:p w14:paraId="0F2B46F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Analyse d’incertitude d’un jumeau numérique de cœur par méthode MCMC [10]</w:t>
            </w:r>
          </w:p>
        </w:tc>
        <w:tc>
          <w:tcPr>
            <w:tcW w:w="1434" w:type="dxa"/>
            <w:tcBorders>
              <w:top w:val="single" w:sz="4" w:space="0" w:color="000000"/>
              <w:left w:val="single" w:sz="4" w:space="0" w:color="000000"/>
              <w:bottom w:val="single" w:sz="4" w:space="0" w:color="000000"/>
              <w:right w:val="single" w:sz="4" w:space="0" w:color="000000"/>
            </w:tcBorders>
          </w:tcPr>
          <w:p w14:paraId="0A4E350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Université Jiao Tong de Shanghai</w:t>
            </w:r>
          </w:p>
        </w:tc>
        <w:tc>
          <w:tcPr>
            <w:tcW w:w="1316" w:type="dxa"/>
            <w:tcBorders>
              <w:top w:val="single" w:sz="4" w:space="0" w:color="000000"/>
              <w:left w:val="single" w:sz="4" w:space="0" w:color="000000"/>
              <w:bottom w:val="single" w:sz="4" w:space="0" w:color="000000"/>
              <w:right w:val="single" w:sz="4" w:space="0" w:color="000000"/>
            </w:tcBorders>
          </w:tcPr>
          <w:p w14:paraId="7554B8A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Demande publiée, rejetée après publication</w:t>
            </w:r>
          </w:p>
          <w:p w14:paraId="4E3C2B6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Chine</w:t>
            </w:r>
          </w:p>
          <w:p w14:paraId="755A786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Dépôt : 2024-03-26</w:t>
            </w:r>
          </w:p>
        </w:tc>
        <w:tc>
          <w:tcPr>
            <w:tcW w:w="2108" w:type="dxa"/>
            <w:tcBorders>
              <w:top w:val="single" w:sz="4" w:space="0" w:color="000000"/>
              <w:left w:val="single" w:sz="4" w:space="0" w:color="000000"/>
              <w:bottom w:val="single" w:sz="4" w:space="0" w:color="000000"/>
              <w:right w:val="single" w:sz="4" w:space="0" w:color="000000"/>
            </w:tcBorders>
          </w:tcPr>
          <w:p w14:paraId="2ACA84D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Centré sur une méthode statistique d’analyse de l’incertitude du cœur.</w:t>
            </w:r>
          </w:p>
        </w:tc>
      </w:tr>
      <w:tr w:rsidR="00F50D70" w:rsidRPr="00BE4F47" w14:paraId="39CCEF52" w14:textId="77777777">
        <w:trPr>
          <w:cantSplit/>
          <w:trHeight w:val="849"/>
        </w:trPr>
        <w:tc>
          <w:tcPr>
            <w:tcW w:w="1197" w:type="dxa"/>
            <w:tcBorders>
              <w:top w:val="single" w:sz="4" w:space="0" w:color="000000"/>
              <w:left w:val="single" w:sz="4" w:space="0" w:color="000000"/>
              <w:bottom w:val="single" w:sz="4" w:space="0" w:color="000000"/>
              <w:right w:val="single" w:sz="4" w:space="0" w:color="000000"/>
            </w:tcBorders>
          </w:tcPr>
          <w:p w14:paraId="2E58DAC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CN118779601A</w:t>
            </w:r>
          </w:p>
        </w:tc>
        <w:tc>
          <w:tcPr>
            <w:tcW w:w="1839" w:type="dxa"/>
            <w:tcBorders>
              <w:top w:val="single" w:sz="4" w:space="0" w:color="000000"/>
              <w:left w:val="single" w:sz="4" w:space="0" w:color="000000"/>
              <w:bottom w:val="single" w:sz="4" w:space="0" w:color="000000"/>
              <w:right w:val="single" w:sz="4" w:space="0" w:color="000000"/>
            </w:tcBorders>
          </w:tcPr>
          <w:p w14:paraId="21CCF05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 xml:space="preserve">Prédiction en ligne à long terme et analyse d’incertitude </w:t>
            </w:r>
            <w:proofErr w:type="spellStart"/>
            <w:r w:rsidRPr="00BE4F47">
              <w:rPr>
                <w:rFonts w:ascii="Aptos" w:eastAsia="Calibri" w:hAnsi="Aptos" w:cs="Calibri"/>
                <w:color w:val="1A1A19"/>
                <w:sz w:val="15"/>
                <w:szCs w:val="15"/>
              </w:rPr>
              <w:t>multiparamètre</w:t>
            </w:r>
            <w:proofErr w:type="spellEnd"/>
            <w:r w:rsidRPr="00BE4F47">
              <w:rPr>
                <w:rFonts w:ascii="Aptos" w:eastAsia="Calibri" w:hAnsi="Aptos" w:cs="Calibri"/>
                <w:color w:val="1A1A19"/>
                <w:sz w:val="15"/>
                <w:szCs w:val="15"/>
              </w:rPr>
              <w:t xml:space="preserve"> [11]</w:t>
            </w:r>
          </w:p>
        </w:tc>
        <w:tc>
          <w:tcPr>
            <w:tcW w:w="1434" w:type="dxa"/>
            <w:tcBorders>
              <w:top w:val="single" w:sz="4" w:space="0" w:color="000000"/>
              <w:left w:val="single" w:sz="4" w:space="0" w:color="000000"/>
              <w:bottom w:val="single" w:sz="4" w:space="0" w:color="000000"/>
              <w:right w:val="single" w:sz="4" w:space="0" w:color="000000"/>
            </w:tcBorders>
          </w:tcPr>
          <w:p w14:paraId="4E2BEA8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Université Jiao Tong de Shanghai</w:t>
            </w:r>
          </w:p>
        </w:tc>
        <w:tc>
          <w:tcPr>
            <w:tcW w:w="1316" w:type="dxa"/>
            <w:tcBorders>
              <w:top w:val="single" w:sz="4" w:space="0" w:color="000000"/>
              <w:left w:val="single" w:sz="4" w:space="0" w:color="000000"/>
              <w:bottom w:val="single" w:sz="4" w:space="0" w:color="000000"/>
              <w:right w:val="single" w:sz="4" w:space="0" w:color="000000"/>
            </w:tcBorders>
          </w:tcPr>
          <w:p w14:paraId="05D02E9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Demande publiée, en instance</w:t>
            </w:r>
          </w:p>
          <w:p w14:paraId="1E98BEB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Chine</w:t>
            </w:r>
          </w:p>
          <w:p w14:paraId="64D8194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Dépôt : 2024-06-14</w:t>
            </w:r>
          </w:p>
        </w:tc>
        <w:tc>
          <w:tcPr>
            <w:tcW w:w="2108" w:type="dxa"/>
            <w:tcBorders>
              <w:top w:val="single" w:sz="4" w:space="0" w:color="000000"/>
              <w:left w:val="single" w:sz="4" w:space="0" w:color="000000"/>
              <w:bottom w:val="single" w:sz="4" w:space="0" w:color="000000"/>
              <w:right w:val="single" w:sz="4" w:space="0" w:color="000000"/>
            </w:tcBorders>
          </w:tcPr>
          <w:p w14:paraId="514E097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Axé sur la prédiction à long terme, non sur la détection en temps réel.</w:t>
            </w:r>
          </w:p>
        </w:tc>
      </w:tr>
      <w:tr w:rsidR="00F50D70" w:rsidRPr="00BE4F47" w14:paraId="67EEA34C" w14:textId="77777777">
        <w:trPr>
          <w:cantSplit/>
          <w:trHeight w:val="918"/>
        </w:trPr>
        <w:tc>
          <w:tcPr>
            <w:tcW w:w="1197" w:type="dxa"/>
            <w:tcBorders>
              <w:top w:val="single" w:sz="4" w:space="0" w:color="000000"/>
              <w:left w:val="single" w:sz="4" w:space="0" w:color="000000"/>
              <w:bottom w:val="single" w:sz="4" w:space="0" w:color="000000"/>
              <w:right w:val="single" w:sz="4" w:space="0" w:color="000000"/>
            </w:tcBorders>
          </w:tcPr>
          <w:p w14:paraId="0605EA4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CN118068765A</w:t>
            </w:r>
          </w:p>
        </w:tc>
        <w:tc>
          <w:tcPr>
            <w:tcW w:w="1839" w:type="dxa"/>
            <w:tcBorders>
              <w:top w:val="single" w:sz="4" w:space="0" w:color="000000"/>
              <w:left w:val="single" w:sz="4" w:space="0" w:color="000000"/>
              <w:bottom w:val="single" w:sz="4" w:space="0" w:color="000000"/>
              <w:right w:val="single" w:sz="4" w:space="0" w:color="000000"/>
            </w:tcBorders>
          </w:tcPr>
          <w:p w14:paraId="2BF9058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Construction d’un modèle de détection d’anomalies pour systèmes de contrôle industriels à partir d’un jumeau numérique [12]</w:t>
            </w:r>
          </w:p>
        </w:tc>
        <w:tc>
          <w:tcPr>
            <w:tcW w:w="1434" w:type="dxa"/>
            <w:tcBorders>
              <w:top w:val="single" w:sz="4" w:space="0" w:color="000000"/>
              <w:left w:val="single" w:sz="4" w:space="0" w:color="000000"/>
              <w:bottom w:val="single" w:sz="4" w:space="0" w:color="000000"/>
              <w:right w:val="single" w:sz="4" w:space="0" w:color="000000"/>
            </w:tcBorders>
          </w:tcPr>
          <w:p w14:paraId="0B54CE5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 xml:space="preserve">Université des sciences et technologies de </w:t>
            </w:r>
            <w:proofErr w:type="spellStart"/>
            <w:r w:rsidRPr="00BE4F47">
              <w:rPr>
                <w:rFonts w:ascii="Aptos" w:eastAsia="Calibri" w:hAnsi="Aptos" w:cs="Calibri"/>
                <w:color w:val="1A1A19"/>
                <w:sz w:val="15"/>
                <w:szCs w:val="15"/>
              </w:rPr>
              <w:t>Huazhong</w:t>
            </w:r>
            <w:proofErr w:type="spellEnd"/>
          </w:p>
        </w:tc>
        <w:tc>
          <w:tcPr>
            <w:tcW w:w="1316" w:type="dxa"/>
            <w:tcBorders>
              <w:top w:val="single" w:sz="4" w:space="0" w:color="000000"/>
              <w:left w:val="single" w:sz="4" w:space="0" w:color="000000"/>
              <w:bottom w:val="single" w:sz="4" w:space="0" w:color="000000"/>
              <w:right w:val="single" w:sz="4" w:space="0" w:color="000000"/>
            </w:tcBorders>
          </w:tcPr>
          <w:p w14:paraId="4F7C234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Demande publiée, en instance</w:t>
            </w:r>
          </w:p>
          <w:p w14:paraId="68629F4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Chine</w:t>
            </w:r>
          </w:p>
          <w:p w14:paraId="2A84647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Dépôt : 2024-03-08</w:t>
            </w:r>
          </w:p>
        </w:tc>
        <w:tc>
          <w:tcPr>
            <w:tcW w:w="2108" w:type="dxa"/>
            <w:tcBorders>
              <w:top w:val="single" w:sz="4" w:space="0" w:color="000000"/>
              <w:left w:val="single" w:sz="4" w:space="0" w:color="000000"/>
              <w:bottom w:val="single" w:sz="4" w:space="0" w:color="000000"/>
              <w:right w:val="single" w:sz="4" w:space="0" w:color="000000"/>
            </w:tcBorders>
          </w:tcPr>
          <w:p w14:paraId="3410147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Industries de procédés en général, non spécifique au nucléaire.</w:t>
            </w:r>
          </w:p>
        </w:tc>
      </w:tr>
      <w:tr w:rsidR="00F50D70" w:rsidRPr="00BE4F47" w14:paraId="1489173E" w14:textId="77777777">
        <w:trPr>
          <w:cantSplit/>
          <w:trHeight w:val="748"/>
        </w:trPr>
        <w:tc>
          <w:tcPr>
            <w:tcW w:w="1197" w:type="dxa"/>
            <w:tcBorders>
              <w:top w:val="single" w:sz="4" w:space="0" w:color="000000"/>
              <w:left w:val="single" w:sz="4" w:space="0" w:color="000000"/>
              <w:bottom w:val="single" w:sz="4" w:space="0" w:color="000000"/>
              <w:right w:val="single" w:sz="4" w:space="0" w:color="000000"/>
            </w:tcBorders>
          </w:tcPr>
          <w:p w14:paraId="48FB9B0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US12093818B2</w:t>
            </w:r>
          </w:p>
        </w:tc>
        <w:tc>
          <w:tcPr>
            <w:tcW w:w="1839" w:type="dxa"/>
            <w:tcBorders>
              <w:top w:val="single" w:sz="4" w:space="0" w:color="000000"/>
              <w:left w:val="single" w:sz="4" w:space="0" w:color="000000"/>
              <w:bottom w:val="single" w:sz="4" w:space="0" w:color="000000"/>
              <w:right w:val="single" w:sz="4" w:space="0" w:color="000000"/>
            </w:tcBorders>
          </w:tcPr>
          <w:p w14:paraId="77778ED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Détection semi-supervisée d’anomalies à partir de données de simulation issues d’un jumeau numérique [13]</w:t>
            </w:r>
          </w:p>
        </w:tc>
        <w:tc>
          <w:tcPr>
            <w:tcW w:w="1434" w:type="dxa"/>
            <w:tcBorders>
              <w:top w:val="single" w:sz="4" w:space="0" w:color="000000"/>
              <w:left w:val="single" w:sz="4" w:space="0" w:color="000000"/>
              <w:bottom w:val="single" w:sz="4" w:space="0" w:color="000000"/>
              <w:right w:val="single" w:sz="4" w:space="0" w:color="000000"/>
            </w:tcBorders>
          </w:tcPr>
          <w:p w14:paraId="40AFE7D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 xml:space="preserve">Honda </w:t>
            </w:r>
            <w:proofErr w:type="spellStart"/>
            <w:r w:rsidRPr="00BE4F47">
              <w:rPr>
                <w:rFonts w:ascii="Aptos" w:eastAsia="Calibri" w:hAnsi="Aptos" w:cs="Calibri"/>
                <w:color w:val="1A1A19"/>
                <w:sz w:val="15"/>
                <w:szCs w:val="15"/>
              </w:rPr>
              <w:t>Motor</w:t>
            </w:r>
            <w:proofErr w:type="spellEnd"/>
            <w:r w:rsidRPr="00BE4F47">
              <w:rPr>
                <w:rFonts w:ascii="Aptos" w:eastAsia="Calibri" w:hAnsi="Aptos" w:cs="Calibri"/>
                <w:color w:val="1A1A19"/>
                <w:sz w:val="15"/>
                <w:szCs w:val="15"/>
              </w:rPr>
              <w:t xml:space="preserve"> Co.</w:t>
            </w:r>
          </w:p>
        </w:tc>
        <w:tc>
          <w:tcPr>
            <w:tcW w:w="1316" w:type="dxa"/>
            <w:tcBorders>
              <w:top w:val="single" w:sz="4" w:space="0" w:color="000000"/>
              <w:left w:val="single" w:sz="4" w:space="0" w:color="000000"/>
              <w:bottom w:val="single" w:sz="4" w:space="0" w:color="000000"/>
              <w:right w:val="single" w:sz="4" w:space="0" w:color="000000"/>
            </w:tcBorders>
          </w:tcPr>
          <w:p w14:paraId="375EB24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Délivré, actif</w:t>
            </w:r>
          </w:p>
          <w:p w14:paraId="46E9E89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États-Unis</w:t>
            </w:r>
          </w:p>
          <w:p w14:paraId="168DD04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Dépôt : 2020-10-13</w:t>
            </w:r>
          </w:p>
        </w:tc>
        <w:tc>
          <w:tcPr>
            <w:tcW w:w="2108" w:type="dxa"/>
            <w:tcBorders>
              <w:top w:val="single" w:sz="4" w:space="0" w:color="000000"/>
              <w:left w:val="single" w:sz="4" w:space="0" w:color="000000"/>
              <w:bottom w:val="single" w:sz="4" w:space="0" w:color="000000"/>
              <w:right w:val="single" w:sz="4" w:space="0" w:color="000000"/>
            </w:tcBorders>
          </w:tcPr>
          <w:p w14:paraId="597C670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Application industrielle générale, fondée sur l’apprentissage semi-supervisé.</w:t>
            </w:r>
          </w:p>
        </w:tc>
      </w:tr>
    </w:tbl>
    <w:p w14:paraId="6A4D52A1" w14:textId="77777777" w:rsidR="00F50D70" w:rsidRPr="00BE4F47" w:rsidRDefault="00F50D70" w:rsidP="008E113B">
      <w:pPr>
        <w:spacing w:after="150" w:line="360" w:lineRule="auto"/>
        <w:ind w:left="992"/>
        <w:rPr>
          <w:rFonts w:ascii="Aptos" w:hAnsi="Aptos"/>
        </w:rPr>
      </w:pPr>
    </w:p>
    <w:p w14:paraId="3367D1AA" w14:textId="77777777" w:rsidR="00F50D70" w:rsidRPr="00BE4F47" w:rsidRDefault="00000000" w:rsidP="008E113B">
      <w:pPr>
        <w:pStyle w:val="Titre4"/>
        <w:spacing w:line="360" w:lineRule="auto"/>
      </w:pPr>
      <w:bookmarkStart w:id="225" w:name="__RefHeading___Toc240715174"/>
      <w:bookmarkEnd w:id="225"/>
      <w:r w:rsidRPr="00BE4F47">
        <w:t>Conséquences sur le projet</w:t>
      </w:r>
    </w:p>
    <w:p w14:paraId="30E3452B"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226" w:name="_Toc241082953"/>
      <w:r w:rsidRPr="00BE4F47">
        <w:rPr>
          <w:rFonts w:ascii="Aptos" w:eastAsia="Calibri" w:hAnsi="Aptos" w:cs="Calibri"/>
          <w:color w:val="1A1A19"/>
          <w:sz w:val="20"/>
          <w:szCs w:val="20"/>
        </w:rPr>
        <w:t>Trois constats se dégagent.</w:t>
      </w:r>
      <w:bookmarkEnd w:id="226"/>
    </w:p>
    <w:p w14:paraId="19E1575E" w14:textId="77777777" w:rsidR="00F50D70" w:rsidRPr="00BE4F47" w:rsidRDefault="00000000" w:rsidP="008E113B">
      <w:pPr>
        <w:spacing w:after="130" w:line="360" w:lineRule="auto"/>
        <w:ind w:left="992"/>
        <w:rPr>
          <w:rFonts w:ascii="Aptos" w:hAnsi="Aptos"/>
        </w:rPr>
      </w:pPr>
      <w:bookmarkStart w:id="227" w:name="_Toc241082954"/>
      <w:r w:rsidRPr="00BE4F47">
        <w:rPr>
          <w:rFonts w:ascii="Aptos" w:eastAsia="Calibri" w:hAnsi="Aptos" w:cs="Calibri"/>
          <w:b/>
          <w:bCs/>
          <w:color w:val="1A1A19"/>
          <w:sz w:val="20"/>
          <w:szCs w:val="20"/>
        </w:rPr>
        <w:t xml:space="preserve">Les composantes existent séparément. </w:t>
      </w:r>
      <w:r w:rsidRPr="00BE4F47">
        <w:rPr>
          <w:rFonts w:ascii="Aptos" w:eastAsia="Calibri" w:hAnsi="Aptos" w:cs="Calibri"/>
          <w:color w:val="1A1A19"/>
          <w:sz w:val="20"/>
          <w:szCs w:val="20"/>
        </w:rPr>
        <w:t>Modélisation, quantification de l’incertitude, prédiction et détection d’anomalies font chacune l’objet de brevets. Aucun de ces documents ne décrit toutefois un système combinant la surveillance, la détection, l’évaluation de la confiance et la gestion explicite des données compromises dans un même prototype.</w:t>
      </w:r>
      <w:bookmarkEnd w:id="227"/>
    </w:p>
    <w:p w14:paraId="74E17555" w14:textId="77777777" w:rsidR="00F50D70" w:rsidRPr="00BE4F47" w:rsidRDefault="00000000" w:rsidP="008E113B">
      <w:pPr>
        <w:spacing w:after="130" w:line="360" w:lineRule="auto"/>
        <w:ind w:left="992"/>
        <w:rPr>
          <w:rFonts w:ascii="Aptos" w:hAnsi="Aptos"/>
        </w:rPr>
      </w:pPr>
      <w:bookmarkStart w:id="228" w:name="_Toc241082955"/>
      <w:r w:rsidRPr="00BE4F47">
        <w:rPr>
          <w:rFonts w:ascii="Aptos" w:eastAsia="Calibri" w:hAnsi="Aptos" w:cs="Calibri"/>
          <w:b/>
          <w:bCs/>
          <w:color w:val="1A1A19"/>
          <w:sz w:val="20"/>
          <w:szCs w:val="20"/>
        </w:rPr>
        <w:t xml:space="preserve">Aucun de ces brevets n’est opposable au Canada. </w:t>
      </w:r>
      <w:r w:rsidRPr="00BE4F47">
        <w:rPr>
          <w:rFonts w:ascii="Aptos" w:eastAsia="Calibri" w:hAnsi="Aptos" w:cs="Calibri"/>
          <w:color w:val="1A1A19"/>
          <w:sz w:val="20"/>
          <w:szCs w:val="20"/>
        </w:rPr>
        <w:t>Quatre sont chinois et ne produisent d’effet que sur le territoire chinois. Le cinquième est américain. Un brevet ne confère de droits que dans la juridiction qui l’a délivré ; l’équipe devrait vérifier l’existence d’éventuels membres canadiens de ces familles de brevets si la question devenait pertinente.</w:t>
      </w:r>
      <w:bookmarkEnd w:id="228"/>
    </w:p>
    <w:p w14:paraId="085F22F6" w14:textId="77777777" w:rsidR="00F50D70" w:rsidRPr="00BE4F47" w:rsidRDefault="00000000" w:rsidP="008E113B">
      <w:pPr>
        <w:pStyle w:val="Retraitcorpsdetexte3"/>
        <w:spacing w:line="360" w:lineRule="auto"/>
        <w:ind w:left="992" w:firstLine="0"/>
        <w:rPr>
          <w:rFonts w:ascii="Aptos" w:hAnsi="Aptos"/>
        </w:rPr>
      </w:pPr>
      <w:bookmarkStart w:id="229" w:name="_Toc241082956"/>
      <w:r w:rsidRPr="00BE4F47">
        <w:rPr>
          <w:rFonts w:ascii="Aptos" w:eastAsia="Calibri" w:hAnsi="Aptos" w:cs="Calibri"/>
          <w:b/>
          <w:bCs/>
          <w:color w:val="1A1A19"/>
          <w:sz w:val="20"/>
          <w:szCs w:val="20"/>
        </w:rPr>
        <w:t xml:space="preserve">Le projet n’est pas une exploitation commerciale. </w:t>
      </w:r>
      <w:r w:rsidRPr="00BE4F47">
        <w:rPr>
          <w:rFonts w:ascii="Aptos" w:eastAsia="Calibri" w:hAnsi="Aptos" w:cs="Calibri"/>
          <w:color w:val="1A1A19"/>
          <w:sz w:val="20"/>
          <w:szCs w:val="20"/>
        </w:rPr>
        <w:t>Le prototype est un livrable universitaire, entièrement simulé, non destiné à la vente ni au raccordement à une installation réelle, conformément à l’exigence EX-C-02. La question du versement d’une redevance ne se poserait que dans l’hypothèse d’une exploitation commerciale, et supposerait alors l’analyse de liberté d’exploitation décrite en 5.3.1.</w:t>
      </w:r>
      <w:bookmarkEnd w:id="229"/>
    </w:p>
    <w:p w14:paraId="44CCEC31" w14:textId="77777777" w:rsidR="00F50D70" w:rsidRPr="00BE4F47" w:rsidRDefault="00F50D70" w:rsidP="008E113B">
      <w:pPr>
        <w:pStyle w:val="Retraitcorpsdetexte3"/>
        <w:spacing w:line="360" w:lineRule="auto"/>
        <w:ind w:left="992" w:firstLine="0"/>
        <w:rPr>
          <w:rFonts w:ascii="Aptos" w:eastAsia="Calibri" w:hAnsi="Aptos" w:cs="Calibri"/>
          <w:color w:val="1A1A19"/>
          <w:sz w:val="20"/>
          <w:szCs w:val="20"/>
        </w:rPr>
      </w:pPr>
    </w:p>
    <w:p w14:paraId="048DEFD1" w14:textId="77777777" w:rsidR="00F50D70" w:rsidRPr="00B03F2E" w:rsidRDefault="00000000" w:rsidP="008E113B">
      <w:pPr>
        <w:pStyle w:val="Titre2"/>
        <w:spacing w:line="360" w:lineRule="auto"/>
      </w:pPr>
      <w:bookmarkStart w:id="230" w:name="__RefHeading___Toc240715179"/>
      <w:bookmarkStart w:id="231" w:name="_Toc241082957"/>
      <w:bookmarkEnd w:id="230"/>
      <w:r w:rsidRPr="00B03F2E">
        <w:t>Positionnement du projet</w:t>
      </w:r>
      <w:bookmarkEnd w:id="231"/>
    </w:p>
    <w:p w14:paraId="5435DA80" w14:textId="77777777" w:rsidR="00F50D70" w:rsidRPr="00BE4F47" w:rsidRDefault="00F50D70" w:rsidP="008E113B">
      <w:pPr>
        <w:spacing w:line="360" w:lineRule="auto"/>
        <w:ind w:left="0"/>
        <w:outlineLvl w:val="9"/>
        <w:rPr>
          <w:rFonts w:ascii="Aptos" w:hAnsi="Aptos"/>
        </w:rPr>
      </w:pPr>
    </w:p>
    <w:p w14:paraId="310C3578" w14:textId="77777777" w:rsidR="00F50D70" w:rsidRPr="00BE4F47" w:rsidRDefault="00000000" w:rsidP="008E113B">
      <w:pPr>
        <w:pStyle w:val="Titre4"/>
        <w:spacing w:line="360" w:lineRule="auto"/>
      </w:pPr>
      <w:bookmarkStart w:id="232" w:name="__RefHeading___Toc240715180"/>
      <w:bookmarkEnd w:id="232"/>
      <w:r w:rsidRPr="00BE4F47">
        <w:t>La solution existante la plus proche</w:t>
      </w:r>
    </w:p>
    <w:p w14:paraId="3C6C15AF" w14:textId="77777777" w:rsidR="00F50D70" w:rsidRPr="00BE4F47" w:rsidRDefault="00000000" w:rsidP="008E113B">
      <w:pPr>
        <w:spacing w:after="130" w:line="360" w:lineRule="auto"/>
        <w:ind w:left="992"/>
        <w:rPr>
          <w:rFonts w:ascii="Aptos" w:hAnsi="Aptos"/>
        </w:rPr>
      </w:pPr>
      <w:bookmarkStart w:id="233" w:name="_Toc241082958"/>
      <w:r w:rsidRPr="00BE4F47">
        <w:rPr>
          <w:rFonts w:ascii="Aptos" w:eastAsia="Calibri" w:hAnsi="Aptos" w:cs="Calibri"/>
          <w:color w:val="1A1A19"/>
          <w:sz w:val="20"/>
          <w:szCs w:val="20"/>
        </w:rPr>
        <w:t xml:space="preserve">Trois des cinq brevets identifiés appartiennent à la même équipe, celle de l’Université Jiao Tong de Shanghai [9], [10], [11]. Pris ensemble, ils couvrent la construction du modèle hybride, la quantification de l’incertitude du cœur et la prédiction </w:t>
      </w:r>
      <w:proofErr w:type="spellStart"/>
      <w:r w:rsidRPr="00BE4F47">
        <w:rPr>
          <w:rFonts w:ascii="Aptos" w:eastAsia="Calibri" w:hAnsi="Aptos" w:cs="Calibri"/>
          <w:color w:val="1A1A19"/>
          <w:sz w:val="20"/>
          <w:szCs w:val="20"/>
        </w:rPr>
        <w:t>multiparamètre</w:t>
      </w:r>
      <w:proofErr w:type="spellEnd"/>
      <w:r w:rsidRPr="00BE4F47">
        <w:rPr>
          <w:rFonts w:ascii="Aptos" w:eastAsia="Calibri" w:hAnsi="Aptos" w:cs="Calibri"/>
          <w:color w:val="1A1A19"/>
          <w:sz w:val="20"/>
          <w:szCs w:val="20"/>
        </w:rPr>
        <w:t xml:space="preserve"> avec intervalle de confiance. C’est donc l’ensemble le plus proche du projet, et c’est à lui qu’il convient de se comparer.</w:t>
      </w:r>
      <w:bookmarkEnd w:id="233"/>
    </w:p>
    <w:p w14:paraId="1988B34B" w14:textId="77777777" w:rsidR="00F50D70" w:rsidRPr="00BE4F47" w:rsidRDefault="00000000" w:rsidP="008E113B">
      <w:pPr>
        <w:spacing w:after="130" w:line="360" w:lineRule="auto"/>
        <w:ind w:left="992"/>
        <w:rPr>
          <w:rFonts w:ascii="Aptos" w:hAnsi="Aptos"/>
        </w:rPr>
      </w:pPr>
      <w:bookmarkStart w:id="234" w:name="_Toc241082959"/>
      <w:r w:rsidRPr="00BE4F47">
        <w:rPr>
          <w:rFonts w:ascii="Aptos" w:eastAsia="Calibri" w:hAnsi="Aptos" w:cs="Calibri"/>
          <w:color w:val="1A1A19"/>
          <w:sz w:val="20"/>
          <w:szCs w:val="20"/>
        </w:rPr>
        <w:t xml:space="preserve">Deux écarts le séparent du prototype envisagé. Cet ensemble porte sur le cœur du réacteur et vise la prédiction du comportement à long terme, alors que le projet porte sur une boucle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simplifiée et vise la détection en temps réel. Surtout, il ne traite pas le cas des données compromises ou manquantes : l’incertitude y est traitée comme une propriété du modèle, non comme une conséquence possible d’un capteur défaillant ou d’un événement de cybersécurité.</w:t>
      </w:r>
      <w:bookmarkEnd w:id="234"/>
    </w:p>
    <w:p w14:paraId="2C52FA1F"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235" w:name="_Toc241082960"/>
      <w:r w:rsidRPr="00BE4F47">
        <w:rPr>
          <w:rFonts w:ascii="Aptos" w:eastAsia="Calibri" w:hAnsi="Aptos" w:cs="Calibri"/>
          <w:color w:val="1A1A19"/>
          <w:sz w:val="20"/>
          <w:szCs w:val="20"/>
        </w:rPr>
        <w:t>C’est précisément cet écart que le projet occupe.</w:t>
      </w:r>
      <w:bookmarkEnd w:id="235"/>
    </w:p>
    <w:p w14:paraId="065241BF" w14:textId="77777777" w:rsidR="00F50D70" w:rsidRPr="00BE4F47" w:rsidRDefault="00000000" w:rsidP="008E113B">
      <w:pPr>
        <w:pStyle w:val="Titre4"/>
        <w:spacing w:line="360" w:lineRule="auto"/>
      </w:pPr>
      <w:bookmarkStart w:id="236" w:name="__RefHeading___Toc240715184"/>
      <w:bookmarkEnd w:id="236"/>
      <w:r w:rsidRPr="00BE4F47">
        <w:lastRenderedPageBreak/>
        <w:t>Cinq distinctions</w:t>
      </w:r>
    </w:p>
    <w:p w14:paraId="1CB0DEA2" w14:textId="77777777" w:rsidR="00F50D70" w:rsidRPr="00BE4F47" w:rsidRDefault="00000000" w:rsidP="008E113B">
      <w:pPr>
        <w:spacing w:after="130" w:line="360" w:lineRule="auto"/>
        <w:ind w:left="992"/>
        <w:rPr>
          <w:rFonts w:ascii="Aptos" w:hAnsi="Aptos"/>
        </w:rPr>
      </w:pPr>
      <w:bookmarkStart w:id="237" w:name="_Toc241082961"/>
      <w:r w:rsidRPr="00BE4F47">
        <w:rPr>
          <w:rFonts w:ascii="Aptos" w:eastAsia="Calibri" w:hAnsi="Aptos" w:cs="Calibri"/>
          <w:color w:val="1A1A19"/>
          <w:sz w:val="20"/>
          <w:szCs w:val="20"/>
        </w:rPr>
        <w:t>L’analyse montre que plusieurs composantes du projet sont déjà étudiées dans la littérature, mais qu’elles y sont développées séparément ou pour des objectifs distincts. Les travaux sur les jumeaux numériques nucléaires portent surtout sur la fidélité des modèles et la maintenance prédictive [3], [4] ; ceux sur la détection d’anomalies sur la comparaison entre données réelles et valeurs attendues [5], [6] ; ceux sur l’incertitude sur la confiance associée aux résultats [7] ; ceux de cybersécurité exploitent le jumeau comme référence de détection [6], [8].</w:t>
      </w:r>
      <w:bookmarkEnd w:id="237"/>
    </w:p>
    <w:p w14:paraId="4859A0B4" w14:textId="77777777" w:rsidR="00F50D70" w:rsidRPr="00BE4F47" w:rsidRDefault="00000000" w:rsidP="008E113B">
      <w:pPr>
        <w:pStyle w:val="Retraitcorpsdetexte3"/>
        <w:spacing w:line="360" w:lineRule="auto"/>
        <w:ind w:left="272" w:firstLine="720"/>
        <w:rPr>
          <w:rFonts w:ascii="Aptos" w:eastAsia="Calibri" w:hAnsi="Aptos" w:cs="Calibri"/>
          <w:color w:val="1A1A19"/>
          <w:sz w:val="20"/>
          <w:szCs w:val="20"/>
        </w:rPr>
      </w:pPr>
      <w:bookmarkStart w:id="238" w:name="_Toc241082962"/>
      <w:r w:rsidRPr="00BE4F47">
        <w:rPr>
          <w:rFonts w:ascii="Aptos" w:eastAsia="Calibri" w:hAnsi="Aptos" w:cs="Calibri"/>
          <w:color w:val="1A1A19"/>
          <w:sz w:val="20"/>
          <w:szCs w:val="20"/>
        </w:rPr>
        <w:t>Le projet se situe à l’intersection de ces approches. Cinq caractéristiques le distinguent.</w:t>
      </w:r>
      <w:bookmarkEnd w:id="238"/>
    </w:p>
    <w:p w14:paraId="3176E78B" w14:textId="77777777" w:rsidR="00F50D70" w:rsidRPr="00BE4F47" w:rsidRDefault="00F50D70" w:rsidP="008E113B">
      <w:pPr>
        <w:pStyle w:val="Retraitcorpsdetexte3"/>
        <w:spacing w:line="360" w:lineRule="auto"/>
        <w:ind w:left="272" w:firstLine="720"/>
        <w:rPr>
          <w:rFonts w:ascii="Aptos" w:eastAsia="Calibri" w:hAnsi="Aptos" w:cs="Calibri"/>
          <w:color w:val="1A1A19"/>
          <w:sz w:val="20"/>
          <w:szCs w:val="20"/>
        </w:rPr>
      </w:pPr>
    </w:p>
    <w:p w14:paraId="399D8448" w14:textId="77777777" w:rsidR="00F50D70" w:rsidRPr="00BE4F47" w:rsidRDefault="00000000" w:rsidP="008E113B">
      <w:pPr>
        <w:pStyle w:val="Lgende"/>
        <w:spacing w:line="360" w:lineRule="auto"/>
        <w:rPr>
          <w:rFonts w:ascii="Aptos" w:hAnsi="Aptos"/>
        </w:rPr>
      </w:pPr>
      <w:bookmarkStart w:id="239" w:name="_Toc241082963"/>
      <w:r w:rsidRPr="00BE4F47">
        <w:rPr>
          <w:rFonts w:ascii="Aptos" w:hAnsi="Aptos"/>
        </w:rPr>
        <w:t>Tableau 5-3. Cinq distinctions entre le projet et la solution la plus proche</w:t>
      </w:r>
      <w:bookmarkEnd w:id="239"/>
    </w:p>
    <w:tbl>
      <w:tblPr>
        <w:tblW w:w="7890" w:type="dxa"/>
        <w:tblInd w:w="1188" w:type="dxa"/>
        <w:tblLayout w:type="fixed"/>
        <w:tblCellMar>
          <w:top w:w="60" w:type="dxa"/>
          <w:left w:w="90" w:type="dxa"/>
          <w:bottom w:w="60" w:type="dxa"/>
          <w:right w:w="90" w:type="dxa"/>
        </w:tblCellMar>
        <w:tblLook w:val="04A0" w:firstRow="1" w:lastRow="0" w:firstColumn="1" w:lastColumn="0" w:noHBand="0" w:noVBand="1"/>
      </w:tblPr>
      <w:tblGrid>
        <w:gridCol w:w="471"/>
        <w:gridCol w:w="2445"/>
        <w:gridCol w:w="4974"/>
      </w:tblGrid>
      <w:tr w:rsidR="00F50D70" w:rsidRPr="00BE4F47" w14:paraId="31E3B14C" w14:textId="77777777" w:rsidTr="0036725C">
        <w:trPr>
          <w:trHeight w:val="293"/>
          <w:tblHeader/>
        </w:trPr>
        <w:tc>
          <w:tcPr>
            <w:tcW w:w="47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AE88E41"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rPr>
            </w:pPr>
          </w:p>
        </w:tc>
        <w:tc>
          <w:tcPr>
            <w:tcW w:w="244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6A6341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Caractéristique</w:t>
            </w:r>
          </w:p>
        </w:tc>
        <w:tc>
          <w:tcPr>
            <w:tcW w:w="497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12A614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Contenu et rattachement</w:t>
            </w:r>
          </w:p>
        </w:tc>
      </w:tr>
      <w:tr w:rsidR="00F50D70" w:rsidRPr="00BE4F47" w14:paraId="25175DB1" w14:textId="77777777">
        <w:trPr>
          <w:cantSplit/>
          <w:trHeight w:val="803"/>
        </w:trPr>
        <w:tc>
          <w:tcPr>
            <w:tcW w:w="471" w:type="dxa"/>
            <w:tcBorders>
              <w:top w:val="single" w:sz="4" w:space="0" w:color="000000"/>
              <w:left w:val="single" w:sz="4" w:space="0" w:color="000000"/>
              <w:bottom w:val="single" w:sz="4" w:space="0" w:color="000000"/>
              <w:right w:val="single" w:sz="4" w:space="0" w:color="000000"/>
            </w:tcBorders>
          </w:tcPr>
          <w:p w14:paraId="071580C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w:t>
            </w:r>
          </w:p>
        </w:tc>
        <w:tc>
          <w:tcPr>
            <w:tcW w:w="2445" w:type="dxa"/>
            <w:tcBorders>
              <w:top w:val="single" w:sz="4" w:space="0" w:color="000000"/>
              <w:left w:val="single" w:sz="4" w:space="0" w:color="000000"/>
              <w:bottom w:val="single" w:sz="4" w:space="0" w:color="000000"/>
              <w:right w:val="single" w:sz="4" w:space="0" w:color="000000"/>
            </w:tcBorders>
          </w:tcPr>
          <w:p w14:paraId="5EFA602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Portée du modèle</w:t>
            </w:r>
          </w:p>
        </w:tc>
        <w:tc>
          <w:tcPr>
            <w:tcW w:w="4974" w:type="dxa"/>
            <w:tcBorders>
              <w:top w:val="single" w:sz="4" w:space="0" w:color="000000"/>
              <w:left w:val="single" w:sz="4" w:space="0" w:color="000000"/>
              <w:bottom w:val="single" w:sz="4" w:space="0" w:color="000000"/>
              <w:right w:val="single" w:sz="4" w:space="0" w:color="000000"/>
            </w:tcBorders>
          </w:tcPr>
          <w:p w14:paraId="4646CC4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Boucle </w:t>
            </w:r>
            <w:proofErr w:type="spellStart"/>
            <w:r w:rsidRPr="00BE4F47">
              <w:rPr>
                <w:rFonts w:ascii="Aptos" w:eastAsia="Calibri" w:hAnsi="Aptos" w:cs="Calibri"/>
                <w:color w:val="1A1A19"/>
                <w:sz w:val="16"/>
                <w:szCs w:val="16"/>
              </w:rPr>
              <w:t>thermohydraulique</w:t>
            </w:r>
            <w:proofErr w:type="spellEnd"/>
            <w:r w:rsidRPr="00BE4F47">
              <w:rPr>
                <w:rFonts w:ascii="Aptos" w:eastAsia="Calibri" w:hAnsi="Aptos" w:cs="Calibri"/>
                <w:color w:val="1A1A19"/>
                <w:sz w:val="16"/>
                <w:szCs w:val="16"/>
              </w:rPr>
              <w:t xml:space="preserve"> simplifiée, modélisation 0D/1D à paramètres concentrés, plutôt qu’une représentation détaillée d’un réacteur. Complexité compatible avec un prototype universitaire tout en couvrant les trois variables de fonctionnement (EX-F-01).</w:t>
            </w:r>
          </w:p>
        </w:tc>
      </w:tr>
      <w:tr w:rsidR="00F50D70" w:rsidRPr="00BE4F47" w14:paraId="6607E2C2" w14:textId="77777777">
        <w:trPr>
          <w:cantSplit/>
          <w:trHeight w:val="803"/>
        </w:trPr>
        <w:tc>
          <w:tcPr>
            <w:tcW w:w="471" w:type="dxa"/>
            <w:tcBorders>
              <w:top w:val="single" w:sz="4" w:space="0" w:color="000000"/>
              <w:left w:val="single" w:sz="4" w:space="0" w:color="000000"/>
              <w:bottom w:val="single" w:sz="4" w:space="0" w:color="000000"/>
              <w:right w:val="single" w:sz="4" w:space="0" w:color="000000"/>
            </w:tcBorders>
          </w:tcPr>
          <w:p w14:paraId="0C7214F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w:t>
            </w:r>
          </w:p>
        </w:tc>
        <w:tc>
          <w:tcPr>
            <w:tcW w:w="2445" w:type="dxa"/>
            <w:tcBorders>
              <w:top w:val="single" w:sz="4" w:space="0" w:color="000000"/>
              <w:left w:val="single" w:sz="4" w:space="0" w:color="000000"/>
              <w:bottom w:val="single" w:sz="4" w:space="0" w:color="000000"/>
              <w:right w:val="single" w:sz="4" w:space="0" w:color="000000"/>
            </w:tcBorders>
          </w:tcPr>
          <w:p w14:paraId="0F9BDE8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Nature des anomalies détectées</w:t>
            </w:r>
          </w:p>
        </w:tc>
        <w:tc>
          <w:tcPr>
            <w:tcW w:w="4974" w:type="dxa"/>
            <w:tcBorders>
              <w:top w:val="single" w:sz="4" w:space="0" w:color="000000"/>
              <w:left w:val="single" w:sz="4" w:space="0" w:color="000000"/>
              <w:bottom w:val="single" w:sz="4" w:space="0" w:color="000000"/>
              <w:right w:val="single" w:sz="4" w:space="0" w:color="000000"/>
            </w:tcBorders>
          </w:tcPr>
          <w:p w14:paraId="69B5298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ne vise pas seulement la défaillance physique, mais aussi les incohérences dues à un capteur défectueux, à des données manquantes, à une désynchronisation ou à une altération malveillante. La cohérence entre le modèle et les données devient elle-même un mécanisme de surveillance (EX-Q-04).</w:t>
            </w:r>
          </w:p>
        </w:tc>
      </w:tr>
      <w:tr w:rsidR="00F50D70" w:rsidRPr="00BE4F47" w14:paraId="1086F50C" w14:textId="77777777">
        <w:trPr>
          <w:cantSplit/>
          <w:trHeight w:val="613"/>
        </w:trPr>
        <w:tc>
          <w:tcPr>
            <w:tcW w:w="471" w:type="dxa"/>
            <w:tcBorders>
              <w:top w:val="single" w:sz="4" w:space="0" w:color="000000"/>
              <w:left w:val="single" w:sz="4" w:space="0" w:color="000000"/>
              <w:bottom w:val="single" w:sz="4" w:space="0" w:color="000000"/>
              <w:right w:val="single" w:sz="4" w:space="0" w:color="000000"/>
            </w:tcBorders>
          </w:tcPr>
          <w:p w14:paraId="579312D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w:t>
            </w:r>
          </w:p>
        </w:tc>
        <w:tc>
          <w:tcPr>
            <w:tcW w:w="2445" w:type="dxa"/>
            <w:tcBorders>
              <w:top w:val="single" w:sz="4" w:space="0" w:color="000000"/>
              <w:left w:val="single" w:sz="4" w:space="0" w:color="000000"/>
              <w:bottom w:val="single" w:sz="4" w:space="0" w:color="000000"/>
              <w:right w:val="single" w:sz="4" w:space="0" w:color="000000"/>
            </w:tcBorders>
          </w:tcPr>
          <w:p w14:paraId="40462D8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Gestion explicite des modes dégradés</w:t>
            </w:r>
          </w:p>
        </w:tc>
        <w:tc>
          <w:tcPr>
            <w:tcW w:w="4974" w:type="dxa"/>
            <w:tcBorders>
              <w:top w:val="single" w:sz="4" w:space="0" w:color="000000"/>
              <w:left w:val="single" w:sz="4" w:space="0" w:color="000000"/>
              <w:bottom w:val="single" w:sz="4" w:space="0" w:color="000000"/>
              <w:right w:val="single" w:sz="4" w:space="0" w:color="000000"/>
            </w:tcBorders>
          </w:tcPr>
          <w:p w14:paraId="5F4C633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système doit pouvoir déclarer qu’il ne dispose pas d’informations suffisantes pour établir un diagnostic fiable, et distinguer fonctionnement normal, état anormal, donnée suspecte et état non déterminable (EX-F-06 ; états D2 et D3 du GEMMA).</w:t>
            </w:r>
          </w:p>
        </w:tc>
      </w:tr>
      <w:tr w:rsidR="00F50D70" w:rsidRPr="00BE4F47" w14:paraId="00AC7F36" w14:textId="77777777">
        <w:trPr>
          <w:cantSplit/>
          <w:trHeight w:val="621"/>
        </w:trPr>
        <w:tc>
          <w:tcPr>
            <w:tcW w:w="471" w:type="dxa"/>
            <w:tcBorders>
              <w:top w:val="single" w:sz="4" w:space="0" w:color="000000"/>
              <w:left w:val="single" w:sz="4" w:space="0" w:color="000000"/>
              <w:bottom w:val="single" w:sz="4" w:space="0" w:color="000000"/>
              <w:right w:val="single" w:sz="4" w:space="0" w:color="000000"/>
            </w:tcBorders>
          </w:tcPr>
          <w:p w14:paraId="24738C7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w:t>
            </w:r>
          </w:p>
        </w:tc>
        <w:tc>
          <w:tcPr>
            <w:tcW w:w="2445" w:type="dxa"/>
            <w:tcBorders>
              <w:top w:val="single" w:sz="4" w:space="0" w:color="000000"/>
              <w:left w:val="single" w:sz="4" w:space="0" w:color="000000"/>
              <w:bottom w:val="single" w:sz="4" w:space="0" w:color="000000"/>
              <w:right w:val="single" w:sz="4" w:space="0" w:color="000000"/>
            </w:tcBorders>
          </w:tcPr>
          <w:p w14:paraId="7FDFEF5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Quantification de l’incertitude</w:t>
            </w:r>
          </w:p>
        </w:tc>
        <w:tc>
          <w:tcPr>
            <w:tcW w:w="4974" w:type="dxa"/>
            <w:tcBorders>
              <w:top w:val="single" w:sz="4" w:space="0" w:color="000000"/>
              <w:left w:val="single" w:sz="4" w:space="0" w:color="000000"/>
              <w:bottom w:val="single" w:sz="4" w:space="0" w:color="000000"/>
              <w:right w:val="single" w:sz="4" w:space="0" w:color="000000"/>
            </w:tcBorders>
          </w:tcPr>
          <w:p w14:paraId="4CEECFF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Toute estimation d’état est accompagnée d’un niveau de confiance, de façon qu’une information incertaine ne soit pas interprétée comme une conclusion définitive (EX-F-07 ; méthode d’ASME V&amp;V 20).</w:t>
            </w:r>
          </w:p>
        </w:tc>
      </w:tr>
      <w:tr w:rsidR="00F50D70" w:rsidRPr="00BE4F47" w14:paraId="21670800" w14:textId="77777777">
        <w:trPr>
          <w:cantSplit/>
          <w:trHeight w:val="613"/>
        </w:trPr>
        <w:tc>
          <w:tcPr>
            <w:tcW w:w="471" w:type="dxa"/>
            <w:tcBorders>
              <w:top w:val="single" w:sz="4" w:space="0" w:color="000000"/>
              <w:left w:val="single" w:sz="4" w:space="0" w:color="000000"/>
              <w:bottom w:val="single" w:sz="4" w:space="0" w:color="000000"/>
              <w:right w:val="single" w:sz="4" w:space="0" w:color="000000"/>
            </w:tcBorders>
          </w:tcPr>
          <w:p w14:paraId="7498FD9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w:t>
            </w:r>
          </w:p>
        </w:tc>
        <w:tc>
          <w:tcPr>
            <w:tcW w:w="2445" w:type="dxa"/>
            <w:tcBorders>
              <w:top w:val="single" w:sz="4" w:space="0" w:color="000000"/>
              <w:left w:val="single" w:sz="4" w:space="0" w:color="000000"/>
              <w:bottom w:val="single" w:sz="4" w:space="0" w:color="000000"/>
              <w:right w:val="single" w:sz="4" w:space="0" w:color="000000"/>
            </w:tcBorders>
          </w:tcPr>
          <w:p w14:paraId="2C45E59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Rôle de l’opérateur</w:t>
            </w:r>
          </w:p>
        </w:tc>
        <w:tc>
          <w:tcPr>
            <w:tcW w:w="4974" w:type="dxa"/>
            <w:tcBorders>
              <w:top w:val="single" w:sz="4" w:space="0" w:color="000000"/>
              <w:left w:val="single" w:sz="4" w:space="0" w:color="000000"/>
              <w:bottom w:val="single" w:sz="4" w:space="0" w:color="000000"/>
              <w:right w:val="single" w:sz="4" w:space="0" w:color="000000"/>
            </w:tcBorders>
          </w:tcPr>
          <w:p w14:paraId="1086E0B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Outil d’aide à la décision et non système de commande autonome. L’interface montre les variables ayant contribué au diagnostic, les anomalies détectées et le niveau de confiance associé (EX-F-05, EX-F-08 ; ISO 9241-210).</w:t>
            </w:r>
          </w:p>
        </w:tc>
      </w:tr>
    </w:tbl>
    <w:p w14:paraId="08AA9ABB" w14:textId="77777777" w:rsidR="00F50D70" w:rsidRPr="00BE4F47" w:rsidRDefault="00F50D70" w:rsidP="008E113B">
      <w:pPr>
        <w:pStyle w:val="Retraitcorpsdetexte3"/>
        <w:spacing w:line="360" w:lineRule="auto"/>
        <w:ind w:left="0" w:firstLine="0"/>
        <w:rPr>
          <w:rFonts w:ascii="Aptos" w:hAnsi="Aptos"/>
        </w:rPr>
      </w:pPr>
    </w:p>
    <w:p w14:paraId="13FEAA4A" w14:textId="77777777" w:rsidR="00F50D70" w:rsidRPr="00BE4F47" w:rsidRDefault="00000000" w:rsidP="008E113B">
      <w:pPr>
        <w:pStyle w:val="Titre4"/>
        <w:spacing w:line="360" w:lineRule="auto"/>
      </w:pPr>
      <w:bookmarkStart w:id="240" w:name="__RefHeading___Toc240715187"/>
      <w:r w:rsidRPr="00BE4F47">
        <w:t>Ce que le projet ne revendique pas</w:t>
      </w:r>
      <w:bookmarkEnd w:id="240"/>
      <w:r w:rsidRPr="00BE4F47">
        <w:t xml:space="preserve"> </w:t>
      </w:r>
    </w:p>
    <w:p w14:paraId="2BD78EC2" w14:textId="77777777" w:rsidR="00F50D70" w:rsidRPr="00BE4F47" w:rsidRDefault="00000000" w:rsidP="008E113B">
      <w:pPr>
        <w:spacing w:after="130" w:line="360" w:lineRule="auto"/>
        <w:ind w:left="992"/>
        <w:rPr>
          <w:rFonts w:ascii="Aptos" w:hAnsi="Aptos"/>
        </w:rPr>
      </w:pPr>
      <w:bookmarkStart w:id="241" w:name="_Toc241082964"/>
      <w:r w:rsidRPr="00BE4F47">
        <w:rPr>
          <w:rFonts w:ascii="Aptos" w:eastAsia="Calibri" w:hAnsi="Aptos" w:cs="Calibri"/>
          <w:color w:val="1A1A19"/>
          <w:sz w:val="20"/>
          <w:szCs w:val="20"/>
        </w:rPr>
        <w:t>Le projet ne revendique aucune nouveauté sur les méthodes prises isolément, ni aucune performance supérieure aux travaux cités. Son apport est l’intégration cohérente de plusieurs fonctions dans un même démonstrateur appliqué à une boucle simplifiée, et un comportement documenté lorsque les données deviennent incertaines, incomplètes ou compromises.</w:t>
      </w:r>
      <w:bookmarkEnd w:id="241"/>
    </w:p>
    <w:p w14:paraId="078C72F6" w14:textId="77777777" w:rsidR="00F50D70" w:rsidRPr="00BE4F47" w:rsidRDefault="00F50D70" w:rsidP="008E113B">
      <w:pPr>
        <w:spacing w:after="130" w:line="360" w:lineRule="auto"/>
        <w:ind w:left="992"/>
        <w:rPr>
          <w:rFonts w:ascii="Aptos" w:eastAsia="Calibri" w:hAnsi="Aptos" w:cs="Calibri"/>
          <w:color w:val="1A1A19"/>
          <w:sz w:val="20"/>
          <w:szCs w:val="20"/>
        </w:rPr>
      </w:pPr>
    </w:p>
    <w:p w14:paraId="3222E99C" w14:textId="77777777" w:rsidR="00F50D70" w:rsidRPr="00B03F2E" w:rsidRDefault="00000000" w:rsidP="008E113B">
      <w:pPr>
        <w:pStyle w:val="Titre2"/>
        <w:spacing w:line="360" w:lineRule="auto"/>
      </w:pPr>
      <w:bookmarkStart w:id="242" w:name="_Toc241082966"/>
      <w:r w:rsidRPr="00B03F2E">
        <w:lastRenderedPageBreak/>
        <w:t>Solutions commerciales et outils existants</w:t>
      </w:r>
      <w:bookmarkEnd w:id="242"/>
    </w:p>
    <w:p w14:paraId="0068DFE4" w14:textId="77777777" w:rsidR="00F50D70" w:rsidRPr="00BE4F47" w:rsidRDefault="00000000" w:rsidP="008E113B">
      <w:pPr>
        <w:spacing w:after="130" w:line="360" w:lineRule="auto"/>
        <w:ind w:left="360"/>
        <w:rPr>
          <w:rFonts w:ascii="Aptos" w:hAnsi="Aptos"/>
        </w:rPr>
      </w:pPr>
      <w:bookmarkStart w:id="243" w:name="_Toc241082967"/>
      <w:r w:rsidRPr="00BE4F47">
        <w:rPr>
          <w:rFonts w:ascii="Aptos" w:eastAsia="Calibri" w:hAnsi="Aptos" w:cs="Calibri"/>
          <w:color w:val="1A1A19"/>
          <w:sz w:val="20"/>
          <w:szCs w:val="20"/>
        </w:rPr>
        <w:t>La revue qui précède porte sur les travaux publiés et sur les brevets. Quatre familles de solutions du marché ont aussi été examinées, pour dire pourquoi le projet construit plutôt qu’il n’achète.</w:t>
      </w:r>
      <w:bookmarkEnd w:id="243"/>
    </w:p>
    <w:p w14:paraId="5261D59D" w14:textId="77777777" w:rsidR="00F50D70" w:rsidRPr="00BE4F47" w:rsidRDefault="00000000" w:rsidP="008E113B">
      <w:pPr>
        <w:pStyle w:val="Lgende"/>
        <w:spacing w:line="360" w:lineRule="auto"/>
        <w:rPr>
          <w:rFonts w:ascii="Aptos" w:hAnsi="Aptos"/>
        </w:rPr>
      </w:pPr>
      <w:bookmarkStart w:id="244" w:name="_Toc241082968"/>
      <w:r w:rsidRPr="00BE4F47">
        <w:rPr>
          <w:rFonts w:ascii="Aptos" w:hAnsi="Aptos"/>
        </w:rPr>
        <w:t>Tableau 5-4. Solutions existantes et raison de la décision</w:t>
      </w:r>
      <w:bookmarkEnd w:id="244"/>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900"/>
        <w:gridCol w:w="1500"/>
        <w:gridCol w:w="2600"/>
        <w:gridCol w:w="2557"/>
      </w:tblGrid>
      <w:tr w:rsidR="00F50D70" w:rsidRPr="00BE4F47" w14:paraId="4F5E33BE" w14:textId="77777777" w:rsidTr="0036725C">
        <w:trPr>
          <w:trHeight w:val="227"/>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E4CD33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Solution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44E908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Nature</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50C99A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apporte</w:t>
            </w:r>
          </w:p>
        </w:tc>
        <w:tc>
          <w:tcPr>
            <w:tcW w:w="25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F6FCED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Pourquoi elle n’est pas retenue</w:t>
            </w:r>
          </w:p>
        </w:tc>
      </w:tr>
      <w:tr w:rsidR="00F50D70" w:rsidRPr="00BE4F47" w14:paraId="7A57DA0D"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6BF3D79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proofErr w:type="spellStart"/>
            <w:r w:rsidRPr="00BE4F47">
              <w:rPr>
                <w:rFonts w:ascii="Aptos" w:eastAsia="Calibri" w:hAnsi="Aptos" w:cs="Calibri"/>
                <w:b/>
                <w:bCs/>
                <w:color w:val="1A1A19"/>
                <w:sz w:val="16"/>
                <w:szCs w:val="16"/>
              </w:rPr>
              <w:t>Ansys</w:t>
            </w:r>
            <w:proofErr w:type="spellEnd"/>
            <w:r w:rsidRPr="00BE4F47">
              <w:rPr>
                <w:rFonts w:ascii="Aptos" w:eastAsia="Calibri" w:hAnsi="Aptos" w:cs="Calibri"/>
                <w:b/>
                <w:bCs/>
                <w:color w:val="1A1A19"/>
                <w:sz w:val="16"/>
                <w:szCs w:val="16"/>
              </w:rPr>
              <w:t xml:space="preserve"> </w:t>
            </w:r>
            <w:proofErr w:type="spellStart"/>
            <w:r w:rsidRPr="00BE4F47">
              <w:rPr>
                <w:rFonts w:ascii="Aptos" w:eastAsia="Calibri" w:hAnsi="Aptos" w:cs="Calibri"/>
                <w:b/>
                <w:bCs/>
                <w:color w:val="1A1A19"/>
                <w:sz w:val="16"/>
                <w:szCs w:val="16"/>
              </w:rPr>
              <w:t>Twin</w:t>
            </w:r>
            <w:proofErr w:type="spellEnd"/>
            <w:r w:rsidRPr="00BE4F47">
              <w:rPr>
                <w:rFonts w:ascii="Aptos" w:eastAsia="Calibri" w:hAnsi="Aptos" w:cs="Calibri"/>
                <w:b/>
                <w:bCs/>
                <w:color w:val="1A1A19"/>
                <w:sz w:val="16"/>
                <w:szCs w:val="16"/>
              </w:rPr>
              <w:t xml:space="preserve"> Builder [14]</w:t>
            </w:r>
          </w:p>
        </w:tc>
        <w:tc>
          <w:tcPr>
            <w:tcW w:w="1500" w:type="dxa"/>
            <w:tcBorders>
              <w:top w:val="single" w:sz="4" w:space="0" w:color="000000"/>
              <w:left w:val="single" w:sz="4" w:space="0" w:color="000000"/>
              <w:bottom w:val="single" w:sz="4" w:space="0" w:color="000000"/>
              <w:right w:val="single" w:sz="4" w:space="0" w:color="000000"/>
            </w:tcBorders>
          </w:tcPr>
          <w:p w14:paraId="04A388D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Plateforme commerciale de jumeaux numériques.</w:t>
            </w:r>
          </w:p>
        </w:tc>
        <w:tc>
          <w:tcPr>
            <w:tcW w:w="2600" w:type="dxa"/>
            <w:tcBorders>
              <w:top w:val="single" w:sz="4" w:space="0" w:color="000000"/>
              <w:left w:val="single" w:sz="4" w:space="0" w:color="000000"/>
              <w:bottom w:val="single" w:sz="4" w:space="0" w:color="000000"/>
              <w:right w:val="single" w:sz="4" w:space="0" w:color="000000"/>
            </w:tcBorders>
          </w:tcPr>
          <w:p w14:paraId="10C55BA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Chaîne complète, de la modélisation au déploiement, avec réduction de modèle et connexion aux données d’exploitation.</w:t>
            </w:r>
          </w:p>
        </w:tc>
        <w:tc>
          <w:tcPr>
            <w:tcW w:w="2557" w:type="dxa"/>
            <w:tcBorders>
              <w:top w:val="single" w:sz="4" w:space="0" w:color="000000"/>
              <w:left w:val="single" w:sz="4" w:space="0" w:color="000000"/>
              <w:bottom w:val="single" w:sz="4" w:space="0" w:color="000000"/>
              <w:right w:val="single" w:sz="4" w:space="0" w:color="000000"/>
            </w:tcBorders>
          </w:tcPr>
          <w:p w14:paraId="7E5ABED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Licence commerciale hors du budget du mandat. Outil fermé, ce qui empêcherait de démontrer la reproductibilité exigée par EX-Q-05.</w:t>
            </w:r>
          </w:p>
        </w:tc>
      </w:tr>
      <w:tr w:rsidR="00F50D70" w:rsidRPr="00BE4F47" w14:paraId="7AF51EF8"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7551B7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 xml:space="preserve">Siemens </w:t>
            </w:r>
            <w:proofErr w:type="spellStart"/>
            <w:r w:rsidRPr="00BE4F47">
              <w:rPr>
                <w:rFonts w:ascii="Aptos" w:eastAsia="Calibri" w:hAnsi="Aptos" w:cs="Calibri"/>
                <w:b/>
                <w:bCs/>
                <w:color w:val="1A1A19"/>
                <w:sz w:val="16"/>
                <w:szCs w:val="16"/>
              </w:rPr>
              <w:t>Simcenter</w:t>
            </w:r>
            <w:proofErr w:type="spellEnd"/>
            <w:r w:rsidRPr="00BE4F47">
              <w:rPr>
                <w:rFonts w:ascii="Aptos" w:eastAsia="Calibri" w:hAnsi="Aptos" w:cs="Calibri"/>
                <w:b/>
                <w:bCs/>
                <w:color w:val="1A1A19"/>
                <w:sz w:val="16"/>
                <w:szCs w:val="16"/>
              </w:rPr>
              <w:t xml:space="preserve"> Amesim [15]</w:t>
            </w:r>
          </w:p>
        </w:tc>
        <w:tc>
          <w:tcPr>
            <w:tcW w:w="1500" w:type="dxa"/>
            <w:tcBorders>
              <w:top w:val="single" w:sz="4" w:space="0" w:color="000000"/>
              <w:left w:val="single" w:sz="4" w:space="0" w:color="000000"/>
              <w:bottom w:val="single" w:sz="4" w:space="0" w:color="000000"/>
              <w:right w:val="single" w:sz="4" w:space="0" w:color="000000"/>
            </w:tcBorders>
          </w:tcPr>
          <w:p w14:paraId="370C3A2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Environnement commercial de simulation de systèmes.</w:t>
            </w:r>
          </w:p>
        </w:tc>
        <w:tc>
          <w:tcPr>
            <w:tcW w:w="2600" w:type="dxa"/>
            <w:tcBorders>
              <w:top w:val="single" w:sz="4" w:space="0" w:color="000000"/>
              <w:left w:val="single" w:sz="4" w:space="0" w:color="000000"/>
              <w:bottom w:val="single" w:sz="4" w:space="0" w:color="000000"/>
              <w:right w:val="single" w:sz="4" w:space="0" w:color="000000"/>
            </w:tcBorders>
          </w:tcPr>
          <w:p w14:paraId="6B1F459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Bibliothèques thermiques et hydrauliques éprouvées, adaptées à une boucle de refroidissement.</w:t>
            </w:r>
          </w:p>
        </w:tc>
        <w:tc>
          <w:tcPr>
            <w:tcW w:w="2557" w:type="dxa"/>
            <w:tcBorders>
              <w:top w:val="single" w:sz="4" w:space="0" w:color="000000"/>
              <w:left w:val="single" w:sz="4" w:space="0" w:color="000000"/>
              <w:bottom w:val="single" w:sz="4" w:space="0" w:color="000000"/>
              <w:right w:val="single" w:sz="4" w:space="0" w:color="000000"/>
            </w:tcBorders>
          </w:tcPr>
          <w:p w14:paraId="29BE0C9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Même obstacle de licence. La compétence d’équipe sur cet outil est nulle, ce qui consommerait le lot L4 en apprentissage.</w:t>
            </w:r>
          </w:p>
        </w:tc>
      </w:tr>
      <w:tr w:rsidR="00F50D70" w:rsidRPr="00BE4F47" w14:paraId="6EBA399B"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28B1F97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proofErr w:type="spellStart"/>
            <w:r w:rsidRPr="00BE4F47">
              <w:rPr>
                <w:rFonts w:ascii="Aptos" w:eastAsia="Calibri" w:hAnsi="Aptos" w:cs="Calibri"/>
                <w:b/>
                <w:bCs/>
                <w:color w:val="1A1A19"/>
                <w:sz w:val="16"/>
                <w:szCs w:val="16"/>
              </w:rPr>
              <w:t>OpenModelica</w:t>
            </w:r>
            <w:proofErr w:type="spellEnd"/>
            <w:r w:rsidRPr="00BE4F47">
              <w:rPr>
                <w:rFonts w:ascii="Aptos" w:eastAsia="Calibri" w:hAnsi="Aptos" w:cs="Calibri"/>
                <w:b/>
                <w:bCs/>
                <w:color w:val="1A1A19"/>
                <w:sz w:val="16"/>
                <w:szCs w:val="16"/>
              </w:rPr>
              <w:t xml:space="preserve"> et la bibliothèque </w:t>
            </w:r>
            <w:proofErr w:type="spellStart"/>
            <w:r w:rsidRPr="00BE4F47">
              <w:rPr>
                <w:rFonts w:ascii="Aptos" w:eastAsia="Calibri" w:hAnsi="Aptos" w:cs="Calibri"/>
                <w:b/>
                <w:bCs/>
                <w:color w:val="1A1A19"/>
                <w:sz w:val="16"/>
                <w:szCs w:val="16"/>
              </w:rPr>
              <w:t>ThermoPower</w:t>
            </w:r>
            <w:proofErr w:type="spellEnd"/>
            <w:r w:rsidRPr="00BE4F47">
              <w:rPr>
                <w:rFonts w:ascii="Aptos" w:eastAsia="Calibri" w:hAnsi="Aptos" w:cs="Calibri"/>
                <w:b/>
                <w:bCs/>
                <w:color w:val="1A1A19"/>
                <w:sz w:val="16"/>
                <w:szCs w:val="16"/>
              </w:rPr>
              <w:t xml:space="preserve"> [16]</w:t>
            </w:r>
          </w:p>
        </w:tc>
        <w:tc>
          <w:tcPr>
            <w:tcW w:w="1500" w:type="dxa"/>
            <w:tcBorders>
              <w:top w:val="single" w:sz="4" w:space="0" w:color="000000"/>
              <w:left w:val="single" w:sz="4" w:space="0" w:color="000000"/>
              <w:bottom w:val="single" w:sz="4" w:space="0" w:color="000000"/>
              <w:right w:val="single" w:sz="4" w:space="0" w:color="000000"/>
            </w:tcBorders>
          </w:tcPr>
          <w:p w14:paraId="4EBB4CE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Environnement et bibliothèque libres.</w:t>
            </w:r>
          </w:p>
        </w:tc>
        <w:tc>
          <w:tcPr>
            <w:tcW w:w="2600" w:type="dxa"/>
            <w:tcBorders>
              <w:top w:val="single" w:sz="4" w:space="0" w:color="000000"/>
              <w:left w:val="single" w:sz="4" w:space="0" w:color="000000"/>
              <w:bottom w:val="single" w:sz="4" w:space="0" w:color="000000"/>
              <w:right w:val="single" w:sz="4" w:space="0" w:color="000000"/>
            </w:tcBorders>
          </w:tcPr>
          <w:p w14:paraId="02810BA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Modélisation dynamique des centrales thermiques, langage normalisé à équations acausales, code lisible et vérifiable.</w:t>
            </w:r>
          </w:p>
        </w:tc>
        <w:tc>
          <w:tcPr>
            <w:tcW w:w="2557" w:type="dxa"/>
            <w:tcBorders>
              <w:top w:val="single" w:sz="4" w:space="0" w:color="000000"/>
              <w:left w:val="single" w:sz="4" w:space="0" w:color="000000"/>
              <w:bottom w:val="single" w:sz="4" w:space="0" w:color="000000"/>
              <w:right w:val="single" w:sz="4" w:space="0" w:color="000000"/>
            </w:tcBorders>
          </w:tcPr>
          <w:p w14:paraId="2BA8330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Retenue. C’est la solution employée par le projet.</w:t>
            </w:r>
          </w:p>
        </w:tc>
      </w:tr>
      <w:tr w:rsidR="00F50D70" w:rsidRPr="00BE4F47" w14:paraId="7E9DE8F4"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7940EAA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Codes TRACE et RELAP5 de la NRC [17]</w:t>
            </w:r>
          </w:p>
        </w:tc>
        <w:tc>
          <w:tcPr>
            <w:tcW w:w="1500" w:type="dxa"/>
            <w:tcBorders>
              <w:top w:val="single" w:sz="4" w:space="0" w:color="000000"/>
              <w:left w:val="single" w:sz="4" w:space="0" w:color="000000"/>
              <w:bottom w:val="single" w:sz="4" w:space="0" w:color="000000"/>
              <w:right w:val="single" w:sz="4" w:space="0" w:color="000000"/>
            </w:tcBorders>
          </w:tcPr>
          <w:p w14:paraId="4A766ED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Codes de référence en </w:t>
            </w:r>
            <w:proofErr w:type="spellStart"/>
            <w:r w:rsidRPr="00BE4F47">
              <w:rPr>
                <w:rFonts w:ascii="Aptos" w:eastAsia="Calibri" w:hAnsi="Aptos" w:cs="Calibri"/>
                <w:color w:val="1A1A19"/>
                <w:sz w:val="16"/>
                <w:szCs w:val="16"/>
              </w:rPr>
              <w:t>thermohydraulique</w:t>
            </w:r>
            <w:proofErr w:type="spellEnd"/>
            <w:r w:rsidRPr="00BE4F47">
              <w:rPr>
                <w:rFonts w:ascii="Aptos" w:eastAsia="Calibri" w:hAnsi="Aptos" w:cs="Calibri"/>
                <w:color w:val="1A1A19"/>
                <w:sz w:val="16"/>
                <w:szCs w:val="16"/>
              </w:rPr>
              <w:t xml:space="preserve"> nucléaire.</w:t>
            </w:r>
          </w:p>
        </w:tc>
        <w:tc>
          <w:tcPr>
            <w:tcW w:w="2600" w:type="dxa"/>
            <w:tcBorders>
              <w:top w:val="single" w:sz="4" w:space="0" w:color="000000"/>
              <w:left w:val="single" w:sz="4" w:space="0" w:color="000000"/>
              <w:bottom w:val="single" w:sz="4" w:space="0" w:color="000000"/>
              <w:right w:val="single" w:sz="4" w:space="0" w:color="000000"/>
            </w:tcBorders>
          </w:tcPr>
          <w:p w14:paraId="3C862EA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Référence reconnue pour l’analyse des transitoires de réacteurs à eau sous pression et à eau bouillante.</w:t>
            </w:r>
          </w:p>
        </w:tc>
        <w:tc>
          <w:tcPr>
            <w:tcW w:w="2557" w:type="dxa"/>
            <w:tcBorders>
              <w:top w:val="single" w:sz="4" w:space="0" w:color="000000"/>
              <w:left w:val="single" w:sz="4" w:space="0" w:color="000000"/>
              <w:bottom w:val="single" w:sz="4" w:space="0" w:color="000000"/>
              <w:right w:val="single" w:sz="4" w:space="0" w:color="000000"/>
            </w:tcBorders>
          </w:tcPr>
          <w:p w14:paraId="02B897A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Distribution soumise à une entente institutionnelle, et non librement accessible. Domaine d’emploi très au-delà du périmètre du prototype.</w:t>
            </w:r>
          </w:p>
        </w:tc>
      </w:tr>
    </w:tbl>
    <w:p w14:paraId="0AFEE74F" w14:textId="77777777" w:rsidR="00F50D70" w:rsidRPr="00BE4F47" w:rsidRDefault="00000000" w:rsidP="008E113B">
      <w:pPr>
        <w:spacing w:after="130" w:line="360" w:lineRule="auto"/>
        <w:ind w:left="360"/>
        <w:rPr>
          <w:rFonts w:ascii="Aptos" w:hAnsi="Aptos"/>
        </w:rPr>
      </w:pPr>
      <w:bookmarkStart w:id="245" w:name="_Toc241082969"/>
      <w:r w:rsidRPr="00BE4F47">
        <w:rPr>
          <w:rFonts w:ascii="Aptos" w:eastAsia="Calibri" w:hAnsi="Aptos" w:cs="Calibri"/>
          <w:color w:val="1A1A19"/>
          <w:sz w:val="20"/>
          <w:szCs w:val="20"/>
        </w:rPr>
        <w:t xml:space="preserve">La décision est de construire sur une base libre plutôt que d’acheter. Trois raisons la soutiennent. Le budget du mandat ne comporte aucun poste de licence, ce que l’hypothèse H-05 de la section 8 énonce. La reproductibilité exigée par EX-Q-05 suppose que le correcteur puisse relancer les calculs sans acquérir un logiciel. Et le projet est un exercice de conception, pas un exercice d’intégration : employer une plateforme qui </w:t>
      </w:r>
      <w:proofErr w:type="gramStart"/>
      <w:r w:rsidRPr="00BE4F47">
        <w:rPr>
          <w:rFonts w:ascii="Aptos" w:eastAsia="Calibri" w:hAnsi="Aptos" w:cs="Calibri"/>
          <w:color w:val="1A1A19"/>
          <w:sz w:val="20"/>
          <w:szCs w:val="20"/>
        </w:rPr>
        <w:t>fait</w:t>
      </w:r>
      <w:proofErr w:type="gramEnd"/>
      <w:r w:rsidRPr="00BE4F47">
        <w:rPr>
          <w:rFonts w:ascii="Aptos" w:eastAsia="Calibri" w:hAnsi="Aptos" w:cs="Calibri"/>
          <w:color w:val="1A1A19"/>
          <w:sz w:val="20"/>
          <w:szCs w:val="20"/>
        </w:rPr>
        <w:t xml:space="preserve"> déjà le travail viderait les lots L4, L6 et L7 de leur contenu.</w:t>
      </w:r>
      <w:bookmarkEnd w:id="245"/>
    </w:p>
    <w:p w14:paraId="6FFC8642" w14:textId="77777777" w:rsidR="00F50D70" w:rsidRPr="00BE4F47" w:rsidRDefault="00000000" w:rsidP="008E113B">
      <w:pPr>
        <w:spacing w:after="130" w:line="360" w:lineRule="auto"/>
        <w:ind w:left="360"/>
        <w:rPr>
          <w:rFonts w:ascii="Aptos" w:hAnsi="Aptos"/>
        </w:rPr>
      </w:pPr>
      <w:bookmarkStart w:id="246" w:name="_Toc241082970"/>
      <w:r w:rsidRPr="00BE4F47">
        <w:rPr>
          <w:rFonts w:ascii="Aptos" w:eastAsia="Calibri" w:hAnsi="Aptos" w:cs="Calibri"/>
          <w:color w:val="1A1A19"/>
          <w:sz w:val="20"/>
          <w:szCs w:val="20"/>
        </w:rPr>
        <w:t>Cette décision a un coût qu’il faut reconnaître. Les outils libres retenus offrent moins de garanties de support et de validation industrielle que les plateformes commerciales, et la charge de vérification retombe entièrement sur le lot L9.</w:t>
      </w:r>
      <w:bookmarkEnd w:id="246"/>
    </w:p>
    <w:p w14:paraId="45B77388" w14:textId="77777777" w:rsidR="00F50D70" w:rsidRPr="00BE4F47" w:rsidRDefault="00000000" w:rsidP="008E113B">
      <w:pPr>
        <w:pStyle w:val="Titre4"/>
        <w:spacing w:line="360" w:lineRule="auto"/>
      </w:pPr>
      <w:r w:rsidRPr="00BE4F47">
        <w:t>Licences, droits et redevances</w:t>
      </w:r>
    </w:p>
    <w:p w14:paraId="29D8156E" w14:textId="77777777" w:rsidR="00F50D70" w:rsidRDefault="00000000" w:rsidP="008E113B">
      <w:pPr>
        <w:spacing w:after="130" w:line="360" w:lineRule="auto"/>
        <w:ind w:left="360"/>
        <w:rPr>
          <w:rFonts w:ascii="Aptos" w:eastAsia="Calibri" w:hAnsi="Aptos" w:cs="Calibri"/>
          <w:color w:val="1A1A19"/>
          <w:sz w:val="20"/>
          <w:szCs w:val="20"/>
        </w:rPr>
      </w:pPr>
      <w:bookmarkStart w:id="247" w:name="_Toc241082971"/>
      <w:r w:rsidRPr="00BE4F47">
        <w:rPr>
          <w:rFonts w:ascii="Aptos" w:eastAsia="Calibri" w:hAnsi="Aptos" w:cs="Calibri"/>
          <w:color w:val="1A1A19"/>
          <w:sz w:val="20"/>
          <w:szCs w:val="20"/>
        </w:rPr>
        <w:t>La question des droits se pose à deux endroits : sur les outils employés, et sur les techniques mises en œuvre.</w:t>
      </w:r>
      <w:bookmarkEnd w:id="247"/>
    </w:p>
    <w:p w14:paraId="61BADB73" w14:textId="77777777" w:rsidR="0036725C" w:rsidRPr="00BE4F47" w:rsidRDefault="0036725C" w:rsidP="008E113B">
      <w:pPr>
        <w:spacing w:after="130" w:line="360" w:lineRule="auto"/>
        <w:ind w:left="360"/>
        <w:rPr>
          <w:rFonts w:ascii="Aptos" w:hAnsi="Aptos"/>
        </w:rPr>
      </w:pPr>
    </w:p>
    <w:p w14:paraId="5881B759" w14:textId="77777777" w:rsidR="00F50D70" w:rsidRPr="00BE4F47" w:rsidRDefault="00000000" w:rsidP="008E113B">
      <w:pPr>
        <w:pStyle w:val="Lgende"/>
        <w:spacing w:line="360" w:lineRule="auto"/>
        <w:rPr>
          <w:rFonts w:ascii="Aptos" w:hAnsi="Aptos"/>
        </w:rPr>
      </w:pPr>
      <w:bookmarkStart w:id="248" w:name="_Toc241082972"/>
      <w:r w:rsidRPr="00BE4F47">
        <w:rPr>
          <w:rFonts w:ascii="Aptos" w:hAnsi="Aptos"/>
        </w:rPr>
        <w:t>Tableau 5-5. Régime de droits des outils et des techniques employés</w:t>
      </w:r>
      <w:bookmarkEnd w:id="248"/>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900"/>
        <w:gridCol w:w="3400"/>
        <w:gridCol w:w="3257"/>
      </w:tblGrid>
      <w:tr w:rsidR="00F50D70" w:rsidRPr="00BE4F47" w14:paraId="373997F1" w14:textId="77777777" w:rsidTr="0036725C">
        <w:trPr>
          <w:trHeight w:val="227"/>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363B2B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Objet</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2CCDB9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Régime de droits</w:t>
            </w:r>
          </w:p>
        </w:tc>
        <w:tc>
          <w:tcPr>
            <w:tcW w:w="32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811356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pour le mandat</w:t>
            </w:r>
          </w:p>
        </w:tc>
      </w:tr>
      <w:tr w:rsidR="00F50D70" w:rsidRPr="00BE4F47" w14:paraId="221F0540"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3786B9E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proofErr w:type="spellStart"/>
            <w:r w:rsidRPr="00BE4F47">
              <w:rPr>
                <w:rFonts w:ascii="Aptos" w:eastAsia="Calibri" w:hAnsi="Aptos" w:cs="Calibri"/>
                <w:b/>
                <w:bCs/>
                <w:color w:val="1A1A19"/>
                <w:sz w:val="16"/>
                <w:szCs w:val="16"/>
              </w:rPr>
              <w:t>OpenModelica</w:t>
            </w:r>
            <w:proofErr w:type="spellEnd"/>
            <w:r w:rsidRPr="00BE4F47">
              <w:rPr>
                <w:rFonts w:ascii="Aptos" w:eastAsia="Calibri" w:hAnsi="Aptos" w:cs="Calibri"/>
                <w:b/>
                <w:bCs/>
                <w:color w:val="1A1A19"/>
                <w:sz w:val="16"/>
                <w:szCs w:val="16"/>
              </w:rPr>
              <w:t xml:space="preserve"> et </w:t>
            </w:r>
            <w:proofErr w:type="spellStart"/>
            <w:r w:rsidRPr="00BE4F47">
              <w:rPr>
                <w:rFonts w:ascii="Aptos" w:eastAsia="Calibri" w:hAnsi="Aptos" w:cs="Calibri"/>
                <w:b/>
                <w:bCs/>
                <w:color w:val="1A1A19"/>
                <w:sz w:val="16"/>
                <w:szCs w:val="16"/>
              </w:rPr>
              <w:t>ThermoPower</w:t>
            </w:r>
            <w:proofErr w:type="spellEnd"/>
          </w:p>
        </w:tc>
        <w:tc>
          <w:tcPr>
            <w:tcW w:w="3400" w:type="dxa"/>
            <w:tcBorders>
              <w:top w:val="single" w:sz="4" w:space="0" w:color="000000"/>
              <w:left w:val="single" w:sz="4" w:space="0" w:color="000000"/>
              <w:bottom w:val="single" w:sz="4" w:space="0" w:color="000000"/>
              <w:right w:val="single" w:sz="4" w:space="0" w:color="000000"/>
            </w:tcBorders>
          </w:tcPr>
          <w:p w14:paraId="4696224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Diffusion libre. La licence exacte de chaque composant doit être vérifiée et consignée avant la première livraison.</w:t>
            </w:r>
          </w:p>
        </w:tc>
        <w:tc>
          <w:tcPr>
            <w:tcW w:w="3257" w:type="dxa"/>
            <w:tcBorders>
              <w:top w:val="single" w:sz="4" w:space="0" w:color="000000"/>
              <w:left w:val="single" w:sz="4" w:space="0" w:color="000000"/>
              <w:bottom w:val="single" w:sz="4" w:space="0" w:color="000000"/>
              <w:right w:val="single" w:sz="4" w:space="0" w:color="000000"/>
            </w:tcBorders>
          </w:tcPr>
          <w:p w14:paraId="08AE4F2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redevance prévue. Vérification inscrite au lot L9 avant le jalon J2.</w:t>
            </w:r>
          </w:p>
        </w:tc>
      </w:tr>
      <w:tr w:rsidR="00F50D70" w:rsidRPr="00BE4F47" w14:paraId="57E669C1"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B1934A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Bibliothèques de calcul et d’apprentissage automatique</w:t>
            </w:r>
          </w:p>
        </w:tc>
        <w:tc>
          <w:tcPr>
            <w:tcW w:w="3400" w:type="dxa"/>
            <w:tcBorders>
              <w:top w:val="single" w:sz="4" w:space="0" w:color="000000"/>
              <w:left w:val="single" w:sz="4" w:space="0" w:color="000000"/>
              <w:bottom w:val="single" w:sz="4" w:space="0" w:color="000000"/>
              <w:right w:val="single" w:sz="4" w:space="0" w:color="000000"/>
            </w:tcBorders>
          </w:tcPr>
          <w:p w14:paraId="3106B52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Licences libres permissives.</w:t>
            </w:r>
          </w:p>
        </w:tc>
        <w:tc>
          <w:tcPr>
            <w:tcW w:w="3257" w:type="dxa"/>
            <w:tcBorders>
              <w:top w:val="single" w:sz="4" w:space="0" w:color="000000"/>
              <w:left w:val="single" w:sz="4" w:space="0" w:color="000000"/>
              <w:bottom w:val="single" w:sz="4" w:space="0" w:color="000000"/>
              <w:right w:val="single" w:sz="4" w:space="0" w:color="000000"/>
            </w:tcBorders>
          </w:tcPr>
          <w:p w14:paraId="6961618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redevance. Les licences sont consignées dans le dépôt, conformément à la section 4.</w:t>
            </w:r>
          </w:p>
        </w:tc>
      </w:tr>
      <w:tr w:rsidR="00F50D70" w:rsidRPr="00BE4F47" w14:paraId="1CF1C90F"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3D73ED6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Normes consultées</w:t>
            </w:r>
          </w:p>
        </w:tc>
        <w:tc>
          <w:tcPr>
            <w:tcW w:w="3400" w:type="dxa"/>
            <w:tcBorders>
              <w:top w:val="single" w:sz="4" w:space="0" w:color="000000"/>
              <w:left w:val="single" w:sz="4" w:space="0" w:color="000000"/>
              <w:bottom w:val="single" w:sz="4" w:space="0" w:color="000000"/>
              <w:right w:val="single" w:sz="4" w:space="0" w:color="000000"/>
            </w:tcBorders>
          </w:tcPr>
          <w:p w14:paraId="2368400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Accès par l’abonnement institutionnel de l’UQAC. Le texte des normes ne peut pas être reproduit dans les livrables.</w:t>
            </w:r>
          </w:p>
        </w:tc>
        <w:tc>
          <w:tcPr>
            <w:tcW w:w="3257" w:type="dxa"/>
            <w:tcBorders>
              <w:top w:val="single" w:sz="4" w:space="0" w:color="000000"/>
              <w:left w:val="single" w:sz="4" w:space="0" w:color="000000"/>
              <w:bottom w:val="single" w:sz="4" w:space="0" w:color="000000"/>
              <w:right w:val="single" w:sz="4" w:space="0" w:color="000000"/>
            </w:tcBorders>
          </w:tcPr>
          <w:p w14:paraId="716DD0D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 coût imputé au mandat. Les normes sont citées, jamais recopiées.</w:t>
            </w:r>
          </w:p>
        </w:tc>
      </w:tr>
      <w:tr w:rsidR="00F50D70" w:rsidRPr="00BE4F47" w14:paraId="68457116"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02BB0F2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Brevets recensés au tableau des brevets</w:t>
            </w:r>
          </w:p>
        </w:tc>
        <w:tc>
          <w:tcPr>
            <w:tcW w:w="3400" w:type="dxa"/>
            <w:tcBorders>
              <w:top w:val="single" w:sz="4" w:space="0" w:color="000000"/>
              <w:left w:val="single" w:sz="4" w:space="0" w:color="000000"/>
              <w:bottom w:val="single" w:sz="4" w:space="0" w:color="000000"/>
              <w:right w:val="single" w:sz="4" w:space="0" w:color="000000"/>
            </w:tcBorders>
          </w:tcPr>
          <w:p w14:paraId="5D4128A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Quatre demandes chinoises et un brevet états-unien, sans protection en vigueur au Canada à la date de la revue.</w:t>
            </w:r>
          </w:p>
        </w:tc>
        <w:tc>
          <w:tcPr>
            <w:tcW w:w="3257" w:type="dxa"/>
            <w:tcBorders>
              <w:top w:val="single" w:sz="4" w:space="0" w:color="000000"/>
              <w:left w:val="single" w:sz="4" w:space="0" w:color="000000"/>
              <w:bottom w:val="single" w:sz="4" w:space="0" w:color="000000"/>
              <w:right w:val="single" w:sz="4" w:space="0" w:color="000000"/>
            </w:tcBorders>
          </w:tcPr>
          <w:p w14:paraId="27C2691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redevance exigible dans le contexte du mandat, qui est une démonstration universitaire sans exploitation commerciale.</w:t>
            </w:r>
          </w:p>
        </w:tc>
      </w:tr>
      <w:tr w:rsidR="00F50D70" w:rsidRPr="00BE4F47" w14:paraId="0926534B"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4B1056D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Exploitation ultérieure du prototype</w:t>
            </w:r>
          </w:p>
        </w:tc>
        <w:tc>
          <w:tcPr>
            <w:tcW w:w="3400" w:type="dxa"/>
            <w:tcBorders>
              <w:top w:val="single" w:sz="4" w:space="0" w:color="000000"/>
              <w:left w:val="single" w:sz="4" w:space="0" w:color="000000"/>
              <w:bottom w:val="single" w:sz="4" w:space="0" w:color="000000"/>
              <w:right w:val="single" w:sz="4" w:space="0" w:color="000000"/>
            </w:tcBorders>
          </w:tcPr>
          <w:p w14:paraId="4CE188D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Non couverte par le présent mandat.</w:t>
            </w:r>
          </w:p>
        </w:tc>
        <w:tc>
          <w:tcPr>
            <w:tcW w:w="3257" w:type="dxa"/>
            <w:tcBorders>
              <w:top w:val="single" w:sz="4" w:space="0" w:color="000000"/>
              <w:left w:val="single" w:sz="4" w:space="0" w:color="000000"/>
              <w:bottom w:val="single" w:sz="4" w:space="0" w:color="000000"/>
              <w:right w:val="single" w:sz="4" w:space="0" w:color="000000"/>
            </w:tcBorders>
          </w:tcPr>
          <w:p w14:paraId="034BAC8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Une exploitation commerciale exigerait une recherche de liberté d’exploitation, qui n’est pas au périmètre. Cette réserve figure au rapport final.</w:t>
            </w:r>
          </w:p>
        </w:tc>
      </w:tr>
    </w:tbl>
    <w:p w14:paraId="1E562A16" w14:textId="77777777" w:rsidR="00F50D70" w:rsidRPr="00BE4F47" w:rsidRDefault="00000000" w:rsidP="008E113B">
      <w:pPr>
        <w:spacing w:after="130" w:line="360" w:lineRule="auto"/>
        <w:ind w:left="360"/>
        <w:rPr>
          <w:rFonts w:ascii="Aptos" w:hAnsi="Aptos"/>
        </w:rPr>
      </w:pPr>
      <w:bookmarkStart w:id="249" w:name="_Toc241082973"/>
      <w:r w:rsidRPr="00BE4F47">
        <w:rPr>
          <w:rFonts w:ascii="Aptos" w:eastAsia="Calibri" w:hAnsi="Aptos" w:cs="Calibri"/>
          <w:color w:val="1A1A19"/>
          <w:sz w:val="20"/>
          <w:szCs w:val="20"/>
        </w:rPr>
        <w:t>La conclusion est qu’aucune redevance n’est à prévoir au budget du mandat. Cette conclusion vaut pour le périmètre académique défini à la section 1 et pour lui seul. Elle ne constitue pas un avis de liberté d’exploitation, lequel relèverait d’un conseil juridique spécialisé.</w:t>
      </w:r>
      <w:bookmarkEnd w:id="249"/>
    </w:p>
    <w:p w14:paraId="6A993D2F" w14:textId="77777777" w:rsidR="00F50D70" w:rsidRPr="00B03F2E" w:rsidRDefault="00000000" w:rsidP="008E113B">
      <w:pPr>
        <w:pStyle w:val="Titre2"/>
        <w:spacing w:line="360" w:lineRule="auto"/>
      </w:pPr>
      <w:bookmarkStart w:id="250" w:name="__RefHeading___Toc240715190"/>
      <w:bookmarkStart w:id="251" w:name="_Toc241082974"/>
      <w:r w:rsidRPr="00B03F2E">
        <w:t>Lacunes de notre revue</w:t>
      </w:r>
      <w:bookmarkEnd w:id="250"/>
      <w:bookmarkEnd w:id="251"/>
      <w:r w:rsidRPr="00B03F2E">
        <w:t xml:space="preserve"> </w:t>
      </w:r>
    </w:p>
    <w:p w14:paraId="13CD35AA" w14:textId="77777777" w:rsidR="00F50D70" w:rsidRPr="00BE4F47" w:rsidRDefault="00000000" w:rsidP="008E113B">
      <w:pPr>
        <w:spacing w:after="130" w:line="360" w:lineRule="auto"/>
        <w:ind w:left="425"/>
        <w:rPr>
          <w:rFonts w:ascii="Aptos" w:hAnsi="Aptos"/>
        </w:rPr>
      </w:pPr>
      <w:bookmarkStart w:id="252" w:name="_Toc241082975"/>
      <w:r w:rsidRPr="00BE4F47">
        <w:rPr>
          <w:rFonts w:ascii="Aptos" w:eastAsia="Calibri" w:hAnsi="Aptos" w:cs="Calibri"/>
          <w:color w:val="1A1A19"/>
          <w:sz w:val="20"/>
          <w:szCs w:val="20"/>
        </w:rPr>
        <w:t>Une revue de l’état de l’art gagne à déclarer ses propres limites. Quatre sont identifiées.</w:t>
      </w:r>
      <w:bookmarkEnd w:id="252"/>
    </w:p>
    <w:p w14:paraId="42908709" w14:textId="77777777" w:rsidR="00F50D70" w:rsidRPr="00BE4F47" w:rsidRDefault="00000000" w:rsidP="008E113B">
      <w:pPr>
        <w:pStyle w:val="Lgende"/>
        <w:spacing w:line="360" w:lineRule="auto"/>
        <w:rPr>
          <w:rFonts w:ascii="Aptos" w:hAnsi="Aptos"/>
        </w:rPr>
      </w:pPr>
      <w:bookmarkStart w:id="253" w:name="_Toc241082976"/>
      <w:r w:rsidRPr="00BE4F47">
        <w:rPr>
          <w:rFonts w:ascii="Aptos" w:hAnsi="Aptos"/>
        </w:rPr>
        <w:t>Tableau 5-6. Lacunes de la revue et traitement prévu</w:t>
      </w:r>
      <w:bookmarkEnd w:id="253"/>
    </w:p>
    <w:tbl>
      <w:tblPr>
        <w:tblW w:w="8534" w:type="dxa"/>
        <w:tblInd w:w="454" w:type="dxa"/>
        <w:tblLayout w:type="fixed"/>
        <w:tblCellMar>
          <w:top w:w="60" w:type="dxa"/>
          <w:left w:w="90" w:type="dxa"/>
          <w:bottom w:w="60" w:type="dxa"/>
          <w:right w:w="90" w:type="dxa"/>
        </w:tblCellMar>
        <w:tblLook w:val="04A0" w:firstRow="1" w:lastRow="0" w:firstColumn="1" w:lastColumn="0" w:noHBand="0" w:noVBand="1"/>
      </w:tblPr>
      <w:tblGrid>
        <w:gridCol w:w="2735"/>
        <w:gridCol w:w="5799"/>
      </w:tblGrid>
      <w:tr w:rsidR="00F50D70" w:rsidRPr="00BE4F47" w14:paraId="683DF5E3" w14:textId="77777777" w:rsidTr="0036725C">
        <w:trPr>
          <w:trHeight w:val="486"/>
          <w:tblHeader/>
        </w:trPr>
        <w:tc>
          <w:tcPr>
            <w:tcW w:w="273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D993AA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Lacune</w:t>
            </w:r>
          </w:p>
        </w:tc>
        <w:tc>
          <w:tcPr>
            <w:tcW w:w="5799"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A6C4FC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et traitement</w:t>
            </w:r>
          </w:p>
        </w:tc>
      </w:tr>
      <w:tr w:rsidR="00F50D70" w:rsidRPr="00BE4F47" w14:paraId="3E7EFF3B" w14:textId="77777777">
        <w:trPr>
          <w:cantSplit/>
          <w:trHeight w:val="899"/>
        </w:trPr>
        <w:tc>
          <w:tcPr>
            <w:tcW w:w="2735" w:type="dxa"/>
            <w:tcBorders>
              <w:top w:val="single" w:sz="4" w:space="0" w:color="000000"/>
              <w:left w:val="single" w:sz="4" w:space="0" w:color="000000"/>
              <w:bottom w:val="single" w:sz="4" w:space="0" w:color="000000"/>
              <w:right w:val="single" w:sz="4" w:space="0" w:color="000000"/>
            </w:tcBorders>
          </w:tcPr>
          <w:p w14:paraId="2C0EE8D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Quatre des six articles retenus sont des revues de littérature.</w:t>
            </w:r>
          </w:p>
        </w:tc>
        <w:tc>
          <w:tcPr>
            <w:tcW w:w="5799" w:type="dxa"/>
            <w:tcBorders>
              <w:top w:val="single" w:sz="4" w:space="0" w:color="000000"/>
              <w:left w:val="single" w:sz="4" w:space="0" w:color="000000"/>
              <w:bottom w:val="single" w:sz="4" w:space="0" w:color="000000"/>
              <w:right w:val="single" w:sz="4" w:space="0" w:color="000000"/>
            </w:tcBorders>
          </w:tcPr>
          <w:p w14:paraId="5306949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revue hérite en partie des choix et des angles morts de ces travaux. À compenser par des références primaires lors de la conception détaillée.</w:t>
            </w:r>
          </w:p>
        </w:tc>
      </w:tr>
      <w:tr w:rsidR="00F50D70" w:rsidRPr="00BE4F47" w14:paraId="12DD2956" w14:textId="77777777">
        <w:trPr>
          <w:cantSplit/>
          <w:trHeight w:val="899"/>
        </w:trPr>
        <w:tc>
          <w:tcPr>
            <w:tcW w:w="2735" w:type="dxa"/>
            <w:tcBorders>
              <w:top w:val="single" w:sz="4" w:space="0" w:color="000000"/>
              <w:left w:val="single" w:sz="4" w:space="0" w:color="000000"/>
              <w:bottom w:val="single" w:sz="4" w:space="0" w:color="000000"/>
              <w:right w:val="single" w:sz="4" w:space="0" w:color="000000"/>
            </w:tcBorders>
          </w:tcPr>
          <w:p w14:paraId="291251E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La modélisation </w:t>
            </w:r>
            <w:proofErr w:type="spellStart"/>
            <w:r w:rsidRPr="00BE4F47">
              <w:rPr>
                <w:rFonts w:ascii="Aptos" w:eastAsia="Calibri" w:hAnsi="Aptos" w:cs="Calibri"/>
                <w:color w:val="1A1A19"/>
                <w:sz w:val="16"/>
                <w:szCs w:val="16"/>
              </w:rPr>
              <w:t>thermohydraulique</w:t>
            </w:r>
            <w:proofErr w:type="spellEnd"/>
            <w:r w:rsidRPr="00BE4F47">
              <w:rPr>
                <w:rFonts w:ascii="Aptos" w:eastAsia="Calibri" w:hAnsi="Aptos" w:cs="Calibri"/>
                <w:color w:val="1A1A19"/>
                <w:sz w:val="16"/>
                <w:szCs w:val="16"/>
              </w:rPr>
              <w:t xml:space="preserve"> est sous-documentée.</w:t>
            </w:r>
          </w:p>
        </w:tc>
        <w:tc>
          <w:tcPr>
            <w:tcW w:w="5799" w:type="dxa"/>
            <w:tcBorders>
              <w:top w:val="single" w:sz="4" w:space="0" w:color="000000"/>
              <w:left w:val="single" w:sz="4" w:space="0" w:color="000000"/>
              <w:bottom w:val="single" w:sz="4" w:space="0" w:color="000000"/>
              <w:right w:val="single" w:sz="4" w:space="0" w:color="000000"/>
            </w:tcBorders>
          </w:tcPr>
          <w:p w14:paraId="3EDBD73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C’est le cœur technique du projet. Deux à trois références propres au domaine sont à ajouter, ainsi que la documentation de l’outil retenu.</w:t>
            </w:r>
          </w:p>
        </w:tc>
      </w:tr>
      <w:tr w:rsidR="00F50D70" w:rsidRPr="00BE4F47" w14:paraId="5A0304CD" w14:textId="77777777">
        <w:trPr>
          <w:cantSplit/>
          <w:trHeight w:val="899"/>
        </w:trPr>
        <w:tc>
          <w:tcPr>
            <w:tcW w:w="2735" w:type="dxa"/>
            <w:tcBorders>
              <w:top w:val="single" w:sz="4" w:space="0" w:color="000000"/>
              <w:left w:val="single" w:sz="4" w:space="0" w:color="000000"/>
              <w:bottom w:val="single" w:sz="4" w:space="0" w:color="000000"/>
              <w:right w:val="single" w:sz="4" w:space="0" w:color="000000"/>
            </w:tcBorders>
          </w:tcPr>
          <w:p w14:paraId="49878A7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source propre au parc canadien ni à la filière CANDU.</w:t>
            </w:r>
          </w:p>
        </w:tc>
        <w:tc>
          <w:tcPr>
            <w:tcW w:w="5799" w:type="dxa"/>
            <w:tcBorders>
              <w:top w:val="single" w:sz="4" w:space="0" w:color="000000"/>
              <w:left w:val="single" w:sz="4" w:space="0" w:color="000000"/>
              <w:bottom w:val="single" w:sz="4" w:space="0" w:color="000000"/>
              <w:right w:val="single" w:sz="4" w:space="0" w:color="000000"/>
            </w:tcBorders>
          </w:tcPr>
          <w:p w14:paraId="6FD85A0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Le scénario retenu porte sur une installation CANDU. Une source sur la </w:t>
            </w:r>
            <w:proofErr w:type="spellStart"/>
            <w:r w:rsidRPr="00BE4F47">
              <w:rPr>
                <w:rFonts w:ascii="Aptos" w:eastAsia="Calibri" w:hAnsi="Aptos" w:cs="Calibri"/>
                <w:color w:val="1A1A19"/>
                <w:sz w:val="16"/>
                <w:szCs w:val="16"/>
              </w:rPr>
              <w:t>thermohydraulique</w:t>
            </w:r>
            <w:proofErr w:type="spellEnd"/>
            <w:r w:rsidRPr="00BE4F47">
              <w:rPr>
                <w:rFonts w:ascii="Aptos" w:eastAsia="Calibri" w:hAnsi="Aptos" w:cs="Calibri"/>
                <w:color w:val="1A1A19"/>
                <w:sz w:val="16"/>
                <w:szCs w:val="16"/>
              </w:rPr>
              <w:t xml:space="preserve"> de cette filière renforcerait la pertinence du modèle.</w:t>
            </w:r>
          </w:p>
        </w:tc>
      </w:tr>
      <w:tr w:rsidR="00F50D70" w:rsidRPr="00BE4F47" w14:paraId="50F2EEB3" w14:textId="77777777">
        <w:trPr>
          <w:cantSplit/>
          <w:trHeight w:val="899"/>
        </w:trPr>
        <w:tc>
          <w:tcPr>
            <w:tcW w:w="2735" w:type="dxa"/>
            <w:tcBorders>
              <w:top w:val="single" w:sz="4" w:space="0" w:color="000000"/>
              <w:left w:val="single" w:sz="4" w:space="0" w:color="000000"/>
              <w:bottom w:val="single" w:sz="4" w:space="0" w:color="000000"/>
              <w:right w:val="single" w:sz="4" w:space="0" w:color="000000"/>
            </w:tcBorders>
          </w:tcPr>
          <w:p w14:paraId="40DC1E4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recherche de brevets s’est limitée à Google Patents.</w:t>
            </w:r>
          </w:p>
        </w:tc>
        <w:tc>
          <w:tcPr>
            <w:tcW w:w="5799" w:type="dxa"/>
            <w:tcBorders>
              <w:top w:val="single" w:sz="4" w:space="0" w:color="000000"/>
              <w:left w:val="single" w:sz="4" w:space="0" w:color="000000"/>
              <w:bottom w:val="single" w:sz="4" w:space="0" w:color="000000"/>
              <w:right w:val="single" w:sz="4" w:space="0" w:color="000000"/>
            </w:tcBorders>
          </w:tcPr>
          <w:p w14:paraId="5782D35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Suffisant pour une antériorité préliminaire. Une recherche dans les bases nationales serait nécessaire pour toute analyse de liberté d’exploitation.</w:t>
            </w:r>
          </w:p>
        </w:tc>
      </w:tr>
    </w:tbl>
    <w:p w14:paraId="12BC1C0D" w14:textId="77777777" w:rsidR="00F50D70" w:rsidRPr="00BE4F47" w:rsidRDefault="00F50D70" w:rsidP="008E113B">
      <w:pPr>
        <w:spacing w:after="130" w:line="360" w:lineRule="auto"/>
        <w:ind w:left="425"/>
        <w:rPr>
          <w:rFonts w:ascii="Aptos" w:hAnsi="Aptos"/>
        </w:rPr>
      </w:pPr>
    </w:p>
    <w:p w14:paraId="558CDC17" w14:textId="77777777" w:rsidR="00F50D70" w:rsidRPr="00BE4F47" w:rsidRDefault="00F50D70" w:rsidP="008E113B">
      <w:pPr>
        <w:pStyle w:val="Retraitcorpsdetexte3"/>
        <w:spacing w:line="360" w:lineRule="auto"/>
        <w:ind w:left="0" w:firstLine="0"/>
        <w:rPr>
          <w:rFonts w:ascii="Aptos" w:hAnsi="Aptos"/>
        </w:rPr>
      </w:pPr>
    </w:p>
    <w:p w14:paraId="17E42F22" w14:textId="77777777" w:rsidR="00F50D70" w:rsidRPr="00B03F2E" w:rsidRDefault="00000000" w:rsidP="008E113B">
      <w:pPr>
        <w:pStyle w:val="Titre1"/>
        <w:spacing w:line="360" w:lineRule="auto"/>
      </w:pPr>
      <w:bookmarkStart w:id="254" w:name="__RefHeading___Toc240715192"/>
      <w:bookmarkStart w:id="255" w:name="_Toc241082977"/>
      <w:bookmarkEnd w:id="254"/>
      <w:r w:rsidRPr="00B03F2E">
        <w:t>Normes, codes et standards</w:t>
      </w:r>
      <w:bookmarkEnd w:id="255"/>
    </w:p>
    <w:p w14:paraId="27F0D77C" w14:textId="77777777" w:rsidR="00F50D70" w:rsidRPr="00BE4F47" w:rsidRDefault="00000000" w:rsidP="008E113B">
      <w:pPr>
        <w:spacing w:after="130" w:line="360" w:lineRule="auto"/>
        <w:ind w:left="360"/>
        <w:rPr>
          <w:rFonts w:ascii="Aptos" w:hAnsi="Aptos"/>
        </w:rPr>
      </w:pPr>
      <w:bookmarkStart w:id="256" w:name="_Toc241082978"/>
      <w:r w:rsidRPr="00BE4F47">
        <w:rPr>
          <w:rFonts w:ascii="Aptos" w:eastAsia="Calibri" w:hAnsi="Aptos" w:cs="Calibri"/>
          <w:color w:val="1A1A19"/>
          <w:sz w:val="20"/>
          <w:szCs w:val="20"/>
        </w:rPr>
        <w:t>La revue a montré ce que d’autres ont fait. Cette section établit le cadre dans lequel le projet doit le faire. Elle part de la loi, passe par la réglementation, retient les normes applicables, et en tire des conséquences directes sur la conception.</w:t>
      </w:r>
      <w:bookmarkEnd w:id="256"/>
    </w:p>
    <w:p w14:paraId="5D87895C" w14:textId="77777777" w:rsidR="00F50D70" w:rsidRPr="00BE4F47" w:rsidRDefault="00F50D70" w:rsidP="008E113B">
      <w:pPr>
        <w:spacing w:line="360" w:lineRule="auto"/>
        <w:ind w:left="0"/>
        <w:rPr>
          <w:rFonts w:ascii="Aptos" w:hAnsi="Aptos"/>
        </w:rPr>
      </w:pPr>
    </w:p>
    <w:p w14:paraId="33AD7C0B" w14:textId="77777777" w:rsidR="00F50D70" w:rsidRPr="00BE4F47" w:rsidRDefault="00000000" w:rsidP="008E113B">
      <w:pPr>
        <w:spacing w:line="360" w:lineRule="auto"/>
        <w:ind w:left="0"/>
        <w:rPr>
          <w:rFonts w:ascii="Aptos" w:hAnsi="Aptos"/>
        </w:rPr>
      </w:pPr>
      <w:bookmarkStart w:id="257" w:name="_Toc241082979"/>
      <w:r w:rsidRPr="00BE4F47">
        <w:rPr>
          <w:rFonts w:ascii="Aptos" w:eastAsia="Calibri" w:hAnsi="Aptos" w:cs="Calibri"/>
          <w:color w:val="1A1A19"/>
          <w:sz w:val="20"/>
          <w:szCs w:val="20"/>
        </w:rPr>
        <w:t>Les lois, règlements et normes ont été retenus pour leur pertinence envers les activités du projet : ingénierie des exigences, modélisation de la boucle, conception logicielle, cybersécurité, acquisition des données, détection d’anomalies, quantification de l’incertitude, interface homme-machine, vérification et validation. La revue distingue trois niveaux : le cadre législatif, qui détermine ce qui relève de l’exercice de l’ingénierie ; le cadre réglementaire, qui encadre les installations nucléaires canadiennes ; et les normes techniques, qui orientent la conception et fournissent les critères de validation.</w:t>
      </w:r>
      <w:bookmarkEnd w:id="257"/>
    </w:p>
    <w:p w14:paraId="217C81DF" w14:textId="77777777" w:rsidR="00F50D70" w:rsidRPr="00BE4F47" w:rsidRDefault="00F50D70" w:rsidP="008E113B">
      <w:pPr>
        <w:spacing w:line="360" w:lineRule="auto"/>
        <w:rPr>
          <w:rFonts w:ascii="Aptos" w:hAnsi="Aptos" w:cs="Calibri"/>
        </w:rPr>
      </w:pPr>
    </w:p>
    <w:p w14:paraId="408F139D" w14:textId="77777777" w:rsidR="00F50D70" w:rsidRPr="00BE4F47" w:rsidRDefault="00F50D70" w:rsidP="008E113B">
      <w:pPr>
        <w:spacing w:line="360" w:lineRule="auto"/>
        <w:ind w:left="0"/>
        <w:rPr>
          <w:rFonts w:ascii="Aptos" w:hAnsi="Aptos" w:cs="Calibri"/>
        </w:rPr>
      </w:pPr>
    </w:p>
    <w:p w14:paraId="4BF05270" w14:textId="77777777" w:rsidR="00F50D70" w:rsidRPr="00B03F2E" w:rsidRDefault="00000000" w:rsidP="008E113B">
      <w:pPr>
        <w:pStyle w:val="Titre2"/>
        <w:spacing w:line="360" w:lineRule="auto"/>
      </w:pPr>
      <w:bookmarkStart w:id="258" w:name="__RefHeading___Toc240715195"/>
      <w:bookmarkStart w:id="259" w:name="_Toc241082981"/>
      <w:bookmarkEnd w:id="258"/>
      <w:r w:rsidRPr="00B03F2E">
        <w:t>Cadre législatif</w:t>
      </w:r>
      <w:bookmarkEnd w:id="259"/>
    </w:p>
    <w:p w14:paraId="5D977BCF" w14:textId="77777777" w:rsidR="00F50D70" w:rsidRPr="00BE4F47" w:rsidRDefault="00F50D70" w:rsidP="008E113B">
      <w:pPr>
        <w:spacing w:line="360" w:lineRule="auto"/>
        <w:ind w:left="720"/>
        <w:rPr>
          <w:rFonts w:ascii="Aptos" w:hAnsi="Aptos" w:cs="Calibri"/>
        </w:rPr>
      </w:pPr>
    </w:p>
    <w:p w14:paraId="1775AE56" w14:textId="77777777" w:rsidR="00F50D70" w:rsidRPr="00BE4F47" w:rsidRDefault="00000000" w:rsidP="008E113B">
      <w:pPr>
        <w:spacing w:line="360" w:lineRule="auto"/>
        <w:ind w:left="360"/>
        <w:rPr>
          <w:rFonts w:ascii="Aptos" w:hAnsi="Aptos"/>
        </w:rPr>
      </w:pPr>
      <w:bookmarkStart w:id="260" w:name="_Toc241082982"/>
      <w:r w:rsidRPr="00BE4F47">
        <w:rPr>
          <w:rFonts w:ascii="Aptos" w:eastAsia="Calibri" w:hAnsi="Aptos" w:cs="Calibri"/>
          <w:color w:val="1A1A19"/>
          <w:sz w:val="20"/>
          <w:szCs w:val="20"/>
        </w:rPr>
        <w:t>Au Québec, l’exercice de l’ingénierie est encadré par la Loi sur les ingénieurs, RLRQ, chapitre I-9 [18]. L’Ordre des ingénieurs du Québec rappelle que cette loi définit l’exercice de l’ingénierie, les activités réservées, les ouvrages auxquels elles se rapportent ainsi que certaines responsabilités professionnelles [19]. Elle s’inscrit dans la mission de protection du public du système professionnel québécois. Quatre dispositions concernent directement le projet.</w:t>
      </w:r>
      <w:bookmarkEnd w:id="260"/>
    </w:p>
    <w:p w14:paraId="18ADCF91" w14:textId="77777777" w:rsidR="00F50D70" w:rsidRPr="00BE4F47" w:rsidRDefault="00000000" w:rsidP="008E113B">
      <w:pPr>
        <w:pStyle w:val="Lgende"/>
        <w:spacing w:line="360" w:lineRule="auto"/>
        <w:rPr>
          <w:rFonts w:ascii="Aptos" w:hAnsi="Aptos"/>
        </w:rPr>
      </w:pPr>
      <w:bookmarkStart w:id="261" w:name="_Toc241082983"/>
      <w:r w:rsidRPr="00BE4F47">
        <w:rPr>
          <w:rFonts w:ascii="Aptos" w:hAnsi="Aptos"/>
        </w:rPr>
        <w:t>Tableau 6-1. Cadre législatif applicable</w:t>
      </w:r>
      <w:bookmarkEnd w:id="261"/>
    </w:p>
    <w:tbl>
      <w:tblPr>
        <w:tblpPr w:leftFromText="141" w:rightFromText="141" w:vertAnchor="text" w:horzAnchor="page" w:tblpX="2066" w:tblpY="230"/>
        <w:tblW w:w="8672" w:type="dxa"/>
        <w:tblLayout w:type="fixed"/>
        <w:tblCellMar>
          <w:top w:w="70" w:type="dxa"/>
          <w:left w:w="100" w:type="dxa"/>
          <w:bottom w:w="70" w:type="dxa"/>
          <w:right w:w="100" w:type="dxa"/>
        </w:tblCellMar>
        <w:tblLook w:val="04A0" w:firstRow="1" w:lastRow="0" w:firstColumn="1" w:lastColumn="0" w:noHBand="0" w:noVBand="1"/>
      </w:tblPr>
      <w:tblGrid>
        <w:gridCol w:w="1389"/>
        <w:gridCol w:w="3614"/>
        <w:gridCol w:w="3669"/>
      </w:tblGrid>
      <w:tr w:rsidR="00F50D70" w:rsidRPr="00BE4F47" w14:paraId="627670F0" w14:textId="77777777" w:rsidTr="0036725C">
        <w:trPr>
          <w:trHeight w:val="232"/>
          <w:tblHeader/>
        </w:trPr>
        <w:tc>
          <w:tcPr>
            <w:tcW w:w="1389"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5F00BB9A"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Disposition</w:t>
            </w:r>
          </w:p>
        </w:tc>
        <w:tc>
          <w:tcPr>
            <w:tcW w:w="3614"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3A29D930"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Portée</w:t>
            </w:r>
          </w:p>
        </w:tc>
        <w:tc>
          <w:tcPr>
            <w:tcW w:w="3669"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727DE2E5"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Lien avec le projet</w:t>
            </w:r>
          </w:p>
        </w:tc>
      </w:tr>
      <w:tr w:rsidR="00F50D70" w:rsidRPr="00BE4F47" w14:paraId="2D2230AA" w14:textId="77777777">
        <w:trPr>
          <w:cantSplit/>
          <w:trHeight w:val="621"/>
        </w:trPr>
        <w:tc>
          <w:tcPr>
            <w:tcW w:w="1389" w:type="dxa"/>
            <w:tcBorders>
              <w:top w:val="single" w:sz="4" w:space="0" w:color="000000"/>
              <w:left w:val="single" w:sz="4" w:space="0" w:color="000000"/>
              <w:bottom w:val="single" w:sz="4" w:space="0" w:color="000000"/>
              <w:right w:val="single" w:sz="4" w:space="0" w:color="000000"/>
            </w:tcBorders>
            <w:vAlign w:val="center"/>
          </w:tcPr>
          <w:p w14:paraId="74D789DD"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Article 2 (1°)</w:t>
            </w:r>
          </w:p>
        </w:tc>
        <w:tc>
          <w:tcPr>
            <w:tcW w:w="3614" w:type="dxa"/>
            <w:tcBorders>
              <w:top w:val="single" w:sz="4" w:space="0" w:color="000000"/>
              <w:left w:val="single" w:sz="4" w:space="0" w:color="000000"/>
              <w:bottom w:val="single" w:sz="4" w:space="0" w:color="000000"/>
              <w:right w:val="single" w:sz="4" w:space="0" w:color="000000"/>
            </w:tcBorders>
            <w:vAlign w:val="center"/>
          </w:tcPr>
          <w:p w14:paraId="0BD0EBF5"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Déterminer les concepts, les paramètres, les équations ou les modèles permettant d’anticiper le comportement des procédés ou des systèmes.</w:t>
            </w:r>
          </w:p>
        </w:tc>
        <w:tc>
          <w:tcPr>
            <w:tcW w:w="3669" w:type="dxa"/>
            <w:tcBorders>
              <w:top w:val="single" w:sz="4" w:space="0" w:color="000000"/>
              <w:left w:val="single" w:sz="4" w:space="0" w:color="000000"/>
              <w:bottom w:val="single" w:sz="4" w:space="0" w:color="000000"/>
              <w:right w:val="single" w:sz="4" w:space="0" w:color="000000"/>
            </w:tcBorders>
            <w:vAlign w:val="center"/>
          </w:tcPr>
          <w:p w14:paraId="68F8D577"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 xml:space="preserve">Modélisation de la boucle </w:t>
            </w:r>
            <w:proofErr w:type="spellStart"/>
            <w:r w:rsidRPr="00BE4F47">
              <w:rPr>
                <w:rFonts w:ascii="Aptos" w:eastAsia="Calibri" w:hAnsi="Aptos" w:cs="Calibri"/>
                <w:color w:val="1A1A19"/>
              </w:rPr>
              <w:t>thermohydraulique</w:t>
            </w:r>
            <w:proofErr w:type="spellEnd"/>
            <w:r w:rsidRPr="00BE4F47">
              <w:rPr>
                <w:rFonts w:ascii="Aptos" w:eastAsia="Calibri" w:hAnsi="Aptos" w:cs="Calibri"/>
                <w:color w:val="1A1A19"/>
              </w:rPr>
              <w:t>, définition de ses paramètres et construction du jumeau numérique.</w:t>
            </w:r>
          </w:p>
        </w:tc>
      </w:tr>
      <w:tr w:rsidR="00F50D70" w:rsidRPr="00BE4F47" w14:paraId="2C28A0E8" w14:textId="77777777">
        <w:trPr>
          <w:cantSplit/>
          <w:trHeight w:val="422"/>
        </w:trPr>
        <w:tc>
          <w:tcPr>
            <w:tcW w:w="1389" w:type="dxa"/>
            <w:tcBorders>
              <w:top w:val="single" w:sz="4" w:space="0" w:color="000000"/>
              <w:left w:val="single" w:sz="4" w:space="0" w:color="000000"/>
              <w:bottom w:val="single" w:sz="4" w:space="0" w:color="000000"/>
              <w:right w:val="single" w:sz="4" w:space="0" w:color="000000"/>
            </w:tcBorders>
            <w:vAlign w:val="center"/>
          </w:tcPr>
          <w:p w14:paraId="13B1BBF5"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Article 2 (2°)</w:t>
            </w:r>
          </w:p>
        </w:tc>
        <w:tc>
          <w:tcPr>
            <w:tcW w:w="3614" w:type="dxa"/>
            <w:tcBorders>
              <w:top w:val="single" w:sz="4" w:space="0" w:color="000000"/>
              <w:left w:val="single" w:sz="4" w:space="0" w:color="000000"/>
              <w:bottom w:val="single" w:sz="4" w:space="0" w:color="000000"/>
              <w:right w:val="single" w:sz="4" w:space="0" w:color="000000"/>
            </w:tcBorders>
            <w:vAlign w:val="center"/>
          </w:tcPr>
          <w:p w14:paraId="24846372"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Effectuer des essais ou des calculs nécessitant le recours à des modèles issus de principes d’ingénierie.</w:t>
            </w:r>
          </w:p>
        </w:tc>
        <w:tc>
          <w:tcPr>
            <w:tcW w:w="3669" w:type="dxa"/>
            <w:tcBorders>
              <w:top w:val="single" w:sz="4" w:space="0" w:color="000000"/>
              <w:left w:val="single" w:sz="4" w:space="0" w:color="000000"/>
              <w:bottom w:val="single" w:sz="4" w:space="0" w:color="000000"/>
              <w:right w:val="single" w:sz="4" w:space="0" w:color="000000"/>
            </w:tcBorders>
            <w:vAlign w:val="center"/>
          </w:tcPr>
          <w:p w14:paraId="05E7E429" w14:textId="77777777" w:rsidR="00F50D70" w:rsidRPr="00BE4F47" w:rsidRDefault="00000000" w:rsidP="008E113B">
            <w:pPr>
              <w:spacing w:before="20" w:after="20"/>
              <w:ind w:left="0"/>
              <w:outlineLvl w:val="9"/>
              <w:rPr>
                <w:rFonts w:ascii="Aptos" w:hAnsi="Aptos"/>
              </w:rPr>
            </w:pPr>
            <w:r w:rsidRPr="00BE4F47">
              <w:rPr>
                <w:rFonts w:ascii="Aptos" w:eastAsia="Calibri" w:hAnsi="Aptos" w:cs="Calibri"/>
                <w:color w:val="1A1A19"/>
              </w:rPr>
              <w:t>Simulations, calculs, injection d’anomalies et campagne de vérification et de validation.</w:t>
            </w:r>
          </w:p>
        </w:tc>
      </w:tr>
      <w:tr w:rsidR="00F50D70" w:rsidRPr="00BE4F47" w14:paraId="382289CD" w14:textId="77777777">
        <w:trPr>
          <w:cantSplit/>
          <w:trHeight w:val="432"/>
        </w:trPr>
        <w:tc>
          <w:tcPr>
            <w:tcW w:w="1389" w:type="dxa"/>
            <w:tcBorders>
              <w:top w:val="single" w:sz="4" w:space="0" w:color="000000"/>
              <w:left w:val="single" w:sz="4" w:space="0" w:color="000000"/>
              <w:bottom w:val="single" w:sz="4" w:space="0" w:color="000000"/>
              <w:right w:val="single" w:sz="4" w:space="0" w:color="000000"/>
            </w:tcBorders>
            <w:vAlign w:val="center"/>
          </w:tcPr>
          <w:p w14:paraId="2DB1BDF9"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Article 2 (6°)</w:t>
            </w:r>
          </w:p>
        </w:tc>
        <w:tc>
          <w:tcPr>
            <w:tcW w:w="3614" w:type="dxa"/>
            <w:tcBorders>
              <w:top w:val="single" w:sz="4" w:space="0" w:color="000000"/>
              <w:left w:val="single" w:sz="4" w:space="0" w:color="000000"/>
              <w:bottom w:val="single" w:sz="4" w:space="0" w:color="000000"/>
              <w:right w:val="single" w:sz="4" w:space="0" w:color="000000"/>
            </w:tcBorders>
            <w:vAlign w:val="center"/>
          </w:tcPr>
          <w:p w14:paraId="16D1BD32"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Donner un avis relatif à une activité professionnelle d’ingénierie.</w:t>
            </w:r>
          </w:p>
        </w:tc>
        <w:tc>
          <w:tcPr>
            <w:tcW w:w="3669" w:type="dxa"/>
            <w:tcBorders>
              <w:top w:val="single" w:sz="4" w:space="0" w:color="000000"/>
              <w:left w:val="single" w:sz="4" w:space="0" w:color="000000"/>
              <w:bottom w:val="single" w:sz="4" w:space="0" w:color="000000"/>
              <w:right w:val="single" w:sz="4" w:space="0" w:color="000000"/>
            </w:tcBorders>
            <w:vAlign w:val="center"/>
          </w:tcPr>
          <w:p w14:paraId="0753E270"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Analyse des résultats, interprétation et recommandation d’ingénierie remise en fin de projet.</w:t>
            </w:r>
          </w:p>
        </w:tc>
      </w:tr>
      <w:tr w:rsidR="00F50D70" w:rsidRPr="00BE4F47" w14:paraId="6390FD1A" w14:textId="77777777">
        <w:trPr>
          <w:cantSplit/>
          <w:trHeight w:val="989"/>
        </w:trPr>
        <w:tc>
          <w:tcPr>
            <w:tcW w:w="1389" w:type="dxa"/>
            <w:tcBorders>
              <w:top w:val="single" w:sz="4" w:space="0" w:color="000000"/>
              <w:left w:val="single" w:sz="4" w:space="0" w:color="000000"/>
              <w:bottom w:val="single" w:sz="4" w:space="0" w:color="000000"/>
              <w:right w:val="single" w:sz="4" w:space="0" w:color="000000"/>
            </w:tcBorders>
            <w:vAlign w:val="center"/>
          </w:tcPr>
          <w:p w14:paraId="200D5045"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Article 3 (3°)</w:t>
            </w:r>
          </w:p>
        </w:tc>
        <w:tc>
          <w:tcPr>
            <w:tcW w:w="3614" w:type="dxa"/>
            <w:tcBorders>
              <w:top w:val="single" w:sz="4" w:space="0" w:color="000000"/>
              <w:left w:val="single" w:sz="4" w:space="0" w:color="000000"/>
              <w:bottom w:val="single" w:sz="4" w:space="0" w:color="000000"/>
              <w:right w:val="single" w:sz="4" w:space="0" w:color="000000"/>
            </w:tcBorders>
            <w:vAlign w:val="center"/>
          </w:tcPr>
          <w:p w14:paraId="39CD35E4" w14:textId="77777777" w:rsidR="00F50D70" w:rsidRPr="00BE4F47" w:rsidRDefault="00000000" w:rsidP="008E113B">
            <w:pPr>
              <w:spacing w:before="20" w:after="20"/>
              <w:ind w:left="0"/>
              <w:outlineLvl w:val="9"/>
              <w:rPr>
                <w:rFonts w:ascii="Aptos" w:hAnsi="Aptos"/>
              </w:rPr>
            </w:pPr>
            <w:r w:rsidRPr="00BE4F47">
              <w:rPr>
                <w:rFonts w:ascii="Aptos" w:eastAsia="Calibri" w:hAnsi="Aptos" w:cs="Calibri"/>
                <w:color w:val="1A1A19"/>
              </w:rPr>
              <w:t xml:space="preserve">Système de génération, d’accumulation, de transmission, d’utilisation ou de distribution d’énergie sous forme électrique, mécanique ou thermique, à l’exclusion d’un système dont le dysfonctionnement ne présente pas </w:t>
            </w:r>
            <w:r w:rsidRPr="00BE4F47">
              <w:rPr>
                <w:rFonts w:ascii="Aptos" w:eastAsia="Calibri" w:hAnsi="Aptos" w:cs="Calibri"/>
                <w:color w:val="1A1A19"/>
              </w:rPr>
              <w:lastRenderedPageBreak/>
              <w:t>de risque pour la sécurité des personnes.</w:t>
            </w:r>
          </w:p>
        </w:tc>
        <w:tc>
          <w:tcPr>
            <w:tcW w:w="3669" w:type="dxa"/>
            <w:tcBorders>
              <w:top w:val="single" w:sz="4" w:space="0" w:color="000000"/>
              <w:left w:val="single" w:sz="4" w:space="0" w:color="000000"/>
              <w:bottom w:val="single" w:sz="4" w:space="0" w:color="000000"/>
              <w:right w:val="single" w:sz="4" w:space="0" w:color="000000"/>
            </w:tcBorders>
            <w:vAlign w:val="center"/>
          </w:tcPr>
          <w:p w14:paraId="109948F8"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lastRenderedPageBreak/>
              <w:t xml:space="preserve">Boucle </w:t>
            </w:r>
            <w:proofErr w:type="spellStart"/>
            <w:r w:rsidRPr="00BE4F47">
              <w:rPr>
                <w:rFonts w:ascii="Aptos" w:eastAsia="Calibri" w:hAnsi="Aptos" w:cs="Calibri"/>
                <w:color w:val="1A1A19"/>
              </w:rPr>
              <w:t>thermohydraulique</w:t>
            </w:r>
            <w:proofErr w:type="spellEnd"/>
            <w:r w:rsidRPr="00BE4F47">
              <w:rPr>
                <w:rFonts w:ascii="Aptos" w:eastAsia="Calibri" w:hAnsi="Aptos" w:cs="Calibri"/>
                <w:color w:val="1A1A19"/>
              </w:rPr>
              <w:t xml:space="preserve"> : les phénomènes thermiques et mécaniques constituent le cœur du modèle. Applicabilité discutée en 5.1.1.</w:t>
            </w:r>
          </w:p>
        </w:tc>
      </w:tr>
    </w:tbl>
    <w:p w14:paraId="4C4AB253" w14:textId="77777777" w:rsidR="00F50D70" w:rsidRPr="00BE4F47" w:rsidRDefault="00F50D70" w:rsidP="008E113B">
      <w:pPr>
        <w:spacing w:line="360" w:lineRule="auto"/>
        <w:ind w:left="720"/>
        <w:rPr>
          <w:rFonts w:ascii="Aptos" w:hAnsi="Aptos" w:cs="Calibri"/>
        </w:rPr>
      </w:pPr>
    </w:p>
    <w:p w14:paraId="68A7F8DC" w14:textId="77777777" w:rsidR="00F50D70" w:rsidRPr="00BE4F47" w:rsidRDefault="00F50D70" w:rsidP="008E113B">
      <w:pPr>
        <w:spacing w:line="360" w:lineRule="auto"/>
        <w:ind w:left="720"/>
        <w:rPr>
          <w:rFonts w:ascii="Aptos" w:hAnsi="Aptos" w:cs="Calibri"/>
        </w:rPr>
      </w:pPr>
    </w:p>
    <w:p w14:paraId="0F03008B" w14:textId="77777777" w:rsidR="00F50D70" w:rsidRPr="00BE4F47" w:rsidRDefault="00F50D70" w:rsidP="008E113B">
      <w:pPr>
        <w:spacing w:line="360" w:lineRule="auto"/>
        <w:ind w:left="720"/>
        <w:rPr>
          <w:rFonts w:ascii="Aptos" w:hAnsi="Aptos" w:cs="Calibri"/>
        </w:rPr>
      </w:pPr>
    </w:p>
    <w:p w14:paraId="01388833" w14:textId="77777777" w:rsidR="00F50D70" w:rsidRPr="00BE4F47" w:rsidRDefault="00000000" w:rsidP="008E113B">
      <w:pPr>
        <w:pStyle w:val="Titre3"/>
        <w:spacing w:line="360" w:lineRule="auto"/>
        <w:rPr>
          <w:rFonts w:ascii="Aptos" w:hAnsi="Aptos"/>
        </w:rPr>
      </w:pPr>
      <w:r w:rsidRPr="00BE4F47">
        <w:rPr>
          <w:rFonts w:ascii="Aptos" w:eastAsia="Times" w:hAnsi="Aptos"/>
        </w:rPr>
        <w:t xml:space="preserve"> </w:t>
      </w:r>
      <w:bookmarkStart w:id="262" w:name="__RefHeading___Toc240715197"/>
      <w:bookmarkStart w:id="263" w:name="_Toc241082984"/>
      <w:r w:rsidRPr="00BE4F47">
        <w:rPr>
          <w:rFonts w:ascii="Aptos" w:hAnsi="Aptos"/>
        </w:rPr>
        <w:t>Applicabilité de l’article 3 (3</w:t>
      </w:r>
      <w:r w:rsidRPr="00BE4F47">
        <w:rPr>
          <w:rFonts w:ascii="Aptos" w:hAnsi="Aptos"/>
          <w:vertAlign w:val="superscript"/>
        </w:rPr>
        <w:t>0</w:t>
      </w:r>
      <w:r w:rsidRPr="00BE4F47">
        <w:rPr>
          <w:rFonts w:ascii="Aptos" w:hAnsi="Aptos"/>
        </w:rPr>
        <w:t>) et portée de la clause d’exclusion</w:t>
      </w:r>
      <w:bookmarkEnd w:id="262"/>
      <w:bookmarkEnd w:id="263"/>
    </w:p>
    <w:p w14:paraId="70CDCCBD" w14:textId="77777777" w:rsidR="00F50D70" w:rsidRPr="00BE4F47" w:rsidRDefault="00F50D70" w:rsidP="008E113B">
      <w:pPr>
        <w:spacing w:line="360" w:lineRule="auto"/>
        <w:ind w:left="1224"/>
        <w:rPr>
          <w:rFonts w:ascii="Aptos" w:hAnsi="Aptos" w:cs="Calibri"/>
        </w:rPr>
      </w:pPr>
    </w:p>
    <w:p w14:paraId="2234620E" w14:textId="77777777" w:rsidR="00F50D70" w:rsidRPr="00BE4F47" w:rsidRDefault="00000000" w:rsidP="008E113B">
      <w:pPr>
        <w:spacing w:line="360" w:lineRule="auto"/>
        <w:ind w:left="720"/>
        <w:rPr>
          <w:rFonts w:ascii="Aptos" w:hAnsi="Aptos"/>
        </w:rPr>
      </w:pPr>
      <w:bookmarkStart w:id="264" w:name="_Toc241082985"/>
      <w:r w:rsidRPr="00BE4F47">
        <w:rPr>
          <w:rFonts w:ascii="Aptos" w:eastAsia="Calibri" w:hAnsi="Aptos" w:cs="Calibri"/>
          <w:color w:val="1A1A19"/>
          <w:sz w:val="20"/>
          <w:szCs w:val="20"/>
        </w:rPr>
        <w:t>L’article 3 (3) ne s’applique qu’à deux conditions cumulatives : le système doit appartenir à la catégorie décrite, et la clause d’exclusion finale ne doit pas jouer.</w:t>
      </w:r>
      <w:bookmarkEnd w:id="264"/>
    </w:p>
    <w:p w14:paraId="4EA2679C" w14:textId="77777777" w:rsidR="00F50D70" w:rsidRPr="00BE4F47" w:rsidRDefault="00000000" w:rsidP="008E113B">
      <w:pPr>
        <w:spacing w:line="360" w:lineRule="auto"/>
        <w:ind w:left="720"/>
        <w:rPr>
          <w:rFonts w:ascii="Aptos" w:hAnsi="Aptos" w:cs="Calibri"/>
        </w:rPr>
      </w:pPr>
      <w:bookmarkStart w:id="265" w:name="_Toc241082986"/>
      <w:r w:rsidRPr="00BE4F47">
        <w:rPr>
          <w:rFonts w:ascii="Aptos" w:eastAsia="Calibri" w:hAnsi="Aptos" w:cs="Calibri"/>
          <w:b/>
          <w:bCs/>
          <w:color w:val="1A1A19"/>
          <w:sz w:val="20"/>
          <w:szCs w:val="20"/>
        </w:rPr>
        <w:t xml:space="preserve">Première condition : appartenance à la catégorie . </w:t>
      </w:r>
      <w:r w:rsidRPr="00BE4F47">
        <w:rPr>
          <w:rFonts w:ascii="Aptos" w:eastAsia="Calibri" w:hAnsi="Aptos" w:cs="Calibri"/>
          <w:color w:val="1A1A19"/>
          <w:sz w:val="20"/>
          <w:szCs w:val="20"/>
        </w:rPr>
        <w:t xml:space="preserve">Le texte vise l’énergie « sous forme électrique » [--].La boucle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est un système d’utilisation et de transmission d’énergie thermique et mécanique : la mention explicite de ces deux formes d’énergie suffit à établir l’appartenance, sans avoir à invoquer une quelconque composante électrique.</w:t>
      </w:r>
      <w:bookmarkEnd w:id="265"/>
    </w:p>
    <w:p w14:paraId="476DB22C" w14:textId="77777777" w:rsidR="00F50D70" w:rsidRPr="00BE4F47" w:rsidRDefault="00000000" w:rsidP="008E113B">
      <w:pPr>
        <w:spacing w:line="360" w:lineRule="auto"/>
        <w:ind w:left="720"/>
        <w:rPr>
          <w:rFonts w:ascii="Aptos" w:hAnsi="Aptos"/>
        </w:rPr>
      </w:pPr>
      <w:bookmarkStart w:id="266" w:name="_Toc241082987"/>
      <w:r w:rsidRPr="00BE4F47">
        <w:rPr>
          <w:rFonts w:ascii="Aptos" w:eastAsia="Calibri" w:hAnsi="Aptos" w:cs="Calibri"/>
          <w:b/>
          <w:bCs/>
          <w:color w:val="1A1A19"/>
          <w:sz w:val="20"/>
          <w:szCs w:val="20"/>
        </w:rPr>
        <w:t>Seconde condition : La clause d’exclusion</w:t>
      </w:r>
      <w:r w:rsidRPr="00BE4F47">
        <w:rPr>
          <w:rFonts w:ascii="Aptos" w:eastAsia="Calibri" w:hAnsi="Aptos" w:cs="Calibri"/>
          <w:color w:val="1A1A19"/>
          <w:sz w:val="20"/>
          <w:szCs w:val="20"/>
        </w:rPr>
        <w:t xml:space="preserve"> . Le législateur écarte les systèmes « dont le dysfonctionnement ne présente pas de risque pour la sécurité des personnes ». Il faut donc démontrer que le dysfonctionnement du système conçu présente un tel risque. Le jumeau numérique ne commande aucun équipement, mais il produit une estimation de l’état de l’installation sur laquelle un opérateur fonde une décision. Trois modes de dysfonctionnement conduisent à un risque pour les personnes : une anomalie réelle non détectée, présentée comme un fonctionnement normal ; une estimation d’état erronée provenant d’un capteur défaillant ou de données altérées ; et l’indisponibilité du système à un moment où l’opérateur s’attend à en disposer. Dans les trois cas, la défaillance se propage à la décision humaine et, de là, à la sécurité des personnes. La clause d’exclusion ne s’applique donc pas.</w:t>
      </w:r>
      <w:bookmarkEnd w:id="266"/>
    </w:p>
    <w:p w14:paraId="56592E68" w14:textId="77777777" w:rsidR="00F50D70" w:rsidRPr="00BE4F47" w:rsidRDefault="00F50D70" w:rsidP="008E113B">
      <w:pPr>
        <w:spacing w:line="360" w:lineRule="auto"/>
        <w:ind w:left="1224"/>
        <w:rPr>
          <w:rFonts w:ascii="Aptos" w:hAnsi="Aptos" w:cs="Calibri"/>
        </w:rPr>
      </w:pPr>
    </w:p>
    <w:p w14:paraId="36561F41" w14:textId="77777777" w:rsidR="00F50D70" w:rsidRPr="00B03F2E" w:rsidRDefault="00000000" w:rsidP="008E113B">
      <w:pPr>
        <w:pStyle w:val="Titre2"/>
        <w:spacing w:line="360" w:lineRule="auto"/>
      </w:pPr>
      <w:bookmarkStart w:id="267" w:name="__RefHeading___Toc240715201"/>
      <w:bookmarkStart w:id="268" w:name="_Toc241082988"/>
      <w:bookmarkEnd w:id="267"/>
      <w:r w:rsidRPr="00B03F2E">
        <w:t>Cadre règlementaire</w:t>
      </w:r>
      <w:bookmarkEnd w:id="268"/>
    </w:p>
    <w:p w14:paraId="20F9C16E" w14:textId="77777777" w:rsidR="00F50D70" w:rsidRPr="00BE4F47" w:rsidRDefault="00F50D70" w:rsidP="008E113B">
      <w:pPr>
        <w:spacing w:line="360" w:lineRule="auto"/>
        <w:ind w:left="720"/>
        <w:rPr>
          <w:rFonts w:ascii="Aptos" w:hAnsi="Aptos" w:cs="Calibri"/>
        </w:rPr>
      </w:pPr>
    </w:p>
    <w:p w14:paraId="287E5102" w14:textId="77777777" w:rsidR="00F50D70" w:rsidRPr="00BE4F47" w:rsidRDefault="00000000" w:rsidP="008E113B">
      <w:pPr>
        <w:spacing w:line="360" w:lineRule="auto"/>
        <w:ind w:left="360"/>
        <w:rPr>
          <w:rFonts w:ascii="Aptos" w:hAnsi="Aptos"/>
        </w:rPr>
      </w:pPr>
      <w:bookmarkStart w:id="269" w:name="_Toc241082989"/>
      <w:r w:rsidRPr="00BE4F47">
        <w:rPr>
          <w:rFonts w:ascii="Aptos" w:eastAsia="Calibri" w:hAnsi="Aptos" w:cs="Calibri"/>
          <w:color w:val="1A1A19"/>
          <w:sz w:val="20"/>
          <w:szCs w:val="20"/>
        </w:rPr>
        <w:t>Même si le prototype reste entièrement simulé, le cadre réglementaire des installations nucléaires détermine les attentes envers un système réel de même fonction. La Loi sur la sûreté et la réglementation nucléaires [20] en constitue la base, mise en œuvre par le Règlement général [21] et, pour les centrales, par le Règlement sur les installations nucléaires de catégorie I [22].</w:t>
      </w:r>
      <w:bookmarkEnd w:id="269"/>
    </w:p>
    <w:p w14:paraId="10F68E79" w14:textId="77777777" w:rsidR="00F50D70" w:rsidRPr="00BE4F47" w:rsidRDefault="00F50D70" w:rsidP="008E113B">
      <w:pPr>
        <w:spacing w:line="360" w:lineRule="auto"/>
        <w:ind w:left="360"/>
        <w:rPr>
          <w:rFonts w:ascii="Aptos" w:hAnsi="Aptos" w:cs="Calibri"/>
        </w:rPr>
      </w:pPr>
    </w:p>
    <w:p w14:paraId="5DC47C24" w14:textId="77777777" w:rsidR="00F50D70" w:rsidRPr="00BE4F47" w:rsidRDefault="00000000" w:rsidP="008E113B">
      <w:pPr>
        <w:spacing w:after="130" w:line="360" w:lineRule="auto"/>
        <w:ind w:left="360"/>
        <w:rPr>
          <w:rFonts w:ascii="Aptos" w:hAnsi="Aptos"/>
        </w:rPr>
      </w:pPr>
      <w:bookmarkStart w:id="270" w:name="_Toc241082990"/>
      <w:r w:rsidRPr="00BE4F47">
        <w:rPr>
          <w:rFonts w:ascii="Aptos" w:eastAsia="Calibri" w:hAnsi="Aptos" w:cs="Calibri"/>
          <w:color w:val="1A1A19"/>
          <w:sz w:val="20"/>
          <w:szCs w:val="20"/>
        </w:rPr>
        <w:t xml:space="preserve">Ces textes sont toutefois des instruments de portée générale. Les attentes techniques de la Commission canadienne de sûreté nucléaire s’expriment dans ses documents d’application. Deux </w:t>
      </w:r>
      <w:r w:rsidRPr="00BE4F47">
        <w:rPr>
          <w:rFonts w:ascii="Aptos" w:eastAsia="Calibri" w:hAnsi="Aptos" w:cs="Calibri"/>
          <w:color w:val="1A1A19"/>
          <w:sz w:val="20"/>
          <w:szCs w:val="20"/>
        </w:rPr>
        <w:lastRenderedPageBreak/>
        <w:t>d’entre eux concernent directement le projet, et c’est par les conditions de permis qu’ils rendent opposables des normes comme CSA N290.7 [23].</w:t>
      </w:r>
      <w:bookmarkEnd w:id="270"/>
    </w:p>
    <w:p w14:paraId="55DB5628" w14:textId="77777777" w:rsidR="00F50D70" w:rsidRPr="00BE4F47" w:rsidRDefault="00000000" w:rsidP="008E113B">
      <w:pPr>
        <w:pStyle w:val="Lgende"/>
        <w:spacing w:line="360" w:lineRule="auto"/>
        <w:rPr>
          <w:rFonts w:ascii="Aptos" w:hAnsi="Aptos"/>
        </w:rPr>
      </w:pPr>
      <w:bookmarkStart w:id="271" w:name="_Toc241082991"/>
      <w:r w:rsidRPr="00BE4F47">
        <w:rPr>
          <w:rFonts w:ascii="Aptos" w:hAnsi="Aptos"/>
        </w:rPr>
        <w:t>Tableau 6-2. Cadre réglementaire applicable</w:t>
      </w:r>
      <w:bookmarkEnd w:id="271"/>
    </w:p>
    <w:tbl>
      <w:tblPr>
        <w:tblW w:w="8449" w:type="dxa"/>
        <w:tblInd w:w="526" w:type="dxa"/>
        <w:tblLayout w:type="fixed"/>
        <w:tblCellMar>
          <w:top w:w="70" w:type="dxa"/>
          <w:left w:w="100" w:type="dxa"/>
          <w:bottom w:w="70" w:type="dxa"/>
          <w:right w:w="100" w:type="dxa"/>
        </w:tblCellMar>
        <w:tblLook w:val="04A0" w:firstRow="1" w:lastRow="0" w:firstColumn="1" w:lastColumn="0" w:noHBand="0" w:noVBand="1"/>
      </w:tblPr>
      <w:tblGrid>
        <w:gridCol w:w="2063"/>
        <w:gridCol w:w="3068"/>
        <w:gridCol w:w="3318"/>
      </w:tblGrid>
      <w:tr w:rsidR="00F50D70" w:rsidRPr="00BE4F47" w14:paraId="309F36E7" w14:textId="77777777" w:rsidTr="0036725C">
        <w:trPr>
          <w:trHeight w:val="249"/>
          <w:tblHeader/>
        </w:trPr>
        <w:tc>
          <w:tcPr>
            <w:tcW w:w="2063"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5A8517A5"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Référence</w:t>
            </w:r>
          </w:p>
        </w:tc>
        <w:tc>
          <w:tcPr>
            <w:tcW w:w="3068"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3EE8E9FC"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Objet</w:t>
            </w:r>
          </w:p>
        </w:tc>
        <w:tc>
          <w:tcPr>
            <w:tcW w:w="3318"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0865489C"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Lien avec le projet</w:t>
            </w:r>
          </w:p>
        </w:tc>
      </w:tr>
      <w:tr w:rsidR="00F50D70" w:rsidRPr="00BE4F47" w14:paraId="3B4CCFE4" w14:textId="77777777">
        <w:trPr>
          <w:cantSplit/>
          <w:trHeight w:val="462"/>
        </w:trPr>
        <w:tc>
          <w:tcPr>
            <w:tcW w:w="2063" w:type="dxa"/>
            <w:tcBorders>
              <w:top w:val="single" w:sz="4" w:space="0" w:color="000000"/>
              <w:left w:val="single" w:sz="4" w:space="0" w:color="000000"/>
              <w:bottom w:val="single" w:sz="4" w:space="0" w:color="000000"/>
              <w:right w:val="single" w:sz="4" w:space="0" w:color="000000"/>
            </w:tcBorders>
            <w:vAlign w:val="center"/>
          </w:tcPr>
          <w:p w14:paraId="670A1887"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Loi sur la sûreté et la réglementation nucléaires [20]</w:t>
            </w:r>
          </w:p>
        </w:tc>
        <w:tc>
          <w:tcPr>
            <w:tcW w:w="3068" w:type="dxa"/>
            <w:tcBorders>
              <w:top w:val="single" w:sz="4" w:space="0" w:color="000000"/>
              <w:left w:val="single" w:sz="4" w:space="0" w:color="000000"/>
              <w:bottom w:val="single" w:sz="4" w:space="0" w:color="000000"/>
              <w:right w:val="single" w:sz="4" w:space="0" w:color="000000"/>
            </w:tcBorders>
            <w:vAlign w:val="center"/>
          </w:tcPr>
          <w:p w14:paraId="095BE05E"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Cadre fédéral applicable aux activités et installations nucléaires.</w:t>
            </w:r>
          </w:p>
        </w:tc>
        <w:tc>
          <w:tcPr>
            <w:tcW w:w="3318" w:type="dxa"/>
            <w:tcBorders>
              <w:top w:val="single" w:sz="4" w:space="0" w:color="000000"/>
              <w:left w:val="single" w:sz="4" w:space="0" w:color="000000"/>
              <w:bottom w:val="single" w:sz="4" w:space="0" w:color="000000"/>
              <w:right w:val="single" w:sz="4" w:space="0" w:color="000000"/>
            </w:tcBorders>
            <w:vAlign w:val="center"/>
          </w:tcPr>
          <w:p w14:paraId="24BB2A27"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Établit le contexte de sûreté, de responsabilité et de protection du public.</w:t>
            </w:r>
          </w:p>
        </w:tc>
      </w:tr>
      <w:tr w:rsidR="00F50D70" w:rsidRPr="00BE4F47" w14:paraId="36BED27A" w14:textId="77777777">
        <w:trPr>
          <w:cantSplit/>
          <w:trHeight w:val="652"/>
        </w:trPr>
        <w:tc>
          <w:tcPr>
            <w:tcW w:w="2063" w:type="dxa"/>
            <w:tcBorders>
              <w:top w:val="single" w:sz="4" w:space="0" w:color="000000"/>
              <w:left w:val="single" w:sz="4" w:space="0" w:color="000000"/>
              <w:bottom w:val="single" w:sz="4" w:space="0" w:color="000000"/>
              <w:right w:val="single" w:sz="4" w:space="0" w:color="000000"/>
            </w:tcBorders>
            <w:vAlign w:val="center"/>
          </w:tcPr>
          <w:p w14:paraId="0CD040BD"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Règlement général sur la sûreté et la réglementation nucléaires [21]</w:t>
            </w:r>
          </w:p>
        </w:tc>
        <w:tc>
          <w:tcPr>
            <w:tcW w:w="3068" w:type="dxa"/>
            <w:tcBorders>
              <w:top w:val="single" w:sz="4" w:space="0" w:color="000000"/>
              <w:left w:val="single" w:sz="4" w:space="0" w:color="000000"/>
              <w:bottom w:val="single" w:sz="4" w:space="0" w:color="000000"/>
              <w:right w:val="single" w:sz="4" w:space="0" w:color="000000"/>
            </w:tcBorders>
            <w:vAlign w:val="center"/>
          </w:tcPr>
          <w:p w14:paraId="2C503D25"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Exigences générales applicables aux activités réglementées et aux titulaires de permis.</w:t>
            </w:r>
          </w:p>
        </w:tc>
        <w:tc>
          <w:tcPr>
            <w:tcW w:w="3318" w:type="dxa"/>
            <w:tcBorders>
              <w:top w:val="single" w:sz="4" w:space="0" w:color="000000"/>
              <w:left w:val="single" w:sz="4" w:space="0" w:color="000000"/>
              <w:bottom w:val="single" w:sz="4" w:space="0" w:color="000000"/>
              <w:right w:val="single" w:sz="4" w:space="0" w:color="000000"/>
            </w:tcBorders>
            <w:vAlign w:val="center"/>
          </w:tcPr>
          <w:p w14:paraId="1D468DE9" w14:textId="77777777" w:rsidR="00F50D70" w:rsidRPr="00BE4F47" w:rsidRDefault="00000000" w:rsidP="008E113B">
            <w:pPr>
              <w:spacing w:before="20" w:after="20"/>
              <w:ind w:left="0"/>
              <w:outlineLvl w:val="9"/>
              <w:rPr>
                <w:rFonts w:ascii="Aptos" w:hAnsi="Aptos"/>
              </w:rPr>
            </w:pPr>
            <w:r w:rsidRPr="00BE4F47">
              <w:rPr>
                <w:rFonts w:ascii="Aptos" w:eastAsia="Calibri" w:hAnsi="Aptos" w:cs="Calibri"/>
                <w:color w:val="1A1A19"/>
              </w:rPr>
              <w:t>Fonde les exigences de documentation, de traçabilité et de gestion de l’information du projet.</w:t>
            </w:r>
          </w:p>
        </w:tc>
      </w:tr>
      <w:tr w:rsidR="00F50D70" w:rsidRPr="00BE4F47" w14:paraId="5B1B3F21" w14:textId="77777777">
        <w:trPr>
          <w:cantSplit/>
          <w:trHeight w:val="664"/>
        </w:trPr>
        <w:tc>
          <w:tcPr>
            <w:tcW w:w="2063" w:type="dxa"/>
            <w:tcBorders>
              <w:top w:val="single" w:sz="4" w:space="0" w:color="000000"/>
              <w:left w:val="single" w:sz="4" w:space="0" w:color="000000"/>
              <w:bottom w:val="single" w:sz="4" w:space="0" w:color="000000"/>
              <w:right w:val="single" w:sz="4" w:space="0" w:color="000000"/>
            </w:tcBorders>
            <w:vAlign w:val="center"/>
          </w:tcPr>
          <w:p w14:paraId="519D59F3"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Règlement sur les installations nucléaires de catégorie I [22]</w:t>
            </w:r>
          </w:p>
        </w:tc>
        <w:tc>
          <w:tcPr>
            <w:tcW w:w="3068" w:type="dxa"/>
            <w:tcBorders>
              <w:top w:val="single" w:sz="4" w:space="0" w:color="000000"/>
              <w:left w:val="single" w:sz="4" w:space="0" w:color="000000"/>
              <w:bottom w:val="single" w:sz="4" w:space="0" w:color="000000"/>
              <w:right w:val="single" w:sz="4" w:space="0" w:color="000000"/>
            </w:tcBorders>
            <w:vAlign w:val="center"/>
          </w:tcPr>
          <w:p w14:paraId="1C90B1FF"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Encadre les phases de vie d’une installation de catégorie I, y compris l’examen périodique de sûreté.</w:t>
            </w:r>
          </w:p>
        </w:tc>
        <w:tc>
          <w:tcPr>
            <w:tcW w:w="3318" w:type="dxa"/>
            <w:tcBorders>
              <w:top w:val="single" w:sz="4" w:space="0" w:color="000000"/>
              <w:left w:val="single" w:sz="4" w:space="0" w:color="000000"/>
              <w:bottom w:val="single" w:sz="4" w:space="0" w:color="000000"/>
              <w:right w:val="single" w:sz="4" w:space="0" w:color="000000"/>
            </w:tcBorders>
            <w:vAlign w:val="center"/>
          </w:tcPr>
          <w:p w14:paraId="76093AA2"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Replace le jumeau numérique dans un cycle de vie : exploitation, surveillance, validation, déclassement.</w:t>
            </w:r>
          </w:p>
        </w:tc>
      </w:tr>
      <w:tr w:rsidR="00F50D70" w:rsidRPr="00BE4F47" w14:paraId="0925DFA9" w14:textId="77777777">
        <w:trPr>
          <w:cantSplit/>
          <w:trHeight w:val="652"/>
        </w:trPr>
        <w:tc>
          <w:tcPr>
            <w:tcW w:w="2063" w:type="dxa"/>
            <w:tcBorders>
              <w:top w:val="single" w:sz="4" w:space="0" w:color="000000"/>
              <w:left w:val="single" w:sz="4" w:space="0" w:color="000000"/>
              <w:bottom w:val="single" w:sz="4" w:space="0" w:color="000000"/>
              <w:right w:val="single" w:sz="4" w:space="0" w:color="000000"/>
            </w:tcBorders>
            <w:vAlign w:val="center"/>
          </w:tcPr>
          <w:p w14:paraId="3F51AC94"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REGDOC-2.5.2, Conception d’installations dotées de réacteurs [1]</w:t>
            </w:r>
          </w:p>
        </w:tc>
        <w:tc>
          <w:tcPr>
            <w:tcW w:w="3068" w:type="dxa"/>
            <w:tcBorders>
              <w:top w:val="single" w:sz="4" w:space="0" w:color="000000"/>
              <w:left w:val="single" w:sz="4" w:space="0" w:color="000000"/>
              <w:bottom w:val="single" w:sz="4" w:space="0" w:color="000000"/>
              <w:right w:val="single" w:sz="4" w:space="0" w:color="000000"/>
            </w:tcBorders>
            <w:vAlign w:val="center"/>
          </w:tcPr>
          <w:p w14:paraId="3B569091"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Attentes de conception, dont celles visant l’instrumentation et le contrôle.</w:t>
            </w:r>
          </w:p>
        </w:tc>
        <w:tc>
          <w:tcPr>
            <w:tcW w:w="3318" w:type="dxa"/>
            <w:tcBorders>
              <w:top w:val="single" w:sz="4" w:space="0" w:color="000000"/>
              <w:left w:val="single" w:sz="4" w:space="0" w:color="000000"/>
              <w:bottom w:val="single" w:sz="4" w:space="0" w:color="000000"/>
              <w:right w:val="single" w:sz="4" w:space="0" w:color="000000"/>
            </w:tcBorders>
            <w:vAlign w:val="center"/>
          </w:tcPr>
          <w:p w14:paraId="02F4EC9C"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Source des attentes envers un système d’aide à la décision raccordé à une installation réelle.</w:t>
            </w:r>
          </w:p>
        </w:tc>
      </w:tr>
      <w:tr w:rsidR="00F50D70" w:rsidRPr="00BE4F47" w14:paraId="0368DC50" w14:textId="77777777">
        <w:trPr>
          <w:cantSplit/>
          <w:trHeight w:val="450"/>
        </w:trPr>
        <w:tc>
          <w:tcPr>
            <w:tcW w:w="2063" w:type="dxa"/>
            <w:tcBorders>
              <w:top w:val="single" w:sz="4" w:space="0" w:color="000000"/>
              <w:left w:val="single" w:sz="4" w:space="0" w:color="000000"/>
              <w:bottom w:val="single" w:sz="4" w:space="0" w:color="000000"/>
              <w:right w:val="single" w:sz="4" w:space="0" w:color="000000"/>
            </w:tcBorders>
            <w:vAlign w:val="center"/>
          </w:tcPr>
          <w:p w14:paraId="0D0218B6"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REGDOC-2.1.1, Système de gestion [1]</w:t>
            </w:r>
          </w:p>
        </w:tc>
        <w:tc>
          <w:tcPr>
            <w:tcW w:w="3068" w:type="dxa"/>
            <w:tcBorders>
              <w:top w:val="single" w:sz="4" w:space="0" w:color="000000"/>
              <w:left w:val="single" w:sz="4" w:space="0" w:color="000000"/>
              <w:bottom w:val="single" w:sz="4" w:space="0" w:color="000000"/>
              <w:right w:val="single" w:sz="4" w:space="0" w:color="000000"/>
            </w:tcBorders>
            <w:vAlign w:val="center"/>
          </w:tcPr>
          <w:p w14:paraId="247ABF13"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Exigences relatives au système de gestion du titulaire de permis.</w:t>
            </w:r>
          </w:p>
        </w:tc>
        <w:tc>
          <w:tcPr>
            <w:tcW w:w="3318" w:type="dxa"/>
            <w:tcBorders>
              <w:top w:val="single" w:sz="4" w:space="0" w:color="000000"/>
              <w:left w:val="single" w:sz="4" w:space="0" w:color="000000"/>
              <w:bottom w:val="single" w:sz="4" w:space="0" w:color="000000"/>
              <w:right w:val="single" w:sz="4" w:space="0" w:color="000000"/>
            </w:tcBorders>
            <w:vAlign w:val="center"/>
          </w:tcPr>
          <w:p w14:paraId="1400F2A2"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Cadre la gestion documentaire, le contrôle des versions et la traçabilité des résultats d’essai.</w:t>
            </w:r>
          </w:p>
        </w:tc>
      </w:tr>
    </w:tbl>
    <w:p w14:paraId="68D8AA06" w14:textId="77777777" w:rsidR="00F50D70" w:rsidRPr="00BE4F47" w:rsidRDefault="00F50D70" w:rsidP="008E113B">
      <w:pPr>
        <w:spacing w:line="360" w:lineRule="auto"/>
        <w:ind w:left="0"/>
        <w:rPr>
          <w:rFonts w:ascii="Aptos" w:hAnsi="Aptos" w:cs="Calibri"/>
        </w:rPr>
      </w:pPr>
    </w:p>
    <w:p w14:paraId="5AFF9486" w14:textId="77777777" w:rsidR="00F50D70" w:rsidRPr="00BE4F47" w:rsidRDefault="00F50D70" w:rsidP="008E113B">
      <w:pPr>
        <w:spacing w:line="360" w:lineRule="auto"/>
        <w:ind w:left="720"/>
        <w:rPr>
          <w:rFonts w:ascii="Aptos" w:hAnsi="Aptos" w:cs="Calibri"/>
        </w:rPr>
      </w:pPr>
    </w:p>
    <w:p w14:paraId="19F1CB8C" w14:textId="77777777" w:rsidR="00F50D70" w:rsidRPr="00B03F2E" w:rsidRDefault="00000000" w:rsidP="008E113B">
      <w:pPr>
        <w:pStyle w:val="Titre2"/>
        <w:spacing w:line="360" w:lineRule="auto"/>
      </w:pPr>
      <w:bookmarkStart w:id="272" w:name="__RefHeading___Toc240715204"/>
      <w:bookmarkStart w:id="273" w:name="_Toc241082992"/>
      <w:bookmarkEnd w:id="272"/>
      <w:r w:rsidRPr="00B03F2E">
        <w:t>Normes applicables</w:t>
      </w:r>
      <w:bookmarkEnd w:id="273"/>
    </w:p>
    <w:p w14:paraId="6C1A7ECB" w14:textId="77777777" w:rsidR="00F50D70" w:rsidRPr="00BE4F47" w:rsidRDefault="00F50D70" w:rsidP="008E113B">
      <w:pPr>
        <w:spacing w:line="360" w:lineRule="auto"/>
        <w:ind w:left="360"/>
        <w:rPr>
          <w:rFonts w:ascii="Aptos" w:hAnsi="Aptos" w:cs="Calibri"/>
        </w:rPr>
      </w:pPr>
    </w:p>
    <w:p w14:paraId="4F7F0FC8" w14:textId="77777777" w:rsidR="00F50D70" w:rsidRPr="00BE4F47" w:rsidRDefault="00000000" w:rsidP="008E113B">
      <w:pPr>
        <w:spacing w:line="360" w:lineRule="auto"/>
        <w:ind w:left="360"/>
        <w:rPr>
          <w:rFonts w:ascii="Aptos" w:hAnsi="Aptos"/>
        </w:rPr>
      </w:pPr>
      <w:bookmarkStart w:id="274" w:name="_Toc241082993"/>
      <w:r w:rsidRPr="00BE4F47">
        <w:rPr>
          <w:rFonts w:ascii="Aptos" w:eastAsia="Calibri" w:hAnsi="Aptos" w:cs="Calibri"/>
          <w:color w:val="1A1A19"/>
          <w:sz w:val="20"/>
          <w:szCs w:val="20"/>
        </w:rPr>
        <w:t>La revue couvre les principaux aspects techniques du projet : cycle de vie du système et du logiciel, cadre du jumeau numérique, qualité, gestion des risques, vérification et validation des modèles numériques, cybersécurité, sûreté nucléaire, instrumentation et contrôle, et interface homme-machine. Dix-sept normes ont été retenues et sont présentées au tableau de la section 5.3.2.</w:t>
      </w:r>
      <w:bookmarkEnd w:id="274"/>
    </w:p>
    <w:p w14:paraId="588D43FF" w14:textId="77777777" w:rsidR="00F50D70" w:rsidRPr="00BE4F47" w:rsidRDefault="00F50D70" w:rsidP="008E113B">
      <w:pPr>
        <w:spacing w:line="360" w:lineRule="auto"/>
        <w:ind w:left="720"/>
        <w:rPr>
          <w:rFonts w:ascii="Aptos" w:hAnsi="Aptos" w:cs="Calibri"/>
        </w:rPr>
      </w:pPr>
    </w:p>
    <w:p w14:paraId="3E766D65" w14:textId="77777777" w:rsidR="00F50D70" w:rsidRPr="00BE4F47" w:rsidRDefault="00F50D70" w:rsidP="008E113B">
      <w:pPr>
        <w:pStyle w:val="Paragraphedeliste"/>
        <w:numPr>
          <w:ilvl w:val="0"/>
          <w:numId w:val="12"/>
        </w:numPr>
        <w:spacing w:after="0" w:line="360" w:lineRule="auto"/>
        <w:contextualSpacing w:val="0"/>
        <w:jc w:val="both"/>
        <w:outlineLvl w:val="2"/>
        <w:rPr>
          <w:rFonts w:ascii="Aptos" w:eastAsia="Times New Roman" w:hAnsi="Aptos" w:cs="Calibri"/>
          <w:vanish/>
          <w:lang w:val="fr-CA" w:eastAsia="fr-FR" w:bidi="ar-SA"/>
        </w:rPr>
      </w:pPr>
      <w:bookmarkStart w:id="275" w:name="_Toc241082994"/>
      <w:bookmarkEnd w:id="275"/>
    </w:p>
    <w:p w14:paraId="604F9AC6" w14:textId="77777777" w:rsidR="00F50D70" w:rsidRPr="00BE4F47" w:rsidRDefault="00F50D70" w:rsidP="008E113B">
      <w:pPr>
        <w:pStyle w:val="Paragraphedeliste"/>
        <w:numPr>
          <w:ilvl w:val="0"/>
          <w:numId w:val="12"/>
        </w:numPr>
        <w:spacing w:after="0" w:line="360" w:lineRule="auto"/>
        <w:contextualSpacing w:val="0"/>
        <w:jc w:val="both"/>
        <w:outlineLvl w:val="2"/>
        <w:rPr>
          <w:rFonts w:ascii="Aptos" w:eastAsia="Times New Roman" w:hAnsi="Aptos" w:cs="Calibri"/>
          <w:vanish/>
          <w:lang w:val="fr-CA" w:eastAsia="fr-FR" w:bidi="ar-SA"/>
        </w:rPr>
      </w:pPr>
      <w:bookmarkStart w:id="276" w:name="_Toc241082995"/>
      <w:bookmarkEnd w:id="276"/>
    </w:p>
    <w:p w14:paraId="68F18B06" w14:textId="77777777" w:rsidR="00F50D70" w:rsidRPr="00BE4F47" w:rsidRDefault="00F50D70" w:rsidP="008E113B">
      <w:pPr>
        <w:pStyle w:val="Paragraphedeliste"/>
        <w:numPr>
          <w:ilvl w:val="0"/>
          <w:numId w:val="12"/>
        </w:numPr>
        <w:spacing w:after="0" w:line="360" w:lineRule="auto"/>
        <w:contextualSpacing w:val="0"/>
        <w:jc w:val="both"/>
        <w:outlineLvl w:val="2"/>
        <w:rPr>
          <w:rFonts w:ascii="Aptos" w:eastAsia="Times New Roman" w:hAnsi="Aptos" w:cs="Calibri"/>
          <w:vanish/>
          <w:lang w:val="fr-CA" w:eastAsia="fr-FR" w:bidi="ar-SA"/>
        </w:rPr>
      </w:pPr>
      <w:bookmarkStart w:id="277" w:name="_Toc241082996"/>
      <w:bookmarkEnd w:id="277"/>
    </w:p>
    <w:p w14:paraId="156F5101" w14:textId="77777777" w:rsidR="00F50D70" w:rsidRPr="00BE4F47" w:rsidRDefault="00F50D70" w:rsidP="008E113B">
      <w:pPr>
        <w:pStyle w:val="Paragraphedeliste"/>
        <w:numPr>
          <w:ilvl w:val="0"/>
          <w:numId w:val="12"/>
        </w:numPr>
        <w:spacing w:after="0" w:line="360" w:lineRule="auto"/>
        <w:contextualSpacing w:val="0"/>
        <w:jc w:val="both"/>
        <w:outlineLvl w:val="2"/>
        <w:rPr>
          <w:rFonts w:ascii="Aptos" w:eastAsia="Times New Roman" w:hAnsi="Aptos" w:cs="Calibri"/>
          <w:vanish/>
          <w:lang w:val="fr-CA" w:eastAsia="fr-FR" w:bidi="ar-SA"/>
        </w:rPr>
      </w:pPr>
      <w:bookmarkStart w:id="278" w:name="_Toc241082997"/>
      <w:bookmarkEnd w:id="278"/>
    </w:p>
    <w:p w14:paraId="6A835573" w14:textId="77777777" w:rsidR="00F50D70" w:rsidRPr="00BE4F47" w:rsidRDefault="00F50D70" w:rsidP="008E113B">
      <w:pPr>
        <w:pStyle w:val="Paragraphedeliste"/>
        <w:numPr>
          <w:ilvl w:val="0"/>
          <w:numId w:val="12"/>
        </w:numPr>
        <w:spacing w:after="0" w:line="360" w:lineRule="auto"/>
        <w:contextualSpacing w:val="0"/>
        <w:jc w:val="both"/>
        <w:outlineLvl w:val="2"/>
        <w:rPr>
          <w:rFonts w:ascii="Aptos" w:eastAsia="Times New Roman" w:hAnsi="Aptos" w:cs="Calibri"/>
          <w:vanish/>
          <w:lang w:val="fr-CA" w:eastAsia="fr-FR" w:bidi="ar-SA"/>
        </w:rPr>
      </w:pPr>
      <w:bookmarkStart w:id="279" w:name="_Toc241082998"/>
      <w:bookmarkEnd w:id="279"/>
    </w:p>
    <w:p w14:paraId="4B71FE8F" w14:textId="77777777" w:rsidR="00F50D70" w:rsidRPr="00BE4F47" w:rsidRDefault="00F50D70" w:rsidP="008E113B">
      <w:pPr>
        <w:pStyle w:val="Paragraphedeliste"/>
        <w:numPr>
          <w:ilvl w:val="1"/>
          <w:numId w:val="12"/>
        </w:numPr>
        <w:spacing w:after="0" w:line="360" w:lineRule="auto"/>
        <w:contextualSpacing w:val="0"/>
        <w:jc w:val="both"/>
        <w:outlineLvl w:val="2"/>
        <w:rPr>
          <w:rFonts w:ascii="Aptos" w:eastAsia="Times New Roman" w:hAnsi="Aptos" w:cs="Calibri"/>
          <w:vanish/>
          <w:lang w:val="fr-CA" w:eastAsia="fr-FR" w:bidi="ar-SA"/>
        </w:rPr>
      </w:pPr>
      <w:bookmarkStart w:id="280" w:name="_Toc241082999"/>
      <w:bookmarkEnd w:id="280"/>
    </w:p>
    <w:p w14:paraId="6F3F8F5C" w14:textId="77777777" w:rsidR="00F50D70" w:rsidRPr="00BE4F47" w:rsidRDefault="00F50D70" w:rsidP="008E113B">
      <w:pPr>
        <w:pStyle w:val="Paragraphedeliste"/>
        <w:numPr>
          <w:ilvl w:val="1"/>
          <w:numId w:val="12"/>
        </w:numPr>
        <w:spacing w:after="0" w:line="360" w:lineRule="auto"/>
        <w:contextualSpacing w:val="0"/>
        <w:jc w:val="both"/>
        <w:outlineLvl w:val="2"/>
        <w:rPr>
          <w:rFonts w:ascii="Aptos" w:eastAsia="Times New Roman" w:hAnsi="Aptos" w:cs="Calibri"/>
          <w:vanish/>
          <w:lang w:val="fr-CA" w:eastAsia="fr-FR" w:bidi="ar-SA"/>
        </w:rPr>
      </w:pPr>
      <w:bookmarkStart w:id="281" w:name="_Toc241083000"/>
      <w:bookmarkEnd w:id="281"/>
    </w:p>
    <w:p w14:paraId="746BAD56" w14:textId="77777777" w:rsidR="00F50D70" w:rsidRPr="00BE4F47" w:rsidRDefault="00F50D70" w:rsidP="008E113B">
      <w:pPr>
        <w:pStyle w:val="Paragraphedeliste"/>
        <w:numPr>
          <w:ilvl w:val="1"/>
          <w:numId w:val="12"/>
        </w:numPr>
        <w:spacing w:after="0" w:line="360" w:lineRule="auto"/>
        <w:contextualSpacing w:val="0"/>
        <w:jc w:val="both"/>
        <w:outlineLvl w:val="2"/>
        <w:rPr>
          <w:rFonts w:ascii="Aptos" w:eastAsia="Times New Roman" w:hAnsi="Aptos" w:cs="Calibri"/>
          <w:vanish/>
          <w:lang w:val="fr-CA" w:eastAsia="fr-FR" w:bidi="ar-SA"/>
        </w:rPr>
      </w:pPr>
      <w:bookmarkStart w:id="282" w:name="_Toc241083001"/>
      <w:bookmarkEnd w:id="282"/>
    </w:p>
    <w:p w14:paraId="61E5B241" w14:textId="77777777" w:rsidR="00F50D70" w:rsidRPr="00BE4F47" w:rsidRDefault="00000000" w:rsidP="008E113B">
      <w:pPr>
        <w:pStyle w:val="Titre4"/>
        <w:spacing w:line="360" w:lineRule="auto"/>
      </w:pPr>
      <w:bookmarkStart w:id="283" w:name="__RefHeading___Toc240715214"/>
      <w:bookmarkEnd w:id="283"/>
      <w:r w:rsidRPr="00BE4F47">
        <w:t>Déclaration d’applicabilité</w:t>
      </w:r>
    </w:p>
    <w:p w14:paraId="43F444C0" w14:textId="77777777" w:rsidR="00F50D70" w:rsidRPr="00BE4F47" w:rsidRDefault="00F50D70" w:rsidP="008E113B">
      <w:pPr>
        <w:spacing w:line="360" w:lineRule="auto"/>
        <w:ind w:left="1224"/>
        <w:rPr>
          <w:rFonts w:ascii="Aptos" w:hAnsi="Aptos" w:cs="Calibri"/>
        </w:rPr>
      </w:pPr>
    </w:p>
    <w:p w14:paraId="0CFE4B20" w14:textId="77777777" w:rsidR="00F50D70" w:rsidRPr="00BE4F47" w:rsidRDefault="00000000" w:rsidP="008E113B">
      <w:pPr>
        <w:spacing w:line="360" w:lineRule="auto"/>
        <w:ind w:left="720"/>
        <w:rPr>
          <w:rFonts w:ascii="Aptos" w:hAnsi="Aptos" w:cs="Calibri"/>
        </w:rPr>
      </w:pPr>
      <w:bookmarkStart w:id="284" w:name="_Toc241083002"/>
      <w:r w:rsidRPr="00BE4F47">
        <w:rPr>
          <w:rFonts w:ascii="Aptos" w:eastAsia="Calibri" w:hAnsi="Aptos" w:cs="Calibri"/>
          <w:color w:val="1A1A19"/>
          <w:sz w:val="20"/>
          <w:szCs w:val="20"/>
        </w:rPr>
        <w:t>La revue distingue les normes retenues pour application de celles consultées à titre de référence, pour ne pas revendiquer une conformité qui ne peut pas encore être démontrée.</w:t>
      </w:r>
      <w:bookmarkEnd w:id="284"/>
    </w:p>
    <w:p w14:paraId="1294C825" w14:textId="77777777" w:rsidR="00F50D70" w:rsidRPr="00BE4F47" w:rsidRDefault="00F50D70" w:rsidP="008E113B">
      <w:pPr>
        <w:spacing w:line="360" w:lineRule="auto"/>
        <w:ind w:left="720"/>
        <w:rPr>
          <w:rFonts w:ascii="Aptos" w:hAnsi="Aptos" w:cs="Calibri"/>
        </w:rPr>
      </w:pPr>
    </w:p>
    <w:p w14:paraId="70CEEBC9" w14:textId="77777777" w:rsidR="00F50D70" w:rsidRPr="00BE4F47" w:rsidRDefault="00000000" w:rsidP="008E113B">
      <w:pPr>
        <w:spacing w:after="140" w:line="360" w:lineRule="auto"/>
        <w:ind w:left="720"/>
        <w:outlineLvl w:val="9"/>
        <w:rPr>
          <w:rFonts w:ascii="Aptos" w:hAnsi="Aptos"/>
        </w:rPr>
      </w:pPr>
      <w:r w:rsidRPr="00BE4F47">
        <w:rPr>
          <w:rFonts w:ascii="Aptos" w:eastAsia="Calibri" w:hAnsi="Aptos" w:cs="Calibri"/>
          <w:b/>
          <w:bCs/>
          <w:color w:val="1A1A19"/>
          <w:sz w:val="20"/>
          <w:szCs w:val="20"/>
        </w:rPr>
        <w:lastRenderedPageBreak/>
        <w:t>Normes retenues pour application dans le projet</w:t>
      </w:r>
      <w:r w:rsidRPr="00BE4F47">
        <w:rPr>
          <w:rFonts w:ascii="Aptos" w:eastAsia="Calibri" w:hAnsi="Aptos" w:cs="Calibri"/>
          <w:color w:val="1A1A19"/>
          <w:sz w:val="20"/>
          <w:szCs w:val="20"/>
        </w:rPr>
        <w:t>. Huit normes structurent directement les travaux de conception, de développement, de vérification et de validation. L’équipe en retient les principes et exigences pertinents pour les traduire en critères de conception ou d’essai. Les articles et exigences précis seront confirmés lorsque le texte intégral de la norme aura pu être consulté dans une version autorisée.</w:t>
      </w:r>
    </w:p>
    <w:p w14:paraId="4D386EA3" w14:textId="77777777" w:rsidR="00F50D70" w:rsidRPr="00BE4F47" w:rsidRDefault="00000000" w:rsidP="008E113B">
      <w:pPr>
        <w:spacing w:line="360" w:lineRule="auto"/>
        <w:ind w:left="720"/>
        <w:rPr>
          <w:rFonts w:ascii="Aptos" w:hAnsi="Aptos"/>
        </w:rPr>
      </w:pPr>
      <w:bookmarkStart w:id="285" w:name="_Toc241083003"/>
      <w:r w:rsidRPr="00BE4F47">
        <w:rPr>
          <w:rFonts w:ascii="Aptos" w:eastAsia="Calibri" w:hAnsi="Aptos" w:cs="Calibri"/>
          <w:b/>
          <w:bCs/>
          <w:color w:val="1A1A19"/>
          <w:sz w:val="20"/>
          <w:szCs w:val="20"/>
        </w:rPr>
        <w:t>Normes consultées</w:t>
      </w:r>
      <w:r w:rsidRPr="00BE4F47">
        <w:rPr>
          <w:rFonts w:ascii="Aptos" w:eastAsia="Calibri" w:hAnsi="Aptos" w:cs="Calibri"/>
          <w:color w:val="1A1A19"/>
          <w:sz w:val="20"/>
          <w:szCs w:val="20"/>
        </w:rPr>
        <w:t>. Les neuf normes ci-dessous s'adressent à l'exploitant d'une installation nucléaire réelle, titulaire d'un permis. Le prototype n'entre pas dans leur domaine d'application déclaré : aucune de leurs exigences n'est reprise comme critère d'acceptation, et le rapport final n'en démontrera pas la conformité.</w:t>
      </w:r>
      <w:bookmarkEnd w:id="285"/>
    </w:p>
    <w:p w14:paraId="08F93D5B" w14:textId="77777777" w:rsidR="00F50D70" w:rsidRPr="00BE4F47" w:rsidRDefault="00F50D70" w:rsidP="008E113B">
      <w:pPr>
        <w:spacing w:line="360" w:lineRule="auto"/>
        <w:ind w:left="720"/>
        <w:rPr>
          <w:rFonts w:ascii="Aptos" w:eastAsia="Calibri" w:hAnsi="Aptos" w:cs="Calibri"/>
          <w:color w:val="1A1A19"/>
        </w:rPr>
      </w:pPr>
    </w:p>
    <w:p w14:paraId="5CB3933D" w14:textId="77777777" w:rsidR="00F50D70" w:rsidRDefault="00000000" w:rsidP="008E113B">
      <w:pPr>
        <w:spacing w:line="360" w:lineRule="auto"/>
        <w:ind w:left="720"/>
        <w:rPr>
          <w:rFonts w:ascii="Aptos" w:eastAsia="Calibri" w:hAnsi="Aptos" w:cs="Calibri"/>
          <w:color w:val="1A1A19"/>
          <w:sz w:val="20"/>
          <w:szCs w:val="20"/>
        </w:rPr>
      </w:pPr>
      <w:bookmarkStart w:id="286" w:name="_Toc241083004"/>
      <w:r w:rsidRPr="00BE4F47">
        <w:rPr>
          <w:rFonts w:ascii="Aptos" w:eastAsia="Calibri" w:hAnsi="Aptos" w:cs="Calibri"/>
          <w:color w:val="1A1A19"/>
          <w:sz w:val="20"/>
          <w:szCs w:val="20"/>
        </w:rPr>
        <w:t>L'équipe en retient quatre principes de conception, inscrits au registre des exigences comme exigences internes du projet : séparation des fonctions, intégrité des données, journalisation des événements, coordination entre sûreté et cybersécurité. Leur respect sera vérifié par la campagne d'essais du lot L9, au même titre que les autres exigences internes.</w:t>
      </w:r>
      <w:bookmarkEnd w:id="286"/>
    </w:p>
    <w:p w14:paraId="70247A6D" w14:textId="77777777" w:rsidR="0036725C" w:rsidRDefault="0036725C" w:rsidP="008E113B">
      <w:pPr>
        <w:spacing w:line="360" w:lineRule="auto"/>
        <w:ind w:left="720"/>
        <w:rPr>
          <w:rFonts w:ascii="Aptos" w:eastAsia="Calibri" w:hAnsi="Aptos" w:cs="Calibri"/>
          <w:color w:val="1A1A19"/>
          <w:sz w:val="20"/>
          <w:szCs w:val="20"/>
        </w:rPr>
      </w:pPr>
    </w:p>
    <w:p w14:paraId="42799DAF" w14:textId="77777777" w:rsidR="0036725C" w:rsidRDefault="0036725C" w:rsidP="008E113B">
      <w:pPr>
        <w:spacing w:line="360" w:lineRule="auto"/>
        <w:ind w:left="720"/>
        <w:rPr>
          <w:rFonts w:ascii="Aptos" w:eastAsia="Calibri" w:hAnsi="Aptos" w:cs="Calibri"/>
          <w:color w:val="1A1A19"/>
          <w:sz w:val="20"/>
          <w:szCs w:val="20"/>
        </w:rPr>
      </w:pPr>
    </w:p>
    <w:p w14:paraId="4EA3269A" w14:textId="77777777" w:rsidR="0036725C" w:rsidRDefault="0036725C" w:rsidP="008E113B">
      <w:pPr>
        <w:spacing w:line="360" w:lineRule="auto"/>
        <w:ind w:left="720"/>
        <w:rPr>
          <w:rFonts w:ascii="Aptos" w:eastAsia="Calibri" w:hAnsi="Aptos" w:cs="Calibri"/>
          <w:color w:val="1A1A19"/>
          <w:sz w:val="20"/>
          <w:szCs w:val="20"/>
        </w:rPr>
      </w:pPr>
    </w:p>
    <w:p w14:paraId="640CCE97" w14:textId="77777777" w:rsidR="0036725C" w:rsidRDefault="0036725C" w:rsidP="008E113B">
      <w:pPr>
        <w:spacing w:line="360" w:lineRule="auto"/>
        <w:ind w:left="720"/>
        <w:rPr>
          <w:rFonts w:ascii="Aptos" w:eastAsia="Calibri" w:hAnsi="Aptos" w:cs="Calibri"/>
          <w:color w:val="1A1A19"/>
          <w:sz w:val="20"/>
          <w:szCs w:val="20"/>
        </w:rPr>
      </w:pPr>
    </w:p>
    <w:p w14:paraId="5A5E5F3B" w14:textId="77777777" w:rsidR="0036725C" w:rsidRDefault="0036725C" w:rsidP="008E113B">
      <w:pPr>
        <w:spacing w:line="360" w:lineRule="auto"/>
        <w:ind w:left="720"/>
        <w:rPr>
          <w:rFonts w:ascii="Aptos" w:eastAsia="Calibri" w:hAnsi="Aptos" w:cs="Calibri"/>
          <w:color w:val="1A1A19"/>
          <w:sz w:val="20"/>
          <w:szCs w:val="20"/>
        </w:rPr>
      </w:pPr>
    </w:p>
    <w:p w14:paraId="7178353E" w14:textId="77777777" w:rsidR="0036725C" w:rsidRDefault="0036725C" w:rsidP="008E113B">
      <w:pPr>
        <w:spacing w:line="360" w:lineRule="auto"/>
        <w:ind w:left="720"/>
        <w:rPr>
          <w:rFonts w:ascii="Aptos" w:eastAsia="Calibri" w:hAnsi="Aptos" w:cs="Calibri"/>
          <w:color w:val="1A1A19"/>
          <w:sz w:val="20"/>
          <w:szCs w:val="20"/>
        </w:rPr>
      </w:pPr>
    </w:p>
    <w:p w14:paraId="2B9F916C" w14:textId="77777777" w:rsidR="0036725C" w:rsidRDefault="0036725C" w:rsidP="008E113B">
      <w:pPr>
        <w:spacing w:line="360" w:lineRule="auto"/>
        <w:ind w:left="720"/>
        <w:rPr>
          <w:rFonts w:ascii="Aptos" w:eastAsia="Calibri" w:hAnsi="Aptos" w:cs="Calibri"/>
          <w:color w:val="1A1A19"/>
          <w:sz w:val="20"/>
          <w:szCs w:val="20"/>
        </w:rPr>
      </w:pPr>
    </w:p>
    <w:p w14:paraId="239AA67E" w14:textId="77777777" w:rsidR="0036725C" w:rsidRDefault="0036725C" w:rsidP="008E113B">
      <w:pPr>
        <w:spacing w:line="360" w:lineRule="auto"/>
        <w:ind w:left="720"/>
        <w:rPr>
          <w:rFonts w:ascii="Aptos" w:eastAsia="Calibri" w:hAnsi="Aptos" w:cs="Calibri"/>
          <w:color w:val="1A1A19"/>
          <w:sz w:val="20"/>
          <w:szCs w:val="20"/>
        </w:rPr>
      </w:pPr>
    </w:p>
    <w:p w14:paraId="7EF1E378" w14:textId="77777777" w:rsidR="0036725C" w:rsidRPr="00BE4F47" w:rsidRDefault="0036725C" w:rsidP="008E113B">
      <w:pPr>
        <w:spacing w:line="360" w:lineRule="auto"/>
        <w:ind w:left="720"/>
        <w:rPr>
          <w:rFonts w:ascii="Aptos" w:eastAsia="Calibri" w:hAnsi="Aptos" w:cs="Calibri"/>
          <w:color w:val="1A1A19"/>
        </w:rPr>
      </w:pPr>
    </w:p>
    <w:p w14:paraId="20B07F89" w14:textId="77777777" w:rsidR="00F50D70" w:rsidRPr="00BE4F47" w:rsidRDefault="00F50D70" w:rsidP="008E113B">
      <w:pPr>
        <w:spacing w:line="360" w:lineRule="auto"/>
        <w:ind w:left="720"/>
        <w:rPr>
          <w:rFonts w:ascii="Aptos" w:eastAsia="Calibri" w:hAnsi="Aptos" w:cs="Calibri"/>
          <w:color w:val="1A1A19"/>
        </w:rPr>
      </w:pPr>
    </w:p>
    <w:p w14:paraId="2E1977DF" w14:textId="77777777" w:rsidR="00F50D70" w:rsidRPr="00BE4F47" w:rsidRDefault="00000000" w:rsidP="008E113B">
      <w:pPr>
        <w:pStyle w:val="Lgende"/>
        <w:spacing w:line="360" w:lineRule="auto"/>
        <w:rPr>
          <w:rFonts w:ascii="Aptos" w:hAnsi="Aptos"/>
        </w:rPr>
      </w:pPr>
      <w:bookmarkStart w:id="287" w:name="_Toc241083005"/>
      <w:r w:rsidRPr="00BE4F47">
        <w:rPr>
          <w:rFonts w:ascii="Aptos" w:hAnsi="Aptos"/>
        </w:rPr>
        <w:t>Tableau 6-3. Bilan de la déclaration d’applicabilité</w:t>
      </w:r>
      <w:bookmarkEnd w:id="287"/>
    </w:p>
    <w:tbl>
      <w:tblPr>
        <w:tblW w:w="9360" w:type="dxa"/>
        <w:tblLayout w:type="fixed"/>
        <w:tblCellMar>
          <w:top w:w="70" w:type="dxa"/>
          <w:left w:w="100" w:type="dxa"/>
          <w:bottom w:w="70" w:type="dxa"/>
          <w:right w:w="100" w:type="dxa"/>
        </w:tblCellMar>
        <w:tblLook w:val="04A0" w:firstRow="1" w:lastRow="0" w:firstColumn="1" w:lastColumn="0" w:noHBand="0" w:noVBand="1"/>
      </w:tblPr>
      <w:tblGrid>
        <w:gridCol w:w="4680"/>
        <w:gridCol w:w="4680"/>
      </w:tblGrid>
      <w:tr w:rsidR="00F50D70" w:rsidRPr="00BE4F47" w14:paraId="182D702E" w14:textId="77777777" w:rsidTr="0036725C">
        <w:trPr>
          <w:tblHeader/>
        </w:trPr>
        <w:tc>
          <w:tcPr>
            <w:tcW w:w="4680"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22187C55"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Normes retenues pour application dans le projet</w:t>
            </w:r>
          </w:p>
        </w:tc>
        <w:tc>
          <w:tcPr>
            <w:tcW w:w="4680"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206685F3"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Normes consultées - principes retenus, conformité non revendiquée</w:t>
            </w:r>
          </w:p>
        </w:tc>
      </w:tr>
      <w:tr w:rsidR="00F50D70" w:rsidRPr="00BE4F47" w14:paraId="6065DE5E" w14:textId="77777777">
        <w:trPr>
          <w:cantSplit/>
        </w:trPr>
        <w:tc>
          <w:tcPr>
            <w:tcW w:w="4680" w:type="dxa"/>
            <w:tcBorders>
              <w:top w:val="single" w:sz="4" w:space="0" w:color="000000"/>
              <w:left w:val="single" w:sz="4" w:space="0" w:color="000000"/>
              <w:bottom w:val="single" w:sz="4" w:space="0" w:color="000000"/>
              <w:right w:val="single" w:sz="4" w:space="0" w:color="000000"/>
            </w:tcBorders>
            <w:vAlign w:val="center"/>
          </w:tcPr>
          <w:p w14:paraId="22355154" w14:textId="77777777" w:rsidR="00F50D70" w:rsidRPr="00BE4F47" w:rsidRDefault="00000000" w:rsidP="008E113B">
            <w:pPr>
              <w:spacing w:before="20" w:after="20"/>
              <w:ind w:left="0"/>
              <w:outlineLvl w:val="9"/>
              <w:rPr>
                <w:rFonts w:ascii="Aptos" w:eastAsia="Calibri" w:hAnsi="Aptos" w:cs="Calibri"/>
                <w:color w:val="1A1A19"/>
                <w:lang w:val="en-CA"/>
              </w:rPr>
            </w:pPr>
            <w:r w:rsidRPr="00BE4F47">
              <w:rPr>
                <w:rFonts w:ascii="Aptos" w:eastAsia="Calibri" w:hAnsi="Aptos" w:cs="Calibri"/>
                <w:color w:val="1A1A19"/>
                <w:lang w:val="en-CA"/>
              </w:rPr>
              <w:t>ISO/IEC/IEEE 15288:2023 [24]</w:t>
            </w:r>
          </w:p>
          <w:p w14:paraId="727DDB54" w14:textId="77777777" w:rsidR="00F50D70" w:rsidRPr="00BE4F47" w:rsidRDefault="00000000" w:rsidP="008E113B">
            <w:pPr>
              <w:spacing w:before="20" w:after="20"/>
              <w:ind w:left="0"/>
              <w:outlineLvl w:val="9"/>
              <w:rPr>
                <w:rFonts w:ascii="Aptos" w:eastAsia="Calibri" w:hAnsi="Aptos" w:cs="Calibri"/>
                <w:color w:val="1A1A19"/>
                <w:lang w:val="en-CA"/>
              </w:rPr>
            </w:pPr>
            <w:r w:rsidRPr="00BE4F47">
              <w:rPr>
                <w:rFonts w:ascii="Aptos" w:eastAsia="Calibri" w:hAnsi="Aptos" w:cs="Calibri"/>
                <w:color w:val="1A1A19"/>
                <w:lang w:val="en-CA"/>
              </w:rPr>
              <w:t>ISO/IEC/IEEE 12207:2026 [2]</w:t>
            </w:r>
          </w:p>
          <w:p w14:paraId="61542138" w14:textId="77777777" w:rsidR="00F50D70" w:rsidRPr="00BE4F47" w:rsidRDefault="00000000" w:rsidP="008E113B">
            <w:pPr>
              <w:spacing w:before="20" w:after="20"/>
              <w:ind w:left="0"/>
              <w:outlineLvl w:val="9"/>
              <w:rPr>
                <w:rFonts w:ascii="Aptos" w:eastAsia="Calibri" w:hAnsi="Aptos" w:cs="Calibri"/>
                <w:color w:val="1A1A19"/>
                <w:lang w:val="en-CA"/>
              </w:rPr>
            </w:pPr>
            <w:r w:rsidRPr="00BE4F47">
              <w:rPr>
                <w:rFonts w:ascii="Aptos" w:eastAsia="Calibri" w:hAnsi="Aptos" w:cs="Calibri"/>
                <w:color w:val="1A1A19"/>
                <w:lang w:val="en-CA"/>
              </w:rPr>
              <w:t>ISO 23247-1:2021 [25]</w:t>
            </w:r>
          </w:p>
          <w:p w14:paraId="738B5D59" w14:textId="77777777" w:rsidR="00F50D70" w:rsidRPr="00BE4F47" w:rsidRDefault="00000000" w:rsidP="008E113B">
            <w:pPr>
              <w:spacing w:before="20" w:after="20"/>
              <w:ind w:left="0"/>
              <w:outlineLvl w:val="9"/>
              <w:rPr>
                <w:rFonts w:ascii="Aptos" w:eastAsia="Calibri" w:hAnsi="Aptos" w:cs="Calibri"/>
                <w:color w:val="1A1A19"/>
                <w:lang w:val="en-CA"/>
              </w:rPr>
            </w:pPr>
            <w:r w:rsidRPr="00BE4F47">
              <w:rPr>
                <w:rFonts w:ascii="Aptos" w:eastAsia="Calibri" w:hAnsi="Aptos" w:cs="Calibri"/>
                <w:color w:val="1A1A19"/>
                <w:lang w:val="en-CA"/>
              </w:rPr>
              <w:t>ISO/IEC 25010:2023 [26]</w:t>
            </w:r>
          </w:p>
          <w:p w14:paraId="448910C6" w14:textId="77777777" w:rsidR="00F50D70" w:rsidRPr="00BE4F47" w:rsidRDefault="00000000" w:rsidP="008E113B">
            <w:pPr>
              <w:spacing w:before="20" w:after="20"/>
              <w:ind w:left="0"/>
              <w:outlineLvl w:val="9"/>
              <w:rPr>
                <w:rFonts w:ascii="Aptos" w:eastAsia="Calibri" w:hAnsi="Aptos" w:cs="Calibri"/>
                <w:color w:val="1A1A19"/>
                <w:lang w:val="en-CA"/>
              </w:rPr>
            </w:pPr>
            <w:r w:rsidRPr="00BE4F47">
              <w:rPr>
                <w:rFonts w:ascii="Aptos" w:eastAsia="Calibri" w:hAnsi="Aptos" w:cs="Calibri"/>
                <w:color w:val="1A1A19"/>
                <w:lang w:val="en-CA"/>
              </w:rPr>
              <w:t>ISO 31000:2018 [27]</w:t>
            </w:r>
          </w:p>
          <w:p w14:paraId="59555611" w14:textId="77777777" w:rsidR="00F50D70" w:rsidRPr="00BE4F47" w:rsidRDefault="00000000" w:rsidP="008E113B">
            <w:pPr>
              <w:spacing w:before="20" w:after="20"/>
              <w:ind w:left="0"/>
              <w:outlineLvl w:val="9"/>
              <w:rPr>
                <w:rFonts w:ascii="Aptos" w:eastAsia="Calibri" w:hAnsi="Aptos" w:cs="Calibri"/>
                <w:color w:val="1A1A19"/>
                <w:lang w:val="en-CA"/>
              </w:rPr>
            </w:pPr>
            <w:r w:rsidRPr="00BE4F47">
              <w:rPr>
                <w:rFonts w:ascii="Aptos" w:eastAsia="Calibri" w:hAnsi="Aptos" w:cs="Calibri"/>
                <w:color w:val="1A1A19"/>
                <w:lang w:val="en-CA"/>
              </w:rPr>
              <w:t>ASME V&amp;V 20-2009 (R2021) [28]</w:t>
            </w:r>
          </w:p>
          <w:p w14:paraId="39D3B7B9"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IEEE 1012-2024 [29]</w:t>
            </w:r>
          </w:p>
          <w:p w14:paraId="0A3BFD1E"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ISO 9241-210:2019 [30]</w:t>
            </w:r>
          </w:p>
        </w:tc>
        <w:tc>
          <w:tcPr>
            <w:tcW w:w="4680" w:type="dxa"/>
            <w:tcBorders>
              <w:top w:val="single" w:sz="4" w:space="0" w:color="000000"/>
              <w:left w:val="single" w:sz="4" w:space="0" w:color="000000"/>
              <w:bottom w:val="single" w:sz="4" w:space="0" w:color="000000"/>
              <w:right w:val="single" w:sz="4" w:space="0" w:color="000000"/>
            </w:tcBorders>
            <w:vAlign w:val="center"/>
          </w:tcPr>
          <w:p w14:paraId="3A6A1142"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CSA N290.7:21 [23]</w:t>
            </w:r>
          </w:p>
          <w:p w14:paraId="1224F502"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IEC 62645:2019 [31]</w:t>
            </w:r>
          </w:p>
          <w:p w14:paraId="2ED81403"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IEC 63096:2020 [32]</w:t>
            </w:r>
          </w:p>
          <w:p w14:paraId="3284791A"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IEC 62859:2016 + A1:2019 [33]</w:t>
            </w:r>
          </w:p>
          <w:p w14:paraId="1F26B543"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IEC 61513:2026 [34]</w:t>
            </w:r>
          </w:p>
          <w:p w14:paraId="2B048483"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IEC 60880:2006 [35]</w:t>
            </w:r>
          </w:p>
          <w:p w14:paraId="675C5FC4"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IEC 62138:2018 [36]</w:t>
            </w:r>
          </w:p>
          <w:p w14:paraId="5DD2DBA9"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ISO/IEC 27001:2022 [37]</w:t>
            </w:r>
          </w:p>
          <w:p w14:paraId="7D41CD17" w14:textId="77777777" w:rsidR="00F50D70" w:rsidRPr="00BE4F47" w:rsidRDefault="00000000" w:rsidP="008E113B">
            <w:pPr>
              <w:spacing w:before="20" w:after="20"/>
              <w:ind w:left="0"/>
              <w:outlineLvl w:val="9"/>
              <w:rPr>
                <w:rFonts w:ascii="Aptos" w:hAnsi="Aptos"/>
              </w:rPr>
            </w:pPr>
            <w:r w:rsidRPr="00BE4F47">
              <w:rPr>
                <w:rFonts w:ascii="Aptos" w:eastAsia="Calibri" w:hAnsi="Aptos" w:cs="Calibri"/>
                <w:color w:val="1A1A19"/>
              </w:rPr>
              <w:t>ISO/IEC 27005:2022 [38]</w:t>
            </w:r>
          </w:p>
        </w:tc>
      </w:tr>
    </w:tbl>
    <w:p w14:paraId="3F10B575" w14:textId="77777777" w:rsidR="00F50D70" w:rsidRPr="00BE4F47" w:rsidRDefault="00F50D70" w:rsidP="008E113B">
      <w:pPr>
        <w:spacing w:line="360" w:lineRule="auto"/>
        <w:ind w:left="720"/>
        <w:rPr>
          <w:rFonts w:ascii="Aptos" w:eastAsia="Calibri" w:hAnsi="Aptos" w:cs="Calibri"/>
          <w:color w:val="1A1A19"/>
        </w:rPr>
      </w:pPr>
    </w:p>
    <w:p w14:paraId="7F0E2643" w14:textId="77777777" w:rsidR="00F50D70" w:rsidRPr="00BE4F47" w:rsidRDefault="00F50D70" w:rsidP="008E113B">
      <w:pPr>
        <w:spacing w:line="360" w:lineRule="auto"/>
        <w:ind w:left="1224"/>
        <w:rPr>
          <w:rFonts w:ascii="Aptos" w:eastAsia="Calibri" w:hAnsi="Aptos" w:cs="Calibri"/>
          <w:color w:val="1A1A19"/>
        </w:rPr>
      </w:pPr>
    </w:p>
    <w:p w14:paraId="5CDED398" w14:textId="77777777" w:rsidR="00F50D70" w:rsidRPr="00BE4F47" w:rsidRDefault="00F50D70" w:rsidP="008E113B">
      <w:pPr>
        <w:spacing w:line="360" w:lineRule="auto"/>
        <w:ind w:left="1224"/>
        <w:rPr>
          <w:rFonts w:ascii="Aptos" w:hAnsi="Aptos" w:cs="Calibri"/>
        </w:rPr>
      </w:pPr>
    </w:p>
    <w:p w14:paraId="6B6866C7" w14:textId="77777777" w:rsidR="00F50D70" w:rsidRPr="00BE4F47" w:rsidRDefault="00000000" w:rsidP="008E113B">
      <w:pPr>
        <w:pStyle w:val="Titre4"/>
        <w:spacing w:line="360" w:lineRule="auto"/>
      </w:pPr>
      <w:bookmarkStart w:id="288" w:name="__RefHeading___Toc240715218"/>
      <w:bookmarkEnd w:id="288"/>
      <w:r w:rsidRPr="00BE4F47">
        <w:t>Tableau des normes retenues</w:t>
      </w:r>
    </w:p>
    <w:p w14:paraId="1F3BC41A" w14:textId="77777777" w:rsidR="00F50D70" w:rsidRPr="00BE4F47" w:rsidRDefault="00F50D70" w:rsidP="008E113B">
      <w:pPr>
        <w:spacing w:line="360" w:lineRule="auto"/>
        <w:ind w:left="0"/>
        <w:rPr>
          <w:rFonts w:ascii="Aptos" w:hAnsi="Aptos" w:cs="Calibri"/>
        </w:rPr>
      </w:pPr>
    </w:p>
    <w:p w14:paraId="52DECAD2" w14:textId="77777777" w:rsidR="00F50D70" w:rsidRPr="00BE4F47" w:rsidRDefault="00000000" w:rsidP="008E113B">
      <w:pPr>
        <w:pStyle w:val="Lgende"/>
        <w:spacing w:line="360" w:lineRule="auto"/>
        <w:rPr>
          <w:rFonts w:ascii="Aptos" w:hAnsi="Aptos"/>
        </w:rPr>
      </w:pPr>
      <w:bookmarkStart w:id="289" w:name="_Toc241083006"/>
      <w:r w:rsidRPr="00BE4F47">
        <w:rPr>
          <w:rFonts w:ascii="Aptos" w:hAnsi="Aptos"/>
        </w:rPr>
        <w:t>Tableau 6-4. Normes retenues et incidence sur la conception</w:t>
      </w:r>
      <w:bookmarkEnd w:id="289"/>
    </w:p>
    <w:tbl>
      <w:tblPr>
        <w:tblW w:w="9072" w:type="dxa"/>
        <w:tblLayout w:type="fixed"/>
        <w:tblCellMar>
          <w:top w:w="70" w:type="dxa"/>
          <w:left w:w="100" w:type="dxa"/>
          <w:bottom w:w="70" w:type="dxa"/>
          <w:right w:w="100" w:type="dxa"/>
        </w:tblCellMar>
        <w:tblLook w:val="04A0" w:firstRow="1" w:lastRow="0" w:firstColumn="1" w:lastColumn="0" w:noHBand="0" w:noVBand="1"/>
      </w:tblPr>
      <w:tblGrid>
        <w:gridCol w:w="1364"/>
        <w:gridCol w:w="1097"/>
        <w:gridCol w:w="1929"/>
        <w:gridCol w:w="1735"/>
        <w:gridCol w:w="2947"/>
      </w:tblGrid>
      <w:tr w:rsidR="00F50D70" w:rsidRPr="00BE4F47" w14:paraId="5A6BC6F7" w14:textId="77777777" w:rsidTr="0036725C">
        <w:trPr>
          <w:trHeight w:val="578"/>
          <w:tblHeader/>
        </w:trPr>
        <w:tc>
          <w:tcPr>
            <w:tcW w:w="1364"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4817CF07"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Norme</w:t>
            </w:r>
          </w:p>
        </w:tc>
        <w:tc>
          <w:tcPr>
            <w:tcW w:w="1097"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546E193B"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Millésime</w:t>
            </w:r>
          </w:p>
        </w:tc>
        <w:tc>
          <w:tcPr>
            <w:tcW w:w="1929"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1ECAD689"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Objet principal</w:t>
            </w:r>
          </w:p>
        </w:tc>
        <w:tc>
          <w:tcPr>
            <w:tcW w:w="1735"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66950109"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Éléments retenus</w:t>
            </w:r>
          </w:p>
        </w:tc>
        <w:tc>
          <w:tcPr>
            <w:tcW w:w="2947"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7D55AA1B"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Incidence sur la conception</w:t>
            </w:r>
          </w:p>
        </w:tc>
      </w:tr>
      <w:tr w:rsidR="00F50D70" w:rsidRPr="00BE4F47" w14:paraId="1A190ABF"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73BCE6FE"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ISO/IEC/IEEE 15288 [24]</w:t>
            </w:r>
          </w:p>
        </w:tc>
        <w:tc>
          <w:tcPr>
            <w:tcW w:w="1097" w:type="dxa"/>
            <w:tcBorders>
              <w:top w:val="single" w:sz="4" w:space="0" w:color="000000"/>
              <w:left w:val="single" w:sz="4" w:space="0" w:color="000000"/>
              <w:bottom w:val="single" w:sz="4" w:space="0" w:color="000000"/>
              <w:right w:val="single" w:sz="4" w:space="0" w:color="000000"/>
            </w:tcBorders>
            <w:vAlign w:val="center"/>
          </w:tcPr>
          <w:p w14:paraId="30F68261"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2023</w:t>
            </w:r>
          </w:p>
        </w:tc>
        <w:tc>
          <w:tcPr>
            <w:tcW w:w="1929" w:type="dxa"/>
            <w:tcBorders>
              <w:top w:val="single" w:sz="4" w:space="0" w:color="000000"/>
              <w:left w:val="single" w:sz="4" w:space="0" w:color="000000"/>
              <w:bottom w:val="single" w:sz="4" w:space="0" w:color="000000"/>
              <w:right w:val="single" w:sz="4" w:space="0" w:color="000000"/>
            </w:tcBorders>
            <w:vAlign w:val="center"/>
          </w:tcPr>
          <w:p w14:paraId="7BF4907C"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Processus du cycle de vie des systèmes</w:t>
            </w:r>
          </w:p>
        </w:tc>
        <w:tc>
          <w:tcPr>
            <w:tcW w:w="1735" w:type="dxa"/>
            <w:tcBorders>
              <w:top w:val="single" w:sz="4" w:space="0" w:color="000000"/>
              <w:left w:val="single" w:sz="4" w:space="0" w:color="000000"/>
              <w:bottom w:val="single" w:sz="4" w:space="0" w:color="000000"/>
              <w:right w:val="single" w:sz="4" w:space="0" w:color="000000"/>
            </w:tcBorders>
            <w:vAlign w:val="center"/>
          </w:tcPr>
          <w:p w14:paraId="7057EFA9"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Besoins, architecture, intégration, V&amp;V</w:t>
            </w:r>
          </w:p>
        </w:tc>
        <w:tc>
          <w:tcPr>
            <w:tcW w:w="2947" w:type="dxa"/>
            <w:tcBorders>
              <w:top w:val="single" w:sz="4" w:space="0" w:color="000000"/>
              <w:left w:val="single" w:sz="4" w:space="0" w:color="000000"/>
              <w:bottom w:val="single" w:sz="4" w:space="0" w:color="000000"/>
              <w:right w:val="single" w:sz="4" w:space="0" w:color="000000"/>
            </w:tcBorders>
            <w:vAlign w:val="center"/>
          </w:tcPr>
          <w:p w14:paraId="78922818"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Structure la démarche d’ingénierie : analyse des besoins, architecture globale, intégration et validation du jumeau numérique.</w:t>
            </w:r>
          </w:p>
        </w:tc>
      </w:tr>
      <w:tr w:rsidR="00F50D70" w:rsidRPr="00BE4F47" w14:paraId="460B147B" w14:textId="77777777">
        <w:trPr>
          <w:cantSplit/>
          <w:trHeight w:val="1613"/>
        </w:trPr>
        <w:tc>
          <w:tcPr>
            <w:tcW w:w="1364" w:type="dxa"/>
            <w:tcBorders>
              <w:top w:val="single" w:sz="4" w:space="0" w:color="000000"/>
              <w:left w:val="single" w:sz="4" w:space="0" w:color="000000"/>
              <w:bottom w:val="single" w:sz="4" w:space="0" w:color="000000"/>
              <w:right w:val="single" w:sz="4" w:space="0" w:color="000000"/>
            </w:tcBorders>
            <w:vAlign w:val="center"/>
          </w:tcPr>
          <w:p w14:paraId="4DBDF5C3"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ISO/IEC/IEEE 12207 [2]</w:t>
            </w:r>
          </w:p>
        </w:tc>
        <w:tc>
          <w:tcPr>
            <w:tcW w:w="1097" w:type="dxa"/>
            <w:tcBorders>
              <w:top w:val="single" w:sz="4" w:space="0" w:color="000000"/>
              <w:left w:val="single" w:sz="4" w:space="0" w:color="000000"/>
              <w:bottom w:val="single" w:sz="4" w:space="0" w:color="000000"/>
              <w:right w:val="single" w:sz="4" w:space="0" w:color="000000"/>
            </w:tcBorders>
            <w:vAlign w:val="center"/>
          </w:tcPr>
          <w:p w14:paraId="0B8A1269"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2026</w:t>
            </w:r>
          </w:p>
        </w:tc>
        <w:tc>
          <w:tcPr>
            <w:tcW w:w="1929" w:type="dxa"/>
            <w:tcBorders>
              <w:top w:val="single" w:sz="4" w:space="0" w:color="000000"/>
              <w:left w:val="single" w:sz="4" w:space="0" w:color="000000"/>
              <w:bottom w:val="single" w:sz="4" w:space="0" w:color="000000"/>
              <w:right w:val="single" w:sz="4" w:space="0" w:color="000000"/>
            </w:tcBorders>
            <w:vAlign w:val="center"/>
          </w:tcPr>
          <w:p w14:paraId="4AF0EE15"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Processus du cycle de vie du logiciel</w:t>
            </w:r>
          </w:p>
        </w:tc>
        <w:tc>
          <w:tcPr>
            <w:tcW w:w="1735" w:type="dxa"/>
            <w:tcBorders>
              <w:top w:val="single" w:sz="4" w:space="0" w:color="000000"/>
              <w:left w:val="single" w:sz="4" w:space="0" w:color="000000"/>
              <w:bottom w:val="single" w:sz="4" w:space="0" w:color="000000"/>
              <w:right w:val="single" w:sz="4" w:space="0" w:color="000000"/>
            </w:tcBorders>
            <w:vAlign w:val="center"/>
          </w:tcPr>
          <w:p w14:paraId="17EA6E5A"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Développement, intégration, essais, maintenance</w:t>
            </w:r>
          </w:p>
        </w:tc>
        <w:tc>
          <w:tcPr>
            <w:tcW w:w="2947" w:type="dxa"/>
            <w:tcBorders>
              <w:top w:val="single" w:sz="4" w:space="0" w:color="000000"/>
              <w:left w:val="single" w:sz="4" w:space="0" w:color="000000"/>
              <w:bottom w:val="single" w:sz="4" w:space="0" w:color="000000"/>
              <w:right w:val="single" w:sz="4" w:space="0" w:color="000000"/>
            </w:tcBorders>
            <w:vAlign w:val="center"/>
          </w:tcPr>
          <w:p w14:paraId="17983A8E" w14:textId="77777777" w:rsidR="00F50D70" w:rsidRPr="00BE4F47" w:rsidRDefault="00000000" w:rsidP="008E113B">
            <w:pPr>
              <w:spacing w:before="20" w:after="20"/>
              <w:ind w:left="0"/>
              <w:outlineLvl w:val="9"/>
              <w:rPr>
                <w:rFonts w:ascii="Aptos" w:hAnsi="Aptos"/>
              </w:rPr>
            </w:pPr>
            <w:r w:rsidRPr="00BE4F47">
              <w:rPr>
                <w:rFonts w:ascii="Aptos" w:eastAsia="Calibri" w:hAnsi="Aptos" w:cs="Calibri"/>
                <w:color w:val="1A1A19"/>
              </w:rPr>
              <w:t>Structure les activités logicielles : développement, simulation, intégration des modules et essais. Édition 2 publiée en avril 2026, remplace l’édition 2017 annulée.</w:t>
            </w:r>
          </w:p>
        </w:tc>
      </w:tr>
      <w:tr w:rsidR="00F50D70" w:rsidRPr="00BE4F47" w14:paraId="1FDA9E2D" w14:textId="77777777">
        <w:trPr>
          <w:cantSplit/>
          <w:trHeight w:val="1876"/>
        </w:trPr>
        <w:tc>
          <w:tcPr>
            <w:tcW w:w="1364" w:type="dxa"/>
            <w:tcBorders>
              <w:top w:val="single" w:sz="4" w:space="0" w:color="000000"/>
              <w:left w:val="single" w:sz="4" w:space="0" w:color="000000"/>
              <w:bottom w:val="single" w:sz="4" w:space="0" w:color="000000"/>
              <w:right w:val="single" w:sz="4" w:space="0" w:color="000000"/>
            </w:tcBorders>
            <w:vAlign w:val="center"/>
          </w:tcPr>
          <w:p w14:paraId="321D83AF"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ISO 23247-1 [25]</w:t>
            </w:r>
          </w:p>
        </w:tc>
        <w:tc>
          <w:tcPr>
            <w:tcW w:w="1097" w:type="dxa"/>
            <w:tcBorders>
              <w:top w:val="single" w:sz="4" w:space="0" w:color="000000"/>
              <w:left w:val="single" w:sz="4" w:space="0" w:color="000000"/>
              <w:bottom w:val="single" w:sz="4" w:space="0" w:color="000000"/>
              <w:right w:val="single" w:sz="4" w:space="0" w:color="000000"/>
            </w:tcBorders>
            <w:vAlign w:val="center"/>
          </w:tcPr>
          <w:p w14:paraId="3151919D"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2021</w:t>
            </w:r>
          </w:p>
        </w:tc>
        <w:tc>
          <w:tcPr>
            <w:tcW w:w="1929" w:type="dxa"/>
            <w:tcBorders>
              <w:top w:val="single" w:sz="4" w:space="0" w:color="000000"/>
              <w:left w:val="single" w:sz="4" w:space="0" w:color="000000"/>
              <w:bottom w:val="single" w:sz="4" w:space="0" w:color="000000"/>
              <w:right w:val="single" w:sz="4" w:space="0" w:color="000000"/>
            </w:tcBorders>
            <w:vAlign w:val="center"/>
          </w:tcPr>
          <w:p w14:paraId="214C00FD"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Cadre du jumeau numérique</w:t>
            </w:r>
          </w:p>
        </w:tc>
        <w:tc>
          <w:tcPr>
            <w:tcW w:w="1735" w:type="dxa"/>
            <w:tcBorders>
              <w:top w:val="single" w:sz="4" w:space="0" w:color="000000"/>
              <w:left w:val="single" w:sz="4" w:space="0" w:color="000000"/>
              <w:bottom w:val="single" w:sz="4" w:space="0" w:color="000000"/>
              <w:right w:val="single" w:sz="4" w:space="0" w:color="000000"/>
            </w:tcBorders>
            <w:vAlign w:val="center"/>
          </w:tcPr>
          <w:p w14:paraId="7BCEB24A"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Principes généraux et architecture de référence</w:t>
            </w:r>
          </w:p>
        </w:tc>
        <w:tc>
          <w:tcPr>
            <w:tcW w:w="2947" w:type="dxa"/>
            <w:tcBorders>
              <w:top w:val="single" w:sz="4" w:space="0" w:color="000000"/>
              <w:left w:val="single" w:sz="4" w:space="0" w:color="000000"/>
              <w:bottom w:val="single" w:sz="4" w:space="0" w:color="000000"/>
              <w:right w:val="single" w:sz="4" w:space="0" w:color="000000"/>
            </w:tcBorders>
            <w:vAlign w:val="center"/>
          </w:tcPr>
          <w:p w14:paraId="439AAC8E"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Sépare les composantes : boucle simulée, acquisition, modèle numérique, analyse, interface. Norme établie pour la fabrication ; employée ici par analogie, hors de son domaine d’application déclaré.</w:t>
            </w:r>
          </w:p>
        </w:tc>
      </w:tr>
      <w:tr w:rsidR="00F50D70" w:rsidRPr="00BE4F47" w14:paraId="5C85796F"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20F2EEFA"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ISO/IEC 25010 [26]</w:t>
            </w:r>
          </w:p>
        </w:tc>
        <w:tc>
          <w:tcPr>
            <w:tcW w:w="1097" w:type="dxa"/>
            <w:tcBorders>
              <w:top w:val="single" w:sz="4" w:space="0" w:color="000000"/>
              <w:left w:val="single" w:sz="4" w:space="0" w:color="000000"/>
              <w:bottom w:val="single" w:sz="4" w:space="0" w:color="000000"/>
              <w:right w:val="single" w:sz="4" w:space="0" w:color="000000"/>
            </w:tcBorders>
            <w:vAlign w:val="center"/>
          </w:tcPr>
          <w:p w14:paraId="22C6C35D"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2023</w:t>
            </w:r>
          </w:p>
        </w:tc>
        <w:tc>
          <w:tcPr>
            <w:tcW w:w="1929" w:type="dxa"/>
            <w:tcBorders>
              <w:top w:val="single" w:sz="4" w:space="0" w:color="000000"/>
              <w:left w:val="single" w:sz="4" w:space="0" w:color="000000"/>
              <w:bottom w:val="single" w:sz="4" w:space="0" w:color="000000"/>
              <w:right w:val="single" w:sz="4" w:space="0" w:color="000000"/>
            </w:tcBorders>
            <w:vAlign w:val="center"/>
          </w:tcPr>
          <w:p w14:paraId="3E4198C2"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Qualité des systèmes et du logiciel (</w:t>
            </w:r>
            <w:proofErr w:type="spellStart"/>
            <w:r w:rsidRPr="00BE4F47">
              <w:rPr>
                <w:rFonts w:ascii="Aptos" w:eastAsia="Calibri" w:hAnsi="Aptos" w:cs="Calibri"/>
                <w:color w:val="1A1A19"/>
              </w:rPr>
              <w:t>SQuaRE</w:t>
            </w:r>
            <w:proofErr w:type="spellEnd"/>
            <w:r w:rsidRPr="00BE4F47">
              <w:rPr>
                <w:rFonts w:ascii="Aptos" w:eastAsia="Calibri" w:hAnsi="Aptos" w:cs="Calibri"/>
                <w:color w:val="1A1A19"/>
              </w:rPr>
              <w:t>)</w:t>
            </w:r>
          </w:p>
        </w:tc>
        <w:tc>
          <w:tcPr>
            <w:tcW w:w="1735" w:type="dxa"/>
            <w:tcBorders>
              <w:top w:val="single" w:sz="4" w:space="0" w:color="000000"/>
              <w:left w:val="single" w:sz="4" w:space="0" w:color="000000"/>
              <w:bottom w:val="single" w:sz="4" w:space="0" w:color="000000"/>
              <w:right w:val="single" w:sz="4" w:space="0" w:color="000000"/>
            </w:tcBorders>
            <w:vAlign w:val="center"/>
          </w:tcPr>
          <w:p w14:paraId="758E1960" w14:textId="77777777" w:rsidR="00F50D70" w:rsidRPr="00BE4F47" w:rsidRDefault="00000000" w:rsidP="008E113B">
            <w:pPr>
              <w:spacing w:before="20" w:after="20"/>
              <w:ind w:left="0"/>
              <w:outlineLvl w:val="9"/>
              <w:rPr>
                <w:rFonts w:ascii="Aptos" w:hAnsi="Aptos"/>
              </w:rPr>
            </w:pPr>
            <w:r w:rsidRPr="00BE4F47">
              <w:rPr>
                <w:rFonts w:ascii="Aptos" w:eastAsia="Calibri" w:hAnsi="Aptos" w:cs="Calibri"/>
                <w:color w:val="1A1A19"/>
              </w:rPr>
              <w:t>Fiabilité, performance, sécurité, maintenabilité, utilisabilité</w:t>
            </w:r>
          </w:p>
        </w:tc>
        <w:tc>
          <w:tcPr>
            <w:tcW w:w="2947" w:type="dxa"/>
            <w:tcBorders>
              <w:top w:val="single" w:sz="4" w:space="0" w:color="000000"/>
              <w:left w:val="single" w:sz="4" w:space="0" w:color="000000"/>
              <w:bottom w:val="single" w:sz="4" w:space="0" w:color="000000"/>
              <w:right w:val="single" w:sz="4" w:space="0" w:color="000000"/>
            </w:tcBorders>
            <w:vAlign w:val="center"/>
          </w:tcPr>
          <w:p w14:paraId="67705BFA"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Fournit les caractéristiques de qualité servant de critères d’acceptation mesurables du prototype.</w:t>
            </w:r>
          </w:p>
        </w:tc>
      </w:tr>
      <w:tr w:rsidR="00F50D70" w:rsidRPr="00BE4F47" w14:paraId="5541E4E2"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07907B95"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ISO 31000 [27]</w:t>
            </w:r>
          </w:p>
        </w:tc>
        <w:tc>
          <w:tcPr>
            <w:tcW w:w="1097" w:type="dxa"/>
            <w:tcBorders>
              <w:top w:val="single" w:sz="4" w:space="0" w:color="000000"/>
              <w:left w:val="single" w:sz="4" w:space="0" w:color="000000"/>
              <w:bottom w:val="single" w:sz="4" w:space="0" w:color="000000"/>
              <w:right w:val="single" w:sz="4" w:space="0" w:color="000000"/>
            </w:tcBorders>
            <w:vAlign w:val="center"/>
          </w:tcPr>
          <w:p w14:paraId="4CE1B7F4"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2018</w:t>
            </w:r>
          </w:p>
        </w:tc>
        <w:tc>
          <w:tcPr>
            <w:tcW w:w="1929" w:type="dxa"/>
            <w:tcBorders>
              <w:top w:val="single" w:sz="4" w:space="0" w:color="000000"/>
              <w:left w:val="single" w:sz="4" w:space="0" w:color="000000"/>
              <w:bottom w:val="single" w:sz="4" w:space="0" w:color="000000"/>
              <w:right w:val="single" w:sz="4" w:space="0" w:color="000000"/>
            </w:tcBorders>
            <w:vAlign w:val="center"/>
          </w:tcPr>
          <w:p w14:paraId="0A5AE7A8"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Management du risque</w:t>
            </w:r>
          </w:p>
        </w:tc>
        <w:tc>
          <w:tcPr>
            <w:tcW w:w="1735" w:type="dxa"/>
            <w:tcBorders>
              <w:top w:val="single" w:sz="4" w:space="0" w:color="000000"/>
              <w:left w:val="single" w:sz="4" w:space="0" w:color="000000"/>
              <w:bottom w:val="single" w:sz="4" w:space="0" w:color="000000"/>
              <w:right w:val="single" w:sz="4" w:space="0" w:color="000000"/>
            </w:tcBorders>
            <w:vAlign w:val="center"/>
          </w:tcPr>
          <w:p w14:paraId="5C75CD9B"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Identification, analyse, évaluation, traitement</w:t>
            </w:r>
          </w:p>
        </w:tc>
        <w:tc>
          <w:tcPr>
            <w:tcW w:w="2947" w:type="dxa"/>
            <w:tcBorders>
              <w:top w:val="single" w:sz="4" w:space="0" w:color="000000"/>
              <w:left w:val="single" w:sz="4" w:space="0" w:color="000000"/>
              <w:bottom w:val="single" w:sz="4" w:space="0" w:color="000000"/>
              <w:right w:val="single" w:sz="4" w:space="0" w:color="000000"/>
            </w:tcBorders>
            <w:vAlign w:val="center"/>
          </w:tcPr>
          <w:p w14:paraId="2E5D8847"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Structure la démarche de gestion des risques et alimente la section 7 du plan. Norme en cours de révision ; l’édition 2018 demeure en vigueur.</w:t>
            </w:r>
          </w:p>
        </w:tc>
      </w:tr>
      <w:tr w:rsidR="00F50D70" w:rsidRPr="00BE4F47" w14:paraId="20309386" w14:textId="77777777">
        <w:trPr>
          <w:cantSplit/>
          <w:trHeight w:val="1876"/>
        </w:trPr>
        <w:tc>
          <w:tcPr>
            <w:tcW w:w="1364" w:type="dxa"/>
            <w:tcBorders>
              <w:top w:val="single" w:sz="4" w:space="0" w:color="000000"/>
              <w:left w:val="single" w:sz="4" w:space="0" w:color="000000"/>
              <w:bottom w:val="single" w:sz="4" w:space="0" w:color="000000"/>
              <w:right w:val="single" w:sz="4" w:space="0" w:color="000000"/>
            </w:tcBorders>
            <w:vAlign w:val="center"/>
          </w:tcPr>
          <w:p w14:paraId="5BF68AD1"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lastRenderedPageBreak/>
              <w:t>ASME V&amp;V 20 [28]</w:t>
            </w:r>
          </w:p>
        </w:tc>
        <w:tc>
          <w:tcPr>
            <w:tcW w:w="1097" w:type="dxa"/>
            <w:tcBorders>
              <w:top w:val="single" w:sz="4" w:space="0" w:color="000000"/>
              <w:left w:val="single" w:sz="4" w:space="0" w:color="000000"/>
              <w:bottom w:val="single" w:sz="4" w:space="0" w:color="000000"/>
              <w:right w:val="single" w:sz="4" w:space="0" w:color="000000"/>
            </w:tcBorders>
            <w:vAlign w:val="center"/>
          </w:tcPr>
          <w:p w14:paraId="1C38502A"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2009 (R2021)</w:t>
            </w:r>
          </w:p>
        </w:tc>
        <w:tc>
          <w:tcPr>
            <w:tcW w:w="1929" w:type="dxa"/>
            <w:tcBorders>
              <w:top w:val="single" w:sz="4" w:space="0" w:color="000000"/>
              <w:left w:val="single" w:sz="4" w:space="0" w:color="000000"/>
              <w:bottom w:val="single" w:sz="4" w:space="0" w:color="000000"/>
              <w:right w:val="single" w:sz="4" w:space="0" w:color="000000"/>
            </w:tcBorders>
            <w:vAlign w:val="center"/>
          </w:tcPr>
          <w:p w14:paraId="376825BD"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Vérification et validation en mécanique des fluides numérique et transferts thermiques</w:t>
            </w:r>
          </w:p>
        </w:tc>
        <w:tc>
          <w:tcPr>
            <w:tcW w:w="1735" w:type="dxa"/>
            <w:tcBorders>
              <w:top w:val="single" w:sz="4" w:space="0" w:color="000000"/>
              <w:left w:val="single" w:sz="4" w:space="0" w:color="000000"/>
              <w:bottom w:val="single" w:sz="4" w:space="0" w:color="000000"/>
              <w:right w:val="single" w:sz="4" w:space="0" w:color="000000"/>
            </w:tcBorders>
            <w:vAlign w:val="center"/>
          </w:tcPr>
          <w:p w14:paraId="317C8C44" w14:textId="77777777" w:rsidR="00F50D70" w:rsidRPr="00BE4F47" w:rsidRDefault="00000000" w:rsidP="008E113B">
            <w:pPr>
              <w:spacing w:before="20" w:after="20"/>
              <w:ind w:left="0"/>
              <w:outlineLvl w:val="9"/>
              <w:rPr>
                <w:rFonts w:ascii="Aptos" w:hAnsi="Aptos"/>
              </w:rPr>
            </w:pPr>
            <w:r w:rsidRPr="00BE4F47">
              <w:rPr>
                <w:rFonts w:ascii="Aptos" w:eastAsia="Calibri" w:hAnsi="Aptos" w:cs="Calibri"/>
                <w:color w:val="1A1A19"/>
              </w:rPr>
              <w:t>Erreur numérique, erreur de modèle, incertitude de validation</w:t>
            </w:r>
          </w:p>
        </w:tc>
        <w:tc>
          <w:tcPr>
            <w:tcW w:w="2947" w:type="dxa"/>
            <w:tcBorders>
              <w:top w:val="single" w:sz="4" w:space="0" w:color="000000"/>
              <w:left w:val="single" w:sz="4" w:space="0" w:color="000000"/>
              <w:bottom w:val="single" w:sz="4" w:space="0" w:color="000000"/>
              <w:right w:val="single" w:sz="4" w:space="0" w:color="000000"/>
            </w:tcBorders>
            <w:vAlign w:val="center"/>
          </w:tcPr>
          <w:p w14:paraId="121DE6EB"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 xml:space="preserve">Fournit la méthode pour établir la crédibilité du modèle </w:t>
            </w:r>
            <w:proofErr w:type="spellStart"/>
            <w:r w:rsidRPr="00BE4F47">
              <w:rPr>
                <w:rFonts w:ascii="Aptos" w:eastAsia="Calibri" w:hAnsi="Aptos" w:cs="Calibri"/>
                <w:color w:val="1A1A19"/>
              </w:rPr>
              <w:t>thermohydraulique</w:t>
            </w:r>
            <w:proofErr w:type="spellEnd"/>
            <w:r w:rsidRPr="00BE4F47">
              <w:rPr>
                <w:rFonts w:ascii="Aptos" w:eastAsia="Calibri" w:hAnsi="Aptos" w:cs="Calibri"/>
                <w:color w:val="1A1A19"/>
              </w:rPr>
              <w:t xml:space="preserve"> et pour quantifier l’incertitude comparée aux données de référence. C’est la norme qui outille la campagne d’essais.</w:t>
            </w:r>
          </w:p>
        </w:tc>
      </w:tr>
      <w:tr w:rsidR="00F50D70" w:rsidRPr="00BE4F47" w14:paraId="4EC858EE"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02984078"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IEEE 1012 [29]</w:t>
            </w:r>
          </w:p>
        </w:tc>
        <w:tc>
          <w:tcPr>
            <w:tcW w:w="1097" w:type="dxa"/>
            <w:tcBorders>
              <w:top w:val="single" w:sz="4" w:space="0" w:color="000000"/>
              <w:left w:val="single" w:sz="4" w:space="0" w:color="000000"/>
              <w:bottom w:val="single" w:sz="4" w:space="0" w:color="000000"/>
              <w:right w:val="single" w:sz="4" w:space="0" w:color="000000"/>
            </w:tcBorders>
            <w:vAlign w:val="center"/>
          </w:tcPr>
          <w:p w14:paraId="25EDE555"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2024</w:t>
            </w:r>
          </w:p>
        </w:tc>
        <w:tc>
          <w:tcPr>
            <w:tcW w:w="1929" w:type="dxa"/>
            <w:tcBorders>
              <w:top w:val="single" w:sz="4" w:space="0" w:color="000000"/>
              <w:left w:val="single" w:sz="4" w:space="0" w:color="000000"/>
              <w:bottom w:val="single" w:sz="4" w:space="0" w:color="000000"/>
              <w:right w:val="single" w:sz="4" w:space="0" w:color="000000"/>
            </w:tcBorders>
            <w:vAlign w:val="center"/>
          </w:tcPr>
          <w:p w14:paraId="3283A807"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Vérification et validation des systèmes, du logiciel et du matériel</w:t>
            </w:r>
          </w:p>
        </w:tc>
        <w:tc>
          <w:tcPr>
            <w:tcW w:w="1735" w:type="dxa"/>
            <w:tcBorders>
              <w:top w:val="single" w:sz="4" w:space="0" w:color="000000"/>
              <w:left w:val="single" w:sz="4" w:space="0" w:color="000000"/>
              <w:bottom w:val="single" w:sz="4" w:space="0" w:color="000000"/>
              <w:right w:val="single" w:sz="4" w:space="0" w:color="000000"/>
            </w:tcBorders>
            <w:vAlign w:val="center"/>
          </w:tcPr>
          <w:p w14:paraId="7FD1DD38"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Plan de V&amp;V, niveaux d’intégrité, indépendance de la V&amp;V</w:t>
            </w:r>
          </w:p>
        </w:tc>
        <w:tc>
          <w:tcPr>
            <w:tcW w:w="2947" w:type="dxa"/>
            <w:tcBorders>
              <w:top w:val="single" w:sz="4" w:space="0" w:color="000000"/>
              <w:left w:val="single" w:sz="4" w:space="0" w:color="000000"/>
              <w:bottom w:val="single" w:sz="4" w:space="0" w:color="000000"/>
              <w:right w:val="single" w:sz="4" w:space="0" w:color="000000"/>
            </w:tcBorders>
            <w:vAlign w:val="center"/>
          </w:tcPr>
          <w:p w14:paraId="3120B4E4"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Définit le contenu du plan de V&amp;V et le degré d’indépendance attendu entre le développement et la vérification.</w:t>
            </w:r>
          </w:p>
        </w:tc>
      </w:tr>
      <w:tr w:rsidR="00F50D70" w:rsidRPr="00BE4F47" w14:paraId="638DE0B6" w14:textId="77777777">
        <w:trPr>
          <w:cantSplit/>
          <w:trHeight w:val="1096"/>
        </w:trPr>
        <w:tc>
          <w:tcPr>
            <w:tcW w:w="1364" w:type="dxa"/>
            <w:tcBorders>
              <w:top w:val="single" w:sz="4" w:space="0" w:color="000000"/>
              <w:left w:val="single" w:sz="4" w:space="0" w:color="000000"/>
              <w:bottom w:val="single" w:sz="4" w:space="0" w:color="000000"/>
              <w:right w:val="single" w:sz="4" w:space="0" w:color="000000"/>
            </w:tcBorders>
            <w:vAlign w:val="center"/>
          </w:tcPr>
          <w:p w14:paraId="770894F3"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ISO 9241-210 [30]</w:t>
            </w:r>
          </w:p>
        </w:tc>
        <w:tc>
          <w:tcPr>
            <w:tcW w:w="1097" w:type="dxa"/>
            <w:tcBorders>
              <w:top w:val="single" w:sz="4" w:space="0" w:color="000000"/>
              <w:left w:val="single" w:sz="4" w:space="0" w:color="000000"/>
              <w:bottom w:val="single" w:sz="4" w:space="0" w:color="000000"/>
              <w:right w:val="single" w:sz="4" w:space="0" w:color="000000"/>
            </w:tcBorders>
            <w:vAlign w:val="center"/>
          </w:tcPr>
          <w:p w14:paraId="1F471D19"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2019</w:t>
            </w:r>
          </w:p>
        </w:tc>
        <w:tc>
          <w:tcPr>
            <w:tcW w:w="1929" w:type="dxa"/>
            <w:tcBorders>
              <w:top w:val="single" w:sz="4" w:space="0" w:color="000000"/>
              <w:left w:val="single" w:sz="4" w:space="0" w:color="000000"/>
              <w:bottom w:val="single" w:sz="4" w:space="0" w:color="000000"/>
              <w:right w:val="single" w:sz="4" w:space="0" w:color="000000"/>
            </w:tcBorders>
            <w:vAlign w:val="center"/>
          </w:tcPr>
          <w:p w14:paraId="06341470" w14:textId="77777777" w:rsidR="00F50D70" w:rsidRPr="00BE4F47" w:rsidRDefault="00000000" w:rsidP="008E113B">
            <w:pPr>
              <w:spacing w:before="20" w:after="20"/>
              <w:ind w:left="0"/>
              <w:outlineLvl w:val="9"/>
              <w:rPr>
                <w:rFonts w:ascii="Aptos" w:hAnsi="Aptos"/>
              </w:rPr>
            </w:pPr>
            <w:r w:rsidRPr="00BE4F47">
              <w:rPr>
                <w:rFonts w:ascii="Aptos" w:eastAsia="Calibri" w:hAnsi="Aptos" w:cs="Calibri"/>
                <w:color w:val="1A1A19"/>
              </w:rPr>
              <w:t>Conception centrée sur l’humain</w:t>
            </w:r>
          </w:p>
        </w:tc>
        <w:tc>
          <w:tcPr>
            <w:tcW w:w="1735" w:type="dxa"/>
            <w:tcBorders>
              <w:top w:val="single" w:sz="4" w:space="0" w:color="000000"/>
              <w:left w:val="single" w:sz="4" w:space="0" w:color="000000"/>
              <w:bottom w:val="single" w:sz="4" w:space="0" w:color="000000"/>
              <w:right w:val="single" w:sz="4" w:space="0" w:color="000000"/>
            </w:tcBorders>
            <w:vAlign w:val="center"/>
          </w:tcPr>
          <w:p w14:paraId="1700C3B0"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Principes de conception et d’évaluation de l’IHM</w:t>
            </w:r>
          </w:p>
        </w:tc>
        <w:tc>
          <w:tcPr>
            <w:tcW w:w="2947" w:type="dxa"/>
            <w:tcBorders>
              <w:top w:val="single" w:sz="4" w:space="0" w:color="000000"/>
              <w:left w:val="single" w:sz="4" w:space="0" w:color="000000"/>
              <w:bottom w:val="single" w:sz="4" w:space="0" w:color="000000"/>
              <w:right w:val="single" w:sz="4" w:space="0" w:color="000000"/>
            </w:tcBorders>
            <w:vAlign w:val="center"/>
          </w:tcPr>
          <w:p w14:paraId="135FF6DB"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Oriente l’affichage des alertes, la lisibilité des états et la présentation de l’incertitude à l’opérateur.</w:t>
            </w:r>
          </w:p>
        </w:tc>
      </w:tr>
      <w:tr w:rsidR="00F50D70" w:rsidRPr="00BE4F47" w14:paraId="5395A93A"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54F285F3"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CSA N290.7 [23]</w:t>
            </w:r>
          </w:p>
        </w:tc>
        <w:tc>
          <w:tcPr>
            <w:tcW w:w="1097" w:type="dxa"/>
            <w:tcBorders>
              <w:top w:val="single" w:sz="4" w:space="0" w:color="000000"/>
              <w:left w:val="single" w:sz="4" w:space="0" w:color="000000"/>
              <w:bottom w:val="single" w:sz="4" w:space="0" w:color="000000"/>
              <w:right w:val="single" w:sz="4" w:space="0" w:color="000000"/>
            </w:tcBorders>
            <w:vAlign w:val="center"/>
          </w:tcPr>
          <w:p w14:paraId="7709A154"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2021</w:t>
            </w:r>
          </w:p>
        </w:tc>
        <w:tc>
          <w:tcPr>
            <w:tcW w:w="1929" w:type="dxa"/>
            <w:tcBorders>
              <w:top w:val="single" w:sz="4" w:space="0" w:color="000000"/>
              <w:left w:val="single" w:sz="4" w:space="0" w:color="000000"/>
              <w:bottom w:val="single" w:sz="4" w:space="0" w:color="000000"/>
              <w:right w:val="single" w:sz="4" w:space="0" w:color="000000"/>
            </w:tcBorders>
            <w:vAlign w:val="center"/>
          </w:tcPr>
          <w:p w14:paraId="477EFC7D"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Cybersécurité des installations nucléaires</w:t>
            </w:r>
          </w:p>
        </w:tc>
        <w:tc>
          <w:tcPr>
            <w:tcW w:w="1735" w:type="dxa"/>
            <w:tcBorders>
              <w:top w:val="single" w:sz="4" w:space="0" w:color="000000"/>
              <w:left w:val="single" w:sz="4" w:space="0" w:color="000000"/>
              <w:bottom w:val="single" w:sz="4" w:space="0" w:color="000000"/>
              <w:right w:val="single" w:sz="4" w:space="0" w:color="000000"/>
            </w:tcBorders>
            <w:vAlign w:val="center"/>
          </w:tcPr>
          <w:p w14:paraId="6DA933AE"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Intégrité, disponibilité, contrôle d’accès, surveillance</w:t>
            </w:r>
          </w:p>
        </w:tc>
        <w:tc>
          <w:tcPr>
            <w:tcW w:w="2947" w:type="dxa"/>
            <w:tcBorders>
              <w:top w:val="single" w:sz="4" w:space="0" w:color="000000"/>
              <w:left w:val="single" w:sz="4" w:space="0" w:color="000000"/>
              <w:bottom w:val="single" w:sz="4" w:space="0" w:color="000000"/>
              <w:right w:val="single" w:sz="4" w:space="0" w:color="000000"/>
            </w:tcBorders>
            <w:vAlign w:val="center"/>
          </w:tcPr>
          <w:p w14:paraId="0F30861C"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Oriente la protection des données du jumeau, la gestion des accès et la journalisation. Rendue opposable à l’exploitant par les conditions de permis.</w:t>
            </w:r>
          </w:p>
        </w:tc>
      </w:tr>
      <w:tr w:rsidR="00F50D70" w:rsidRPr="00BE4F47" w14:paraId="51FB96F1"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2F89F3BB"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IEC 62645 [31]</w:t>
            </w:r>
          </w:p>
        </w:tc>
        <w:tc>
          <w:tcPr>
            <w:tcW w:w="1097" w:type="dxa"/>
            <w:tcBorders>
              <w:top w:val="single" w:sz="4" w:space="0" w:color="000000"/>
              <w:left w:val="single" w:sz="4" w:space="0" w:color="000000"/>
              <w:bottom w:val="single" w:sz="4" w:space="0" w:color="000000"/>
              <w:right w:val="single" w:sz="4" w:space="0" w:color="000000"/>
            </w:tcBorders>
            <w:vAlign w:val="center"/>
          </w:tcPr>
          <w:p w14:paraId="5A5828B8"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2019</w:t>
            </w:r>
          </w:p>
        </w:tc>
        <w:tc>
          <w:tcPr>
            <w:tcW w:w="1929" w:type="dxa"/>
            <w:tcBorders>
              <w:top w:val="single" w:sz="4" w:space="0" w:color="000000"/>
              <w:left w:val="single" w:sz="4" w:space="0" w:color="000000"/>
              <w:bottom w:val="single" w:sz="4" w:space="0" w:color="000000"/>
              <w:right w:val="single" w:sz="4" w:space="0" w:color="000000"/>
            </w:tcBorders>
            <w:vAlign w:val="center"/>
          </w:tcPr>
          <w:p w14:paraId="031F083E" w14:textId="77777777" w:rsidR="00F50D70" w:rsidRPr="00BE4F47" w:rsidRDefault="00000000" w:rsidP="008E113B">
            <w:pPr>
              <w:spacing w:before="20" w:after="20"/>
              <w:ind w:left="0"/>
              <w:outlineLvl w:val="9"/>
              <w:rPr>
                <w:rFonts w:ascii="Aptos" w:hAnsi="Aptos"/>
              </w:rPr>
            </w:pPr>
            <w:r w:rsidRPr="00BE4F47">
              <w:rPr>
                <w:rFonts w:ascii="Aptos" w:eastAsia="Calibri" w:hAnsi="Aptos" w:cs="Calibri"/>
                <w:color w:val="1A1A19"/>
              </w:rPr>
              <w:t>Cybersécurité des systèmes I&amp;C nucléaires</w:t>
            </w:r>
          </w:p>
        </w:tc>
        <w:tc>
          <w:tcPr>
            <w:tcW w:w="1735" w:type="dxa"/>
            <w:tcBorders>
              <w:top w:val="single" w:sz="4" w:space="0" w:color="000000"/>
              <w:left w:val="single" w:sz="4" w:space="0" w:color="000000"/>
              <w:bottom w:val="single" w:sz="4" w:space="0" w:color="000000"/>
              <w:right w:val="single" w:sz="4" w:space="0" w:color="000000"/>
            </w:tcBorders>
            <w:vAlign w:val="center"/>
          </w:tcPr>
          <w:p w14:paraId="588BED7E"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Prévention, détection, surveillance, réaction</w:t>
            </w:r>
          </w:p>
        </w:tc>
        <w:tc>
          <w:tcPr>
            <w:tcW w:w="2947" w:type="dxa"/>
            <w:tcBorders>
              <w:top w:val="single" w:sz="4" w:space="0" w:color="000000"/>
              <w:left w:val="single" w:sz="4" w:space="0" w:color="000000"/>
              <w:bottom w:val="single" w:sz="4" w:space="0" w:color="000000"/>
              <w:right w:val="single" w:sz="4" w:space="0" w:color="000000"/>
            </w:tcBorders>
            <w:vAlign w:val="center"/>
          </w:tcPr>
          <w:p w14:paraId="0B22D2BF"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Encadre l’acquisition de données, la détection d’informations incohérentes et le fonctionnement en mode dégradé.</w:t>
            </w:r>
          </w:p>
        </w:tc>
      </w:tr>
      <w:tr w:rsidR="00F50D70" w:rsidRPr="00BE4F47" w14:paraId="3C429DA1" w14:textId="77777777">
        <w:trPr>
          <w:cantSplit/>
          <w:trHeight w:val="841"/>
        </w:trPr>
        <w:tc>
          <w:tcPr>
            <w:tcW w:w="1364" w:type="dxa"/>
            <w:tcBorders>
              <w:top w:val="single" w:sz="4" w:space="0" w:color="000000"/>
              <w:left w:val="single" w:sz="4" w:space="0" w:color="000000"/>
              <w:bottom w:val="single" w:sz="4" w:space="0" w:color="000000"/>
              <w:right w:val="single" w:sz="4" w:space="0" w:color="000000"/>
            </w:tcBorders>
            <w:vAlign w:val="center"/>
          </w:tcPr>
          <w:p w14:paraId="3BDA862D"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IEC 63096 [32]</w:t>
            </w:r>
          </w:p>
        </w:tc>
        <w:tc>
          <w:tcPr>
            <w:tcW w:w="1097" w:type="dxa"/>
            <w:tcBorders>
              <w:top w:val="single" w:sz="4" w:space="0" w:color="000000"/>
              <w:left w:val="single" w:sz="4" w:space="0" w:color="000000"/>
              <w:bottom w:val="single" w:sz="4" w:space="0" w:color="000000"/>
              <w:right w:val="single" w:sz="4" w:space="0" w:color="000000"/>
            </w:tcBorders>
            <w:vAlign w:val="center"/>
          </w:tcPr>
          <w:p w14:paraId="495A3208"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2020</w:t>
            </w:r>
          </w:p>
        </w:tc>
        <w:tc>
          <w:tcPr>
            <w:tcW w:w="1929" w:type="dxa"/>
            <w:tcBorders>
              <w:top w:val="single" w:sz="4" w:space="0" w:color="000000"/>
              <w:left w:val="single" w:sz="4" w:space="0" w:color="000000"/>
              <w:bottom w:val="single" w:sz="4" w:space="0" w:color="000000"/>
              <w:right w:val="single" w:sz="4" w:space="0" w:color="000000"/>
            </w:tcBorders>
            <w:vAlign w:val="center"/>
          </w:tcPr>
          <w:p w14:paraId="243E33E6"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Contrôles de cybersécurité</w:t>
            </w:r>
          </w:p>
        </w:tc>
        <w:tc>
          <w:tcPr>
            <w:tcW w:w="1735" w:type="dxa"/>
            <w:tcBorders>
              <w:top w:val="single" w:sz="4" w:space="0" w:color="000000"/>
              <w:left w:val="single" w:sz="4" w:space="0" w:color="000000"/>
              <w:bottom w:val="single" w:sz="4" w:space="0" w:color="000000"/>
              <w:right w:val="single" w:sz="4" w:space="0" w:color="000000"/>
            </w:tcBorders>
            <w:vAlign w:val="center"/>
          </w:tcPr>
          <w:p w14:paraId="0159D3FA"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Accès, intégrité, journalisation, communications</w:t>
            </w:r>
          </w:p>
        </w:tc>
        <w:tc>
          <w:tcPr>
            <w:tcW w:w="2947" w:type="dxa"/>
            <w:tcBorders>
              <w:top w:val="single" w:sz="4" w:space="0" w:color="000000"/>
              <w:left w:val="single" w:sz="4" w:space="0" w:color="000000"/>
              <w:bottom w:val="single" w:sz="4" w:space="0" w:color="000000"/>
              <w:right w:val="single" w:sz="4" w:space="0" w:color="000000"/>
            </w:tcBorders>
            <w:vAlign w:val="center"/>
          </w:tcPr>
          <w:p w14:paraId="6E25D3FE"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Oriente le choix des mécanismes de contrôle d’accès et de protection des échanges.</w:t>
            </w:r>
          </w:p>
        </w:tc>
      </w:tr>
      <w:tr w:rsidR="00F50D70" w:rsidRPr="00BE4F47" w14:paraId="7C595D76"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62A5ED26"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IEC 62859 [33]</w:t>
            </w:r>
          </w:p>
        </w:tc>
        <w:tc>
          <w:tcPr>
            <w:tcW w:w="1097" w:type="dxa"/>
            <w:tcBorders>
              <w:top w:val="single" w:sz="4" w:space="0" w:color="000000"/>
              <w:left w:val="single" w:sz="4" w:space="0" w:color="000000"/>
              <w:bottom w:val="single" w:sz="4" w:space="0" w:color="000000"/>
              <w:right w:val="single" w:sz="4" w:space="0" w:color="000000"/>
            </w:tcBorders>
            <w:vAlign w:val="center"/>
          </w:tcPr>
          <w:p w14:paraId="1287A579"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2016 + A1:2019</w:t>
            </w:r>
          </w:p>
        </w:tc>
        <w:tc>
          <w:tcPr>
            <w:tcW w:w="1929" w:type="dxa"/>
            <w:tcBorders>
              <w:top w:val="single" w:sz="4" w:space="0" w:color="000000"/>
              <w:left w:val="single" w:sz="4" w:space="0" w:color="000000"/>
              <w:bottom w:val="single" w:sz="4" w:space="0" w:color="000000"/>
              <w:right w:val="single" w:sz="4" w:space="0" w:color="000000"/>
            </w:tcBorders>
            <w:vAlign w:val="center"/>
          </w:tcPr>
          <w:p w14:paraId="78E3BE30"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Coordination entre sûreté et cybersécurité</w:t>
            </w:r>
          </w:p>
        </w:tc>
        <w:tc>
          <w:tcPr>
            <w:tcW w:w="1735" w:type="dxa"/>
            <w:tcBorders>
              <w:top w:val="single" w:sz="4" w:space="0" w:color="000000"/>
              <w:left w:val="single" w:sz="4" w:space="0" w:color="000000"/>
              <w:bottom w:val="single" w:sz="4" w:space="0" w:color="000000"/>
              <w:right w:val="single" w:sz="4" w:space="0" w:color="000000"/>
            </w:tcBorders>
            <w:vAlign w:val="center"/>
          </w:tcPr>
          <w:p w14:paraId="54043039"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Interaction entre mesures de sûreté et mesures de sécurité</w:t>
            </w:r>
          </w:p>
        </w:tc>
        <w:tc>
          <w:tcPr>
            <w:tcW w:w="2947" w:type="dxa"/>
            <w:tcBorders>
              <w:top w:val="single" w:sz="4" w:space="0" w:color="000000"/>
              <w:left w:val="single" w:sz="4" w:space="0" w:color="000000"/>
              <w:bottom w:val="single" w:sz="4" w:space="0" w:color="000000"/>
              <w:right w:val="single" w:sz="4" w:space="0" w:color="000000"/>
            </w:tcBorders>
            <w:vAlign w:val="center"/>
          </w:tcPr>
          <w:p w14:paraId="3FBACD0E" w14:textId="77777777" w:rsidR="00F50D70" w:rsidRPr="00BE4F47" w:rsidRDefault="00000000" w:rsidP="008E113B">
            <w:pPr>
              <w:spacing w:before="20" w:after="20"/>
              <w:ind w:left="0"/>
              <w:outlineLvl w:val="9"/>
              <w:rPr>
                <w:rFonts w:ascii="Aptos" w:hAnsi="Aptos"/>
              </w:rPr>
            </w:pPr>
            <w:r w:rsidRPr="00BE4F47">
              <w:rPr>
                <w:rFonts w:ascii="Aptos" w:eastAsia="Calibri" w:hAnsi="Aptos" w:cs="Calibri"/>
                <w:color w:val="1A1A19"/>
              </w:rPr>
              <w:t>Garantit qu’une mesure de cybersécurité n’empêche pas l’opérateur de percevoir l’état réel du système.</w:t>
            </w:r>
          </w:p>
        </w:tc>
      </w:tr>
      <w:tr w:rsidR="00F50D70" w:rsidRPr="00BE4F47" w14:paraId="24155810" w14:textId="77777777">
        <w:trPr>
          <w:cantSplit/>
          <w:trHeight w:val="833"/>
        </w:trPr>
        <w:tc>
          <w:tcPr>
            <w:tcW w:w="1364" w:type="dxa"/>
            <w:tcBorders>
              <w:top w:val="single" w:sz="4" w:space="0" w:color="000000"/>
              <w:left w:val="single" w:sz="4" w:space="0" w:color="000000"/>
              <w:bottom w:val="single" w:sz="4" w:space="0" w:color="000000"/>
              <w:right w:val="single" w:sz="4" w:space="0" w:color="000000"/>
            </w:tcBorders>
            <w:vAlign w:val="center"/>
          </w:tcPr>
          <w:p w14:paraId="0B636DBC"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IEC 61513 [34]</w:t>
            </w:r>
          </w:p>
        </w:tc>
        <w:tc>
          <w:tcPr>
            <w:tcW w:w="1097" w:type="dxa"/>
            <w:tcBorders>
              <w:top w:val="single" w:sz="4" w:space="0" w:color="000000"/>
              <w:left w:val="single" w:sz="4" w:space="0" w:color="000000"/>
              <w:bottom w:val="single" w:sz="4" w:space="0" w:color="000000"/>
              <w:right w:val="single" w:sz="4" w:space="0" w:color="000000"/>
            </w:tcBorders>
            <w:vAlign w:val="center"/>
          </w:tcPr>
          <w:p w14:paraId="00756E23"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2026 (éd. 3.0)</w:t>
            </w:r>
          </w:p>
        </w:tc>
        <w:tc>
          <w:tcPr>
            <w:tcW w:w="1929" w:type="dxa"/>
            <w:tcBorders>
              <w:top w:val="single" w:sz="4" w:space="0" w:color="000000"/>
              <w:left w:val="single" w:sz="4" w:space="0" w:color="000000"/>
              <w:bottom w:val="single" w:sz="4" w:space="0" w:color="000000"/>
              <w:right w:val="single" w:sz="4" w:space="0" w:color="000000"/>
            </w:tcBorders>
            <w:vAlign w:val="center"/>
          </w:tcPr>
          <w:p w14:paraId="340EE7F8"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Systèmes I&amp;C importants pour la sûreté</w:t>
            </w:r>
          </w:p>
        </w:tc>
        <w:tc>
          <w:tcPr>
            <w:tcW w:w="1735" w:type="dxa"/>
            <w:tcBorders>
              <w:top w:val="single" w:sz="4" w:space="0" w:color="000000"/>
              <w:left w:val="single" w:sz="4" w:space="0" w:color="000000"/>
              <w:bottom w:val="single" w:sz="4" w:space="0" w:color="000000"/>
              <w:right w:val="single" w:sz="4" w:space="0" w:color="000000"/>
            </w:tcBorders>
            <w:vAlign w:val="center"/>
          </w:tcPr>
          <w:p w14:paraId="3AE5D1DD"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Architecture, exigences, cycle de vie</w:t>
            </w:r>
          </w:p>
        </w:tc>
        <w:tc>
          <w:tcPr>
            <w:tcW w:w="2947" w:type="dxa"/>
            <w:tcBorders>
              <w:top w:val="single" w:sz="4" w:space="0" w:color="000000"/>
              <w:left w:val="single" w:sz="4" w:space="0" w:color="000000"/>
              <w:bottom w:val="single" w:sz="4" w:space="0" w:color="000000"/>
              <w:right w:val="single" w:sz="4" w:space="0" w:color="000000"/>
            </w:tcBorders>
            <w:vAlign w:val="center"/>
          </w:tcPr>
          <w:p w14:paraId="1DB0D62E"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Référence pour l’architecture, la définition des fonctions et la validation du système simulé.</w:t>
            </w:r>
          </w:p>
        </w:tc>
      </w:tr>
      <w:tr w:rsidR="00F50D70" w:rsidRPr="00BE4F47" w14:paraId="022CA0B0" w14:textId="77777777">
        <w:trPr>
          <w:cantSplit/>
          <w:trHeight w:val="1105"/>
        </w:trPr>
        <w:tc>
          <w:tcPr>
            <w:tcW w:w="1364" w:type="dxa"/>
            <w:tcBorders>
              <w:top w:val="single" w:sz="4" w:space="0" w:color="000000"/>
              <w:left w:val="single" w:sz="4" w:space="0" w:color="000000"/>
              <w:bottom w:val="single" w:sz="4" w:space="0" w:color="000000"/>
              <w:right w:val="single" w:sz="4" w:space="0" w:color="000000"/>
            </w:tcBorders>
            <w:vAlign w:val="center"/>
          </w:tcPr>
          <w:p w14:paraId="61E01DE0"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lastRenderedPageBreak/>
              <w:t>IEC 60880 [35]</w:t>
            </w:r>
          </w:p>
        </w:tc>
        <w:tc>
          <w:tcPr>
            <w:tcW w:w="1097" w:type="dxa"/>
            <w:tcBorders>
              <w:top w:val="single" w:sz="4" w:space="0" w:color="000000"/>
              <w:left w:val="single" w:sz="4" w:space="0" w:color="000000"/>
              <w:bottom w:val="single" w:sz="4" w:space="0" w:color="000000"/>
              <w:right w:val="single" w:sz="4" w:space="0" w:color="000000"/>
            </w:tcBorders>
            <w:vAlign w:val="center"/>
          </w:tcPr>
          <w:p w14:paraId="6DE6FFD3"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2006</w:t>
            </w:r>
          </w:p>
        </w:tc>
        <w:tc>
          <w:tcPr>
            <w:tcW w:w="1929" w:type="dxa"/>
            <w:tcBorders>
              <w:top w:val="single" w:sz="4" w:space="0" w:color="000000"/>
              <w:left w:val="single" w:sz="4" w:space="0" w:color="000000"/>
              <w:bottom w:val="single" w:sz="4" w:space="0" w:color="000000"/>
              <w:right w:val="single" w:sz="4" w:space="0" w:color="000000"/>
            </w:tcBorders>
            <w:vAlign w:val="center"/>
          </w:tcPr>
          <w:p w14:paraId="51F13F9B"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Logiciels des fonctions de catégorie A</w:t>
            </w:r>
          </w:p>
        </w:tc>
        <w:tc>
          <w:tcPr>
            <w:tcW w:w="1735" w:type="dxa"/>
            <w:tcBorders>
              <w:top w:val="single" w:sz="4" w:space="0" w:color="000000"/>
              <w:left w:val="single" w:sz="4" w:space="0" w:color="000000"/>
              <w:bottom w:val="single" w:sz="4" w:space="0" w:color="000000"/>
              <w:right w:val="single" w:sz="4" w:space="0" w:color="000000"/>
            </w:tcBorders>
            <w:vAlign w:val="center"/>
          </w:tcPr>
          <w:p w14:paraId="2F220430"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Développement, vérification, validation</w:t>
            </w:r>
          </w:p>
        </w:tc>
        <w:tc>
          <w:tcPr>
            <w:tcW w:w="2947" w:type="dxa"/>
            <w:tcBorders>
              <w:top w:val="single" w:sz="4" w:space="0" w:color="000000"/>
              <w:left w:val="single" w:sz="4" w:space="0" w:color="000000"/>
              <w:bottom w:val="single" w:sz="4" w:space="0" w:color="000000"/>
              <w:right w:val="single" w:sz="4" w:space="0" w:color="000000"/>
            </w:tcBorders>
            <w:vAlign w:val="center"/>
          </w:tcPr>
          <w:p w14:paraId="470767F9"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Référence de rigueur pour la vérification, la validation et la traçabilité des fonctions logicielles.</w:t>
            </w:r>
          </w:p>
        </w:tc>
      </w:tr>
      <w:tr w:rsidR="00F50D70" w:rsidRPr="00BE4F47" w14:paraId="4B09B0A9" w14:textId="77777777">
        <w:trPr>
          <w:cantSplit/>
          <w:trHeight w:val="833"/>
        </w:trPr>
        <w:tc>
          <w:tcPr>
            <w:tcW w:w="1364" w:type="dxa"/>
            <w:tcBorders>
              <w:top w:val="single" w:sz="4" w:space="0" w:color="000000"/>
              <w:left w:val="single" w:sz="4" w:space="0" w:color="000000"/>
              <w:bottom w:val="single" w:sz="4" w:space="0" w:color="000000"/>
              <w:right w:val="single" w:sz="4" w:space="0" w:color="000000"/>
            </w:tcBorders>
            <w:vAlign w:val="center"/>
          </w:tcPr>
          <w:p w14:paraId="051D42A1"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IEC 62138 [36]</w:t>
            </w:r>
          </w:p>
        </w:tc>
        <w:tc>
          <w:tcPr>
            <w:tcW w:w="1097" w:type="dxa"/>
            <w:tcBorders>
              <w:top w:val="single" w:sz="4" w:space="0" w:color="000000"/>
              <w:left w:val="single" w:sz="4" w:space="0" w:color="000000"/>
              <w:bottom w:val="single" w:sz="4" w:space="0" w:color="000000"/>
              <w:right w:val="single" w:sz="4" w:space="0" w:color="000000"/>
            </w:tcBorders>
            <w:vAlign w:val="center"/>
          </w:tcPr>
          <w:p w14:paraId="4E91C0EE"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2018</w:t>
            </w:r>
          </w:p>
        </w:tc>
        <w:tc>
          <w:tcPr>
            <w:tcW w:w="1929" w:type="dxa"/>
            <w:tcBorders>
              <w:top w:val="single" w:sz="4" w:space="0" w:color="000000"/>
              <w:left w:val="single" w:sz="4" w:space="0" w:color="000000"/>
              <w:bottom w:val="single" w:sz="4" w:space="0" w:color="000000"/>
              <w:right w:val="single" w:sz="4" w:space="0" w:color="000000"/>
            </w:tcBorders>
            <w:vAlign w:val="center"/>
          </w:tcPr>
          <w:p w14:paraId="48A33BE6" w14:textId="77777777" w:rsidR="00F50D70" w:rsidRPr="00BE4F47" w:rsidRDefault="00000000" w:rsidP="008E113B">
            <w:pPr>
              <w:spacing w:before="20" w:after="20"/>
              <w:ind w:left="0"/>
              <w:outlineLvl w:val="9"/>
              <w:rPr>
                <w:rFonts w:ascii="Aptos" w:hAnsi="Aptos"/>
              </w:rPr>
            </w:pPr>
            <w:r w:rsidRPr="00BE4F47">
              <w:rPr>
                <w:rFonts w:ascii="Aptos" w:eastAsia="Calibri" w:hAnsi="Aptos" w:cs="Calibri"/>
                <w:color w:val="1A1A19"/>
              </w:rPr>
              <w:t>Logiciels des fonctions de catégorie B ou C</w:t>
            </w:r>
          </w:p>
        </w:tc>
        <w:tc>
          <w:tcPr>
            <w:tcW w:w="1735" w:type="dxa"/>
            <w:tcBorders>
              <w:top w:val="single" w:sz="4" w:space="0" w:color="000000"/>
              <w:left w:val="single" w:sz="4" w:space="0" w:color="000000"/>
              <w:bottom w:val="single" w:sz="4" w:space="0" w:color="000000"/>
              <w:right w:val="single" w:sz="4" w:space="0" w:color="000000"/>
            </w:tcBorders>
            <w:vAlign w:val="center"/>
          </w:tcPr>
          <w:p w14:paraId="393DC21E"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Développement, essais, documentation</w:t>
            </w:r>
          </w:p>
        </w:tc>
        <w:tc>
          <w:tcPr>
            <w:tcW w:w="2947" w:type="dxa"/>
            <w:tcBorders>
              <w:top w:val="single" w:sz="4" w:space="0" w:color="000000"/>
              <w:left w:val="single" w:sz="4" w:space="0" w:color="000000"/>
              <w:bottom w:val="single" w:sz="4" w:space="0" w:color="000000"/>
              <w:right w:val="single" w:sz="4" w:space="0" w:color="000000"/>
            </w:tcBorders>
            <w:vAlign w:val="center"/>
          </w:tcPr>
          <w:p w14:paraId="114CD164"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Encadre les essais, la documentation et la validation des modules logiciels.</w:t>
            </w:r>
          </w:p>
        </w:tc>
      </w:tr>
      <w:tr w:rsidR="00F50D70" w:rsidRPr="00BE4F47" w14:paraId="56ABA15E" w14:textId="77777777">
        <w:trPr>
          <w:cantSplit/>
          <w:trHeight w:val="1105"/>
        </w:trPr>
        <w:tc>
          <w:tcPr>
            <w:tcW w:w="1364" w:type="dxa"/>
            <w:tcBorders>
              <w:top w:val="single" w:sz="4" w:space="0" w:color="000000"/>
              <w:left w:val="single" w:sz="4" w:space="0" w:color="000000"/>
              <w:bottom w:val="single" w:sz="4" w:space="0" w:color="000000"/>
              <w:right w:val="single" w:sz="4" w:space="0" w:color="000000"/>
            </w:tcBorders>
            <w:vAlign w:val="center"/>
          </w:tcPr>
          <w:p w14:paraId="4DCB1A3C"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ISO/IEC 27001 [37]</w:t>
            </w:r>
          </w:p>
        </w:tc>
        <w:tc>
          <w:tcPr>
            <w:tcW w:w="1097" w:type="dxa"/>
            <w:tcBorders>
              <w:top w:val="single" w:sz="4" w:space="0" w:color="000000"/>
              <w:left w:val="single" w:sz="4" w:space="0" w:color="000000"/>
              <w:bottom w:val="single" w:sz="4" w:space="0" w:color="000000"/>
              <w:right w:val="single" w:sz="4" w:space="0" w:color="000000"/>
            </w:tcBorders>
            <w:vAlign w:val="center"/>
          </w:tcPr>
          <w:p w14:paraId="03BA5DA5"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2022</w:t>
            </w:r>
          </w:p>
        </w:tc>
        <w:tc>
          <w:tcPr>
            <w:tcW w:w="1929" w:type="dxa"/>
            <w:tcBorders>
              <w:top w:val="single" w:sz="4" w:space="0" w:color="000000"/>
              <w:left w:val="single" w:sz="4" w:space="0" w:color="000000"/>
              <w:bottom w:val="single" w:sz="4" w:space="0" w:color="000000"/>
              <w:right w:val="single" w:sz="4" w:space="0" w:color="000000"/>
            </w:tcBorders>
            <w:vAlign w:val="center"/>
          </w:tcPr>
          <w:p w14:paraId="1FA7415C"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Management de la sécurité de l’information</w:t>
            </w:r>
          </w:p>
        </w:tc>
        <w:tc>
          <w:tcPr>
            <w:tcW w:w="1735" w:type="dxa"/>
            <w:tcBorders>
              <w:top w:val="single" w:sz="4" w:space="0" w:color="000000"/>
              <w:left w:val="single" w:sz="4" w:space="0" w:color="000000"/>
              <w:bottom w:val="single" w:sz="4" w:space="0" w:color="000000"/>
              <w:right w:val="single" w:sz="4" w:space="0" w:color="000000"/>
            </w:tcBorders>
            <w:vAlign w:val="center"/>
          </w:tcPr>
          <w:p w14:paraId="6E8325A9"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Accès, intégrité, disponibilité</w:t>
            </w:r>
          </w:p>
        </w:tc>
        <w:tc>
          <w:tcPr>
            <w:tcW w:w="2947" w:type="dxa"/>
            <w:tcBorders>
              <w:top w:val="single" w:sz="4" w:space="0" w:color="000000"/>
              <w:left w:val="single" w:sz="4" w:space="0" w:color="000000"/>
              <w:bottom w:val="single" w:sz="4" w:space="0" w:color="000000"/>
              <w:right w:val="single" w:sz="4" w:space="0" w:color="000000"/>
            </w:tcBorders>
            <w:vAlign w:val="center"/>
          </w:tcPr>
          <w:p w14:paraId="3848A9EC"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Prise en compte de la disponibilité des données, de leur intégrité et de la gestion des accès au prototype.</w:t>
            </w:r>
          </w:p>
        </w:tc>
      </w:tr>
      <w:tr w:rsidR="00F50D70" w:rsidRPr="00BE4F47" w14:paraId="535BCC7C" w14:textId="77777777">
        <w:trPr>
          <w:cantSplit/>
          <w:trHeight w:val="1096"/>
        </w:trPr>
        <w:tc>
          <w:tcPr>
            <w:tcW w:w="1364" w:type="dxa"/>
            <w:tcBorders>
              <w:top w:val="single" w:sz="4" w:space="0" w:color="000000"/>
              <w:left w:val="single" w:sz="4" w:space="0" w:color="000000"/>
              <w:bottom w:val="single" w:sz="4" w:space="0" w:color="000000"/>
              <w:right w:val="single" w:sz="4" w:space="0" w:color="000000"/>
            </w:tcBorders>
            <w:vAlign w:val="center"/>
          </w:tcPr>
          <w:p w14:paraId="115A7CCD"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rPr>
              <w:t>ISO/IEC 27005 [38]</w:t>
            </w:r>
          </w:p>
        </w:tc>
        <w:tc>
          <w:tcPr>
            <w:tcW w:w="1097" w:type="dxa"/>
            <w:tcBorders>
              <w:top w:val="single" w:sz="4" w:space="0" w:color="000000"/>
              <w:left w:val="single" w:sz="4" w:space="0" w:color="000000"/>
              <w:bottom w:val="single" w:sz="4" w:space="0" w:color="000000"/>
              <w:right w:val="single" w:sz="4" w:space="0" w:color="000000"/>
            </w:tcBorders>
            <w:vAlign w:val="center"/>
          </w:tcPr>
          <w:p w14:paraId="57727C4B"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2022</w:t>
            </w:r>
          </w:p>
        </w:tc>
        <w:tc>
          <w:tcPr>
            <w:tcW w:w="1929" w:type="dxa"/>
            <w:tcBorders>
              <w:top w:val="single" w:sz="4" w:space="0" w:color="000000"/>
              <w:left w:val="single" w:sz="4" w:space="0" w:color="000000"/>
              <w:bottom w:val="single" w:sz="4" w:space="0" w:color="000000"/>
              <w:right w:val="single" w:sz="4" w:space="0" w:color="000000"/>
            </w:tcBorders>
            <w:vAlign w:val="center"/>
          </w:tcPr>
          <w:p w14:paraId="5E172F72"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Gestion des risques de sécurité de l’information</w:t>
            </w:r>
          </w:p>
        </w:tc>
        <w:tc>
          <w:tcPr>
            <w:tcW w:w="1735" w:type="dxa"/>
            <w:tcBorders>
              <w:top w:val="single" w:sz="4" w:space="0" w:color="000000"/>
              <w:left w:val="single" w:sz="4" w:space="0" w:color="000000"/>
              <w:bottom w:val="single" w:sz="4" w:space="0" w:color="000000"/>
              <w:right w:val="single" w:sz="4" w:space="0" w:color="000000"/>
            </w:tcBorders>
            <w:vAlign w:val="center"/>
          </w:tcPr>
          <w:p w14:paraId="3A841F53" w14:textId="77777777" w:rsidR="00F50D70" w:rsidRPr="00BE4F47" w:rsidRDefault="00000000" w:rsidP="008E113B">
            <w:pPr>
              <w:spacing w:before="20" w:after="20"/>
              <w:ind w:left="0"/>
              <w:outlineLvl w:val="9"/>
              <w:rPr>
                <w:rFonts w:ascii="Aptos" w:eastAsia="Calibri" w:hAnsi="Aptos" w:cs="Calibri"/>
                <w:color w:val="1A1A19"/>
              </w:rPr>
            </w:pPr>
            <w:r w:rsidRPr="00BE4F47">
              <w:rPr>
                <w:rFonts w:ascii="Aptos" w:eastAsia="Calibri" w:hAnsi="Aptos" w:cs="Calibri"/>
                <w:color w:val="1A1A19"/>
              </w:rPr>
              <w:t>Identification, analyse et traitement des risques</w:t>
            </w:r>
          </w:p>
        </w:tc>
        <w:tc>
          <w:tcPr>
            <w:tcW w:w="2947" w:type="dxa"/>
            <w:tcBorders>
              <w:top w:val="single" w:sz="4" w:space="0" w:color="000000"/>
              <w:left w:val="single" w:sz="4" w:space="0" w:color="000000"/>
              <w:bottom w:val="single" w:sz="4" w:space="0" w:color="000000"/>
              <w:right w:val="single" w:sz="4" w:space="0" w:color="000000"/>
            </w:tcBorders>
            <w:vAlign w:val="center"/>
          </w:tcPr>
          <w:p w14:paraId="79B2971A" w14:textId="77777777" w:rsidR="00F50D70" w:rsidRPr="00BE4F47" w:rsidRDefault="00000000" w:rsidP="008E113B">
            <w:pPr>
              <w:spacing w:before="20" w:after="20"/>
              <w:ind w:left="0"/>
              <w:outlineLvl w:val="9"/>
              <w:rPr>
                <w:rFonts w:ascii="Aptos" w:hAnsi="Aptos"/>
              </w:rPr>
            </w:pPr>
            <w:r w:rsidRPr="00BE4F47">
              <w:rPr>
                <w:rFonts w:ascii="Aptos" w:eastAsia="Calibri" w:hAnsi="Aptos" w:cs="Calibri"/>
                <w:color w:val="1A1A19"/>
              </w:rPr>
              <w:t>Structure l’analyse des risques liés aux données, aux communications et aux fonctions numériques.</w:t>
            </w:r>
          </w:p>
        </w:tc>
      </w:tr>
    </w:tbl>
    <w:p w14:paraId="03C09D9F" w14:textId="77777777" w:rsidR="00F50D70" w:rsidRPr="00BE4F47" w:rsidRDefault="00F50D70" w:rsidP="008E113B">
      <w:pPr>
        <w:spacing w:line="360" w:lineRule="auto"/>
        <w:ind w:left="0"/>
        <w:rPr>
          <w:rFonts w:ascii="Aptos" w:hAnsi="Aptos" w:cs="Calibri"/>
        </w:rPr>
      </w:pPr>
    </w:p>
    <w:p w14:paraId="0F6B97CF" w14:textId="77777777" w:rsidR="00F50D70" w:rsidRPr="00B03F2E" w:rsidRDefault="00000000" w:rsidP="008E113B">
      <w:pPr>
        <w:pStyle w:val="Titre2"/>
        <w:spacing w:line="360" w:lineRule="auto"/>
      </w:pPr>
      <w:bookmarkStart w:id="290" w:name="_Toc241083007"/>
      <w:r w:rsidRPr="00B03F2E">
        <w:t>Esprit des normes, dépassement et éthique professionnelle</w:t>
      </w:r>
      <w:bookmarkEnd w:id="290"/>
    </w:p>
    <w:p w14:paraId="2DAB98C6" w14:textId="77777777" w:rsidR="00F50D70" w:rsidRPr="00BE4F47" w:rsidRDefault="00000000" w:rsidP="008E113B">
      <w:pPr>
        <w:spacing w:after="130" w:line="360" w:lineRule="auto"/>
        <w:ind w:left="360"/>
        <w:rPr>
          <w:rFonts w:ascii="Aptos" w:hAnsi="Aptos"/>
        </w:rPr>
      </w:pPr>
      <w:bookmarkStart w:id="291" w:name="_Toc241083008"/>
      <w:r w:rsidRPr="00BE4F47">
        <w:rPr>
          <w:rFonts w:ascii="Aptos" w:eastAsia="Calibri" w:hAnsi="Aptos" w:cs="Calibri"/>
          <w:color w:val="1A1A19"/>
          <w:sz w:val="20"/>
          <w:szCs w:val="20"/>
        </w:rPr>
        <w:t>Retenir une norme et la respecter ne suffit pas. Le guide de pratique professionnelle de l’Ordre des ingénieurs du Québec [39] demande trois choses de plus : comprendre la valeur que la norme vise, la dépasser quand cette valeur l’exige, et se conduire par jugement quand aucune norme ne couvre la situation.</w:t>
      </w:r>
      <w:bookmarkEnd w:id="291"/>
    </w:p>
    <w:p w14:paraId="2B109CBA" w14:textId="77777777" w:rsidR="00F50D70" w:rsidRPr="00BE4F47" w:rsidRDefault="00000000" w:rsidP="008E113B">
      <w:pPr>
        <w:spacing w:after="130" w:line="360" w:lineRule="auto"/>
        <w:ind w:left="360"/>
        <w:rPr>
          <w:rFonts w:ascii="Aptos" w:hAnsi="Aptos"/>
        </w:rPr>
      </w:pPr>
      <w:bookmarkStart w:id="292" w:name="_Toc241083009"/>
      <w:r w:rsidRPr="00BE4F47">
        <w:rPr>
          <w:rFonts w:ascii="Aptos" w:eastAsia="Calibri" w:hAnsi="Aptos" w:cs="Calibri"/>
          <w:color w:val="1A1A19"/>
          <w:sz w:val="20"/>
          <w:szCs w:val="20"/>
        </w:rPr>
        <w:t>L’esprit des normes retenues. Les normes de sûreté et de cybersécurité du tableau précédent visent toutes la même valeur : qu’un système ne laisse jamais croire que tout va bien quand on ne sait pas. Le projet a traduit cette valeur en une exigence fonctionnelle, EX-F-06, qui impose un état « incertain » explicite. Cette exigence ne vient pas d’un article de norme précis. Elle vient de ce que les normes cherchent à protéger.</w:t>
      </w:r>
      <w:bookmarkEnd w:id="292"/>
    </w:p>
    <w:p w14:paraId="37595946" w14:textId="77777777" w:rsidR="00F50D70" w:rsidRPr="00BE4F47" w:rsidRDefault="00000000" w:rsidP="008E113B">
      <w:pPr>
        <w:pStyle w:val="Lgende"/>
        <w:spacing w:line="360" w:lineRule="auto"/>
        <w:rPr>
          <w:rFonts w:ascii="Aptos" w:hAnsi="Aptos"/>
        </w:rPr>
      </w:pPr>
      <w:bookmarkStart w:id="293" w:name="_Toc241083010"/>
      <w:r w:rsidRPr="00BE4F47">
        <w:rPr>
          <w:rFonts w:ascii="Aptos" w:hAnsi="Aptos"/>
        </w:rPr>
        <w:t>Tableau 6-5. Ce que le projet fait au-delà de ce que les normes imposent</w:t>
      </w:r>
      <w:bookmarkEnd w:id="293"/>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2000"/>
        <w:gridCol w:w="2600"/>
        <w:gridCol w:w="3957"/>
      </w:tblGrid>
      <w:tr w:rsidR="00F50D70" w:rsidRPr="00BE4F47" w14:paraId="4FF7EE83" w14:textId="77777777" w:rsidTr="0036725C">
        <w:trPr>
          <w:trHeight w:val="227"/>
          <w:tblHeader/>
        </w:trPr>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9C293C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Norme retenue</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8ABAF0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impose</w:t>
            </w:r>
          </w:p>
        </w:tc>
        <w:tc>
          <w:tcPr>
            <w:tcW w:w="39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D667DE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 le projet fait au-delà</w:t>
            </w:r>
          </w:p>
        </w:tc>
      </w:tr>
      <w:tr w:rsidR="00F50D70" w:rsidRPr="00BE4F47" w14:paraId="00F1FB1F"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7586064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IEEE 1012 sur la vérification et la validation</w:t>
            </w:r>
          </w:p>
        </w:tc>
        <w:tc>
          <w:tcPr>
            <w:tcW w:w="2600" w:type="dxa"/>
            <w:tcBorders>
              <w:top w:val="single" w:sz="4" w:space="0" w:color="000000"/>
              <w:left w:val="single" w:sz="4" w:space="0" w:color="000000"/>
              <w:bottom w:val="single" w:sz="4" w:space="0" w:color="000000"/>
              <w:right w:val="single" w:sz="4" w:space="0" w:color="000000"/>
            </w:tcBorders>
          </w:tcPr>
          <w:p w14:paraId="31AAF6A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 plan de V&amp;V dont le contenu est fixé.</w:t>
            </w:r>
          </w:p>
        </w:tc>
        <w:tc>
          <w:tcPr>
            <w:tcW w:w="3957" w:type="dxa"/>
            <w:tcBorders>
              <w:top w:val="single" w:sz="4" w:space="0" w:color="000000"/>
              <w:left w:val="single" w:sz="4" w:space="0" w:color="000000"/>
              <w:bottom w:val="single" w:sz="4" w:space="0" w:color="000000"/>
              <w:right w:val="single" w:sz="4" w:space="0" w:color="000000"/>
            </w:tcBorders>
          </w:tcPr>
          <w:p w14:paraId="06C64FD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Chaque essai est rattaché à la version exacte du modèle et du jeu de données qui l’a produit, de sorte qu’un tiers puisse le rejouer. La norme n’exige pas cette reproductibilité intégrale.</w:t>
            </w:r>
          </w:p>
        </w:tc>
      </w:tr>
      <w:tr w:rsidR="00F50D70" w:rsidRPr="00BE4F47" w14:paraId="2D2B8244"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5E3B8C1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ISO 9241-210 sur la conception centrée sur l’humain</w:t>
            </w:r>
          </w:p>
        </w:tc>
        <w:tc>
          <w:tcPr>
            <w:tcW w:w="2600" w:type="dxa"/>
            <w:tcBorders>
              <w:top w:val="single" w:sz="4" w:space="0" w:color="000000"/>
              <w:left w:val="single" w:sz="4" w:space="0" w:color="000000"/>
              <w:bottom w:val="single" w:sz="4" w:space="0" w:color="000000"/>
              <w:right w:val="single" w:sz="4" w:space="0" w:color="000000"/>
            </w:tcBorders>
          </w:tcPr>
          <w:p w14:paraId="2D79E7D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Associer l’utilisateur à la conception de l’interface.</w:t>
            </w:r>
          </w:p>
        </w:tc>
        <w:tc>
          <w:tcPr>
            <w:tcW w:w="3957" w:type="dxa"/>
            <w:tcBorders>
              <w:top w:val="single" w:sz="4" w:space="0" w:color="000000"/>
              <w:left w:val="single" w:sz="4" w:space="0" w:color="000000"/>
              <w:bottom w:val="single" w:sz="4" w:space="0" w:color="000000"/>
              <w:right w:val="single" w:sz="4" w:space="0" w:color="000000"/>
            </w:tcBorders>
          </w:tcPr>
          <w:p w14:paraId="38BFB26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L’interface affiche les variables qui ont contribué au diagnostic, et pas seulement le verdict. La norme demande l’utilisabilité, le projet vise l’explicabilité.</w:t>
            </w:r>
          </w:p>
        </w:tc>
      </w:tr>
      <w:tr w:rsidR="00F50D70" w:rsidRPr="00BE4F47" w14:paraId="5DE3AD14"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79313FA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ISO/IEC 27001 et les normes de cybersécurité nucléaire</w:t>
            </w:r>
          </w:p>
        </w:tc>
        <w:tc>
          <w:tcPr>
            <w:tcW w:w="2600" w:type="dxa"/>
            <w:tcBorders>
              <w:top w:val="single" w:sz="4" w:space="0" w:color="000000"/>
              <w:left w:val="single" w:sz="4" w:space="0" w:color="000000"/>
              <w:bottom w:val="single" w:sz="4" w:space="0" w:color="000000"/>
              <w:right w:val="single" w:sz="4" w:space="0" w:color="000000"/>
            </w:tcBorders>
          </w:tcPr>
          <w:p w14:paraId="7164829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Protéger la confidentialité, l’intégrité et la disponibilité.</w:t>
            </w:r>
          </w:p>
        </w:tc>
        <w:tc>
          <w:tcPr>
            <w:tcW w:w="3957" w:type="dxa"/>
            <w:tcBorders>
              <w:top w:val="single" w:sz="4" w:space="0" w:color="000000"/>
              <w:left w:val="single" w:sz="4" w:space="0" w:color="000000"/>
              <w:bottom w:val="single" w:sz="4" w:space="0" w:color="000000"/>
              <w:right w:val="single" w:sz="4" w:space="0" w:color="000000"/>
            </w:tcBorders>
          </w:tcPr>
          <w:p w14:paraId="37F21A3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traite la donnée falsifiée comme un mode de défaillance à détecter, et non seulement comme une menace à repousser. Une donnée altérée doit produire un état « incertain », pas un état « normal ».</w:t>
            </w:r>
          </w:p>
        </w:tc>
      </w:tr>
      <w:tr w:rsidR="00F50D70" w:rsidRPr="00BE4F47" w14:paraId="47ADFB16"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0273CBF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 xml:space="preserve">ASME V&amp;V 20 sur la validation en </w:t>
            </w:r>
            <w:proofErr w:type="spellStart"/>
            <w:r w:rsidRPr="00BE4F47">
              <w:rPr>
                <w:rFonts w:ascii="Aptos" w:eastAsia="Calibri" w:hAnsi="Aptos" w:cs="Calibri"/>
                <w:b/>
                <w:bCs/>
                <w:color w:val="1A1A19"/>
                <w:sz w:val="16"/>
                <w:szCs w:val="16"/>
              </w:rPr>
              <w:t>thermohydraulique</w:t>
            </w:r>
            <w:proofErr w:type="spellEnd"/>
          </w:p>
        </w:tc>
        <w:tc>
          <w:tcPr>
            <w:tcW w:w="2600" w:type="dxa"/>
            <w:tcBorders>
              <w:top w:val="single" w:sz="4" w:space="0" w:color="000000"/>
              <w:left w:val="single" w:sz="4" w:space="0" w:color="000000"/>
              <w:bottom w:val="single" w:sz="4" w:space="0" w:color="000000"/>
              <w:right w:val="single" w:sz="4" w:space="0" w:color="000000"/>
            </w:tcBorders>
          </w:tcPr>
          <w:p w14:paraId="2F643AD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Décomposer l’écart entre modèle et référence.</w:t>
            </w:r>
          </w:p>
        </w:tc>
        <w:tc>
          <w:tcPr>
            <w:tcW w:w="3957" w:type="dxa"/>
            <w:tcBorders>
              <w:top w:val="single" w:sz="4" w:space="0" w:color="000000"/>
              <w:left w:val="single" w:sz="4" w:space="0" w:color="000000"/>
              <w:bottom w:val="single" w:sz="4" w:space="0" w:color="000000"/>
              <w:right w:val="single" w:sz="4" w:space="0" w:color="000000"/>
            </w:tcBorders>
          </w:tcPr>
          <w:p w14:paraId="3333075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publie l’écart et son domaine de validité dans le livrable remis au client, et non seulement dans ses notes internes.</w:t>
            </w:r>
          </w:p>
        </w:tc>
      </w:tr>
    </w:tbl>
    <w:p w14:paraId="78864A57" w14:textId="77777777" w:rsidR="00F50D70" w:rsidRPr="00BE4F47" w:rsidRDefault="00000000" w:rsidP="008E113B">
      <w:pPr>
        <w:spacing w:after="130" w:line="360" w:lineRule="auto"/>
        <w:ind w:left="360"/>
        <w:rPr>
          <w:rFonts w:ascii="Aptos" w:hAnsi="Aptos"/>
        </w:rPr>
      </w:pPr>
      <w:bookmarkStart w:id="294" w:name="_Toc241083011"/>
      <w:r w:rsidRPr="00BE4F47">
        <w:rPr>
          <w:rFonts w:ascii="Aptos" w:eastAsia="Calibri" w:hAnsi="Aptos" w:cs="Calibri"/>
          <w:color w:val="1A1A19"/>
          <w:sz w:val="20"/>
          <w:szCs w:val="20"/>
        </w:rPr>
        <w:t>Là où aucune norme ne tranche. Deux situations du projet ne sont couvertes par aucun des textes retenus. Aucune norme ne dit à partir de quel niveau de confiance un outil d’aide à la décision doit se taire plutôt que de proposer une conclusion. Et aucune ne dit comment présenter une incertitude à un opérateur pressé sans qu’il la lise comme un défaut de l’outil.</w:t>
      </w:r>
      <w:bookmarkEnd w:id="294"/>
    </w:p>
    <w:p w14:paraId="52DED328" w14:textId="77777777" w:rsidR="00F50D70" w:rsidRPr="00BE4F47" w:rsidRDefault="00000000" w:rsidP="008E113B">
      <w:pPr>
        <w:spacing w:after="130" w:line="360" w:lineRule="auto"/>
        <w:ind w:left="360"/>
        <w:rPr>
          <w:rFonts w:ascii="Aptos" w:hAnsi="Aptos"/>
        </w:rPr>
      </w:pPr>
      <w:bookmarkStart w:id="295" w:name="_Toc241083012"/>
      <w:r w:rsidRPr="00BE4F47">
        <w:rPr>
          <w:rFonts w:ascii="Aptos" w:eastAsia="Calibri" w:hAnsi="Aptos" w:cs="Calibri"/>
          <w:color w:val="1A1A19"/>
          <w:sz w:val="20"/>
          <w:szCs w:val="20"/>
        </w:rPr>
        <w:t xml:space="preserve">Dans ces deux cas, l’équipe ne s’autorise pas à conclure que ce qui n’est pas interdit est permis. Le principe retenu est celui de l’abstention informée : en l’absence de règle, le système annonce son incertitude plutôt que de produire un résultat, et la décision reste humaine. Ce principe découle de l’obligation d’informer </w:t>
      </w:r>
      <w:proofErr w:type="gramStart"/>
      <w:r w:rsidRPr="00BE4F47">
        <w:rPr>
          <w:rFonts w:ascii="Aptos" w:eastAsia="Calibri" w:hAnsi="Aptos" w:cs="Calibri"/>
          <w:color w:val="1A1A19"/>
          <w:sz w:val="20"/>
          <w:szCs w:val="20"/>
        </w:rPr>
        <w:t>le client inscrite</w:t>
      </w:r>
      <w:proofErr w:type="gramEnd"/>
      <w:r w:rsidRPr="00BE4F47">
        <w:rPr>
          <w:rFonts w:ascii="Aptos" w:eastAsia="Calibri" w:hAnsi="Aptos" w:cs="Calibri"/>
          <w:color w:val="1A1A19"/>
          <w:sz w:val="20"/>
          <w:szCs w:val="20"/>
        </w:rPr>
        <w:t xml:space="preserve"> au Code de déontologie des ingénieurs [40], et il est inscrit dans les exigences EX-F-06, EX-F-08 et EX-C-01.</w:t>
      </w:r>
      <w:bookmarkEnd w:id="295"/>
    </w:p>
    <w:p w14:paraId="49578092" w14:textId="77777777" w:rsidR="00F50D70" w:rsidRPr="00BE4F47" w:rsidRDefault="00000000" w:rsidP="008E113B">
      <w:pPr>
        <w:spacing w:after="130" w:line="360" w:lineRule="auto"/>
        <w:ind w:left="360"/>
        <w:rPr>
          <w:rFonts w:ascii="Aptos" w:hAnsi="Aptos"/>
        </w:rPr>
      </w:pPr>
      <w:bookmarkStart w:id="296" w:name="_Toc241083013"/>
      <w:r w:rsidRPr="00BE4F47">
        <w:rPr>
          <w:rFonts w:ascii="Aptos" w:eastAsia="Calibri" w:hAnsi="Aptos" w:cs="Calibri"/>
          <w:color w:val="1A1A19"/>
          <w:sz w:val="20"/>
          <w:szCs w:val="20"/>
        </w:rPr>
        <w:t xml:space="preserve">Une préoccupation professionnelle demeure ouverte, et il est plus honnête de l’écrire que de la </w:t>
      </w:r>
      <w:proofErr w:type="spellStart"/>
      <w:r w:rsidRPr="00BE4F47">
        <w:rPr>
          <w:rFonts w:ascii="Aptos" w:eastAsia="Calibri" w:hAnsi="Aptos" w:cs="Calibri"/>
          <w:color w:val="1A1A19"/>
          <w:sz w:val="20"/>
          <w:szCs w:val="20"/>
        </w:rPr>
        <w:t>taire</w:t>
      </w:r>
      <w:proofErr w:type="spellEnd"/>
      <w:r w:rsidRPr="00BE4F47">
        <w:rPr>
          <w:rFonts w:ascii="Aptos" w:eastAsia="Calibri" w:hAnsi="Aptos" w:cs="Calibri"/>
          <w:color w:val="1A1A19"/>
          <w:sz w:val="20"/>
          <w:szCs w:val="20"/>
        </w:rPr>
        <w:t>. Un prototype universitaire portant sur un contexte nucléaire peut être lu hors de son cadre. C’est précisément pourquoi le domaine de validité de la section 2 et les limites d’emploi du rapport final ne sont pas des formalités de fin de document, mais un livrable à part entière.</w:t>
      </w:r>
      <w:bookmarkEnd w:id="296"/>
    </w:p>
    <w:p w14:paraId="3CEC2F1D" w14:textId="77777777" w:rsidR="00F50D70" w:rsidRPr="00B03F2E" w:rsidRDefault="00000000" w:rsidP="008E113B">
      <w:pPr>
        <w:pStyle w:val="Titre2"/>
        <w:spacing w:line="360" w:lineRule="auto"/>
      </w:pPr>
      <w:bookmarkStart w:id="297" w:name="__RefHeading___Toc240715219"/>
      <w:bookmarkStart w:id="298" w:name="_Toc241083014"/>
      <w:bookmarkEnd w:id="297"/>
      <w:r w:rsidRPr="00B03F2E">
        <w:t>Incidence sur la conception</w:t>
      </w:r>
      <w:bookmarkEnd w:id="298"/>
    </w:p>
    <w:p w14:paraId="4BD84FB7" w14:textId="77777777" w:rsidR="00F50D70" w:rsidRPr="00BE4F47" w:rsidRDefault="00F50D70" w:rsidP="008E113B">
      <w:pPr>
        <w:spacing w:line="360" w:lineRule="auto"/>
        <w:ind w:left="0"/>
        <w:rPr>
          <w:rFonts w:ascii="Aptos" w:hAnsi="Aptos" w:cs="Calibri"/>
        </w:rPr>
      </w:pPr>
    </w:p>
    <w:p w14:paraId="4476F3B3" w14:textId="77777777" w:rsidR="00F50D70" w:rsidRPr="00BE4F47" w:rsidRDefault="00000000" w:rsidP="008E113B">
      <w:pPr>
        <w:spacing w:line="360" w:lineRule="auto"/>
        <w:ind w:left="720"/>
        <w:outlineLvl w:val="9"/>
        <w:rPr>
          <w:rFonts w:ascii="Aptos" w:hAnsi="Aptos" w:cs="Calibri"/>
        </w:rPr>
      </w:pPr>
      <w:r w:rsidRPr="00BE4F47">
        <w:rPr>
          <w:rFonts w:ascii="Aptos" w:eastAsia="Calibri" w:hAnsi="Aptos" w:cs="Calibri"/>
          <w:color w:val="1A1A19"/>
          <w:sz w:val="20"/>
          <w:szCs w:val="20"/>
        </w:rPr>
        <w:t>Les textes retenus se traduisent en contraintes techniques et en critères de validation vérifiables.</w:t>
      </w:r>
    </w:p>
    <w:p w14:paraId="226FFA2A" w14:textId="77777777" w:rsidR="00F50D70" w:rsidRPr="00B03F2E" w:rsidRDefault="00000000" w:rsidP="008E113B">
      <w:pPr>
        <w:pStyle w:val="Titre4"/>
        <w:spacing w:line="360" w:lineRule="auto"/>
        <w:rPr>
          <w:b w:val="0"/>
          <w:bCs w:val="0"/>
        </w:rPr>
      </w:pPr>
      <w:r w:rsidRPr="00B03F2E">
        <w:rPr>
          <w:b w:val="0"/>
          <w:bCs w:val="0"/>
        </w:rPr>
        <w:t xml:space="preserve"> Modélisation et comportement physique</w:t>
      </w:r>
    </w:p>
    <w:p w14:paraId="3CDCD275" w14:textId="77777777" w:rsidR="00F50D70" w:rsidRPr="00BE4F47" w:rsidRDefault="00000000" w:rsidP="008E113B">
      <w:pPr>
        <w:spacing w:line="360" w:lineRule="auto"/>
        <w:ind w:left="720"/>
        <w:outlineLvl w:val="9"/>
        <w:rPr>
          <w:rFonts w:ascii="Aptos" w:hAnsi="Aptos"/>
        </w:rPr>
      </w:pPr>
      <w:r w:rsidRPr="00BE4F47">
        <w:rPr>
          <w:rFonts w:ascii="Aptos" w:eastAsia="Calibri" w:hAnsi="Aptos" w:cs="Calibri"/>
          <w:color w:val="1A1A19"/>
          <w:sz w:val="20"/>
          <w:szCs w:val="20"/>
        </w:rPr>
        <w:t xml:space="preserve">Les dispositions de la Loi sur les ingénieurs relatives aux modèles et aux calculs [18] sont directement liées à la conception de la boucle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simulée. Les variables de température, de pression et de débit doivent reposer sur un modèle cohérent, documenté et vérifiable. Les hypothèses du modèle doivent être explicitement énoncées afin de distinguer la simulation universitaire d’un modèle représentant réellement Gentilly-2.</w:t>
      </w:r>
    </w:p>
    <w:p w14:paraId="7E82AAFE" w14:textId="77777777" w:rsidR="00F50D70" w:rsidRPr="00BE4F47" w:rsidRDefault="00F50D70" w:rsidP="008E113B">
      <w:pPr>
        <w:spacing w:line="360" w:lineRule="auto"/>
        <w:ind w:left="720"/>
        <w:outlineLvl w:val="9"/>
        <w:rPr>
          <w:rFonts w:ascii="Aptos" w:hAnsi="Aptos" w:cs="Calibri"/>
        </w:rPr>
      </w:pPr>
    </w:p>
    <w:p w14:paraId="75E6BFF7" w14:textId="77777777" w:rsidR="00F50D70" w:rsidRPr="00B03F2E" w:rsidRDefault="00000000" w:rsidP="008E113B">
      <w:pPr>
        <w:pStyle w:val="Titre4"/>
        <w:spacing w:line="360" w:lineRule="auto"/>
      </w:pPr>
      <w:r w:rsidRPr="00B03F2E">
        <w:rPr>
          <w:b w:val="0"/>
          <w:bCs w:val="0"/>
        </w:rPr>
        <w:t xml:space="preserve">Crédibilité du modèle numérique </w:t>
      </w:r>
    </w:p>
    <w:p w14:paraId="305F63F0" w14:textId="77777777" w:rsidR="00F50D70" w:rsidRPr="00BE4F47" w:rsidRDefault="00000000" w:rsidP="008E113B">
      <w:pPr>
        <w:spacing w:line="360" w:lineRule="auto"/>
        <w:ind w:left="720"/>
        <w:outlineLvl w:val="9"/>
        <w:rPr>
          <w:rFonts w:ascii="Aptos" w:hAnsi="Aptos"/>
        </w:rPr>
      </w:pPr>
      <w:r w:rsidRPr="00BE4F47">
        <w:rPr>
          <w:rFonts w:ascii="Aptos" w:eastAsia="Calibri" w:hAnsi="Aptos" w:cs="Calibri"/>
          <w:color w:val="1A1A19"/>
          <w:sz w:val="20"/>
          <w:szCs w:val="20"/>
        </w:rPr>
        <w:t xml:space="preserve">La crédibilité du modèle est ce qui distingue un jumeau numérique d’un logiciel ordinaire : vérifier que le programme est correct ne suffit pas, il faut établir que le modèle représente fidèlement le système physique. La norme ASME V&amp;V 20 [28] décompose l’écart entre le modèle et la référence en erreur numérique de résolution, erreur de modélisation et incertitude des données de référence, puis fournit la méthode pour les combiner en une incertitude de </w:t>
      </w:r>
      <w:r w:rsidRPr="00BE4F47">
        <w:rPr>
          <w:rFonts w:ascii="Aptos" w:eastAsia="Calibri" w:hAnsi="Aptos" w:cs="Calibri"/>
          <w:color w:val="1A1A19"/>
          <w:sz w:val="20"/>
          <w:szCs w:val="20"/>
        </w:rPr>
        <w:lastRenderedPageBreak/>
        <w:t>validation. Cette décomposition détermine le contenu de la campagne d’essais et la forme des résultats, un écart ne pouvant être interprété que rapporté à cette incertitude.</w:t>
      </w:r>
    </w:p>
    <w:p w14:paraId="5689B5BE" w14:textId="77777777" w:rsidR="00F50D70" w:rsidRPr="00BE4F47" w:rsidRDefault="00F50D70" w:rsidP="008E113B">
      <w:pPr>
        <w:spacing w:line="360" w:lineRule="auto"/>
        <w:ind w:left="720"/>
        <w:outlineLvl w:val="9"/>
        <w:rPr>
          <w:rFonts w:ascii="Aptos" w:hAnsi="Aptos" w:cs="Calibri"/>
        </w:rPr>
      </w:pPr>
    </w:p>
    <w:p w14:paraId="7C0E25C4" w14:textId="77777777" w:rsidR="00F50D70" w:rsidRPr="00BE4F47" w:rsidRDefault="00F50D70" w:rsidP="008E113B">
      <w:pPr>
        <w:spacing w:line="360" w:lineRule="auto"/>
        <w:ind w:left="720"/>
        <w:outlineLvl w:val="9"/>
        <w:rPr>
          <w:rFonts w:ascii="Aptos" w:hAnsi="Aptos" w:cs="Calibri"/>
        </w:rPr>
      </w:pPr>
    </w:p>
    <w:p w14:paraId="45CBD80C" w14:textId="77777777" w:rsidR="00F50D70" w:rsidRPr="00BE4F47" w:rsidRDefault="00000000" w:rsidP="008E113B">
      <w:pPr>
        <w:spacing w:line="360" w:lineRule="auto"/>
        <w:ind w:left="720"/>
        <w:outlineLvl w:val="9"/>
        <w:rPr>
          <w:rFonts w:ascii="Aptos" w:hAnsi="Aptos" w:cs="Calibri"/>
        </w:rPr>
      </w:pPr>
      <w:r w:rsidRPr="00BE4F47">
        <w:rPr>
          <w:rFonts w:ascii="Aptos" w:eastAsia="Calibri" w:hAnsi="Aptos" w:cs="Calibri"/>
          <w:color w:val="1A1A19"/>
          <w:sz w:val="20"/>
          <w:szCs w:val="20"/>
        </w:rPr>
        <w:t>La norme IEEE 1012 [29] fixe pour sa part le contenu du plan de vérification et de validation, ainsi que le degré d'indépendance exigé entre la personne qui développe une fonction et celle qui la vérifie.</w:t>
      </w:r>
    </w:p>
    <w:p w14:paraId="382C2A56" w14:textId="77777777" w:rsidR="00F50D70" w:rsidRPr="00BE4F47" w:rsidRDefault="00F50D70" w:rsidP="008E113B">
      <w:pPr>
        <w:spacing w:line="360" w:lineRule="auto"/>
        <w:ind w:left="720"/>
        <w:outlineLvl w:val="9"/>
        <w:rPr>
          <w:rFonts w:ascii="Aptos" w:hAnsi="Aptos" w:cs="Calibri"/>
        </w:rPr>
      </w:pPr>
    </w:p>
    <w:p w14:paraId="11610740" w14:textId="77777777" w:rsidR="00F50D70" w:rsidRPr="00B03F2E" w:rsidRDefault="00000000" w:rsidP="008E113B">
      <w:pPr>
        <w:pStyle w:val="Titre4"/>
        <w:spacing w:line="360" w:lineRule="auto"/>
        <w:rPr>
          <w:b w:val="0"/>
          <w:bCs w:val="0"/>
        </w:rPr>
      </w:pPr>
      <w:r w:rsidRPr="00B03F2E">
        <w:t>Architecture du jumeau numérique</w:t>
      </w:r>
    </w:p>
    <w:p w14:paraId="525FEC34" w14:textId="77777777" w:rsidR="00F50D70" w:rsidRPr="00BE4F47" w:rsidRDefault="00000000" w:rsidP="008E113B">
      <w:pPr>
        <w:spacing w:line="360" w:lineRule="auto"/>
        <w:ind w:left="720"/>
        <w:outlineLvl w:val="9"/>
        <w:rPr>
          <w:rFonts w:ascii="Aptos" w:hAnsi="Aptos"/>
        </w:rPr>
      </w:pPr>
      <w:r w:rsidRPr="00BE4F47">
        <w:rPr>
          <w:rFonts w:ascii="Aptos" w:eastAsia="Calibri" w:hAnsi="Aptos" w:cs="Calibri"/>
          <w:color w:val="1A1A19"/>
          <w:sz w:val="20"/>
          <w:szCs w:val="20"/>
        </w:rPr>
        <w:t xml:space="preserve">Les normes relatives au cycle de vie des systèmes [24], au cycle de vie du logiciel [2] et au cadre du jumeau numérique [25] conduisent à séparer clairement les fonctions du prototype : boucle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simulée, acquisition des données, jumeau numérique, analyse, interface d’aide à la décision. Cette séparation facilite le développement, les essais et la validation de chaque fonction indépendamment.</w:t>
      </w:r>
    </w:p>
    <w:p w14:paraId="44F56B72" w14:textId="77777777" w:rsidR="00F50D70" w:rsidRPr="00BE4F47" w:rsidRDefault="00F50D70" w:rsidP="008E113B">
      <w:pPr>
        <w:spacing w:line="360" w:lineRule="auto"/>
        <w:ind w:left="720"/>
        <w:outlineLvl w:val="9"/>
        <w:rPr>
          <w:rFonts w:ascii="Aptos" w:hAnsi="Aptos" w:cs="Calibri"/>
        </w:rPr>
      </w:pPr>
    </w:p>
    <w:p w14:paraId="1627C51D" w14:textId="77777777" w:rsidR="00F50D70" w:rsidRPr="00B03F2E" w:rsidRDefault="00000000" w:rsidP="008E113B">
      <w:pPr>
        <w:pStyle w:val="Titre4"/>
        <w:spacing w:line="360" w:lineRule="auto"/>
      </w:pPr>
      <w:r w:rsidRPr="00B03F2E">
        <w:rPr>
          <w:b w:val="0"/>
          <w:bCs w:val="0"/>
        </w:rPr>
        <w:t>Cybersécurité et résilience</w:t>
      </w:r>
    </w:p>
    <w:p w14:paraId="0EC1B511" w14:textId="77777777" w:rsidR="00F50D70" w:rsidRPr="00B03F2E" w:rsidRDefault="00000000" w:rsidP="008E113B">
      <w:pPr>
        <w:spacing w:after="130" w:line="360" w:lineRule="auto"/>
        <w:ind w:left="992"/>
        <w:rPr>
          <w:rFonts w:ascii="Aptos" w:eastAsia="Calibri" w:hAnsi="Aptos" w:cs="Calibri"/>
          <w:color w:val="1A1A19"/>
          <w:sz w:val="20"/>
          <w:szCs w:val="20"/>
        </w:rPr>
      </w:pPr>
      <w:bookmarkStart w:id="299" w:name="_Toc241083015"/>
      <w:r w:rsidRPr="00BE4F47">
        <w:rPr>
          <w:rFonts w:ascii="Aptos" w:eastAsia="Calibri" w:hAnsi="Aptos" w:cs="Calibri"/>
          <w:color w:val="1A1A19"/>
          <w:sz w:val="20"/>
          <w:szCs w:val="20"/>
        </w:rPr>
        <w:t>Les normes de cybersécurité [23] [31] [32] [37] conduisent à intégrer plusieurs principes dans la conception :</w:t>
      </w:r>
      <w:bookmarkEnd w:id="299"/>
    </w:p>
    <w:p w14:paraId="384C0440"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bookmarkStart w:id="300" w:name="_Toc241083016"/>
      <w:proofErr w:type="gramStart"/>
      <w:r w:rsidRPr="00BE4F47">
        <w:rPr>
          <w:rFonts w:ascii="Aptos" w:eastAsia="Calibri" w:hAnsi="Aptos" w:cs="Calibri"/>
          <w:color w:val="1A1A19"/>
          <w:sz w:val="20"/>
          <w:szCs w:val="20"/>
        </w:rPr>
        <w:t>protection</w:t>
      </w:r>
      <w:proofErr w:type="gramEnd"/>
      <w:r w:rsidRPr="00BE4F47">
        <w:rPr>
          <w:rFonts w:ascii="Aptos" w:eastAsia="Calibri" w:hAnsi="Aptos" w:cs="Calibri"/>
          <w:color w:val="1A1A19"/>
          <w:sz w:val="20"/>
          <w:szCs w:val="20"/>
        </w:rPr>
        <w:t xml:space="preserve"> de l’intégrité des données ;</w:t>
      </w:r>
      <w:bookmarkEnd w:id="300"/>
    </w:p>
    <w:p w14:paraId="574BD222"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bookmarkStart w:id="301" w:name="_Toc241083017"/>
      <w:proofErr w:type="gramStart"/>
      <w:r w:rsidRPr="00BE4F47">
        <w:rPr>
          <w:rFonts w:ascii="Aptos" w:eastAsia="Calibri" w:hAnsi="Aptos" w:cs="Calibri"/>
          <w:color w:val="1A1A19"/>
          <w:sz w:val="20"/>
          <w:szCs w:val="20"/>
        </w:rPr>
        <w:t>contrôle</w:t>
      </w:r>
      <w:proofErr w:type="gramEnd"/>
      <w:r w:rsidRPr="00BE4F47">
        <w:rPr>
          <w:rFonts w:ascii="Aptos" w:eastAsia="Calibri" w:hAnsi="Aptos" w:cs="Calibri"/>
          <w:color w:val="1A1A19"/>
          <w:sz w:val="20"/>
          <w:szCs w:val="20"/>
        </w:rPr>
        <w:t xml:space="preserve"> des accès ;</w:t>
      </w:r>
      <w:bookmarkEnd w:id="301"/>
    </w:p>
    <w:p w14:paraId="12C935C0"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bookmarkStart w:id="302" w:name="_Toc241083018"/>
      <w:proofErr w:type="gramStart"/>
      <w:r w:rsidRPr="00BE4F47">
        <w:rPr>
          <w:rFonts w:ascii="Aptos" w:eastAsia="Calibri" w:hAnsi="Aptos" w:cs="Calibri"/>
          <w:color w:val="1A1A19"/>
          <w:sz w:val="20"/>
          <w:szCs w:val="20"/>
        </w:rPr>
        <w:t>journalisation</w:t>
      </w:r>
      <w:proofErr w:type="gramEnd"/>
      <w:r w:rsidRPr="00BE4F47">
        <w:rPr>
          <w:rFonts w:ascii="Aptos" w:eastAsia="Calibri" w:hAnsi="Aptos" w:cs="Calibri"/>
          <w:color w:val="1A1A19"/>
          <w:sz w:val="20"/>
          <w:szCs w:val="20"/>
        </w:rPr>
        <w:t xml:space="preserve"> des événements ;</w:t>
      </w:r>
      <w:bookmarkEnd w:id="302"/>
    </w:p>
    <w:p w14:paraId="4C1FC098"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bookmarkStart w:id="303" w:name="_Toc241083019"/>
      <w:proofErr w:type="gramStart"/>
      <w:r w:rsidRPr="00BE4F47">
        <w:rPr>
          <w:rFonts w:ascii="Aptos" w:eastAsia="Calibri" w:hAnsi="Aptos" w:cs="Calibri"/>
          <w:color w:val="1A1A19"/>
          <w:sz w:val="20"/>
          <w:szCs w:val="20"/>
        </w:rPr>
        <w:t>surveillance</w:t>
      </w:r>
      <w:proofErr w:type="gramEnd"/>
      <w:r w:rsidRPr="00BE4F47">
        <w:rPr>
          <w:rFonts w:ascii="Aptos" w:eastAsia="Calibri" w:hAnsi="Aptos" w:cs="Calibri"/>
          <w:color w:val="1A1A19"/>
          <w:sz w:val="20"/>
          <w:szCs w:val="20"/>
        </w:rPr>
        <w:t xml:space="preserve"> des communications ;</w:t>
      </w:r>
      <w:bookmarkEnd w:id="303"/>
    </w:p>
    <w:p w14:paraId="792C69BF"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bookmarkStart w:id="304" w:name="_Toc241083020"/>
      <w:proofErr w:type="gramStart"/>
      <w:r w:rsidRPr="00BE4F47">
        <w:rPr>
          <w:rFonts w:ascii="Aptos" w:eastAsia="Calibri" w:hAnsi="Aptos" w:cs="Calibri"/>
          <w:color w:val="1A1A19"/>
          <w:sz w:val="20"/>
          <w:szCs w:val="20"/>
        </w:rPr>
        <w:t>identification</w:t>
      </w:r>
      <w:proofErr w:type="gramEnd"/>
      <w:r w:rsidRPr="00BE4F47">
        <w:rPr>
          <w:rFonts w:ascii="Aptos" w:eastAsia="Calibri" w:hAnsi="Aptos" w:cs="Calibri"/>
          <w:color w:val="1A1A19"/>
          <w:sz w:val="20"/>
          <w:szCs w:val="20"/>
        </w:rPr>
        <w:t xml:space="preserve"> des données incohérentes ;</w:t>
      </w:r>
      <w:bookmarkEnd w:id="304"/>
    </w:p>
    <w:p w14:paraId="37E1BF1F"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bookmarkStart w:id="305" w:name="_Toc241083021"/>
      <w:proofErr w:type="gramStart"/>
      <w:r w:rsidRPr="00BE4F47">
        <w:rPr>
          <w:rFonts w:ascii="Aptos" w:eastAsia="Calibri" w:hAnsi="Aptos" w:cs="Calibri"/>
          <w:color w:val="1A1A19"/>
          <w:sz w:val="20"/>
          <w:szCs w:val="20"/>
        </w:rPr>
        <w:t>détection</w:t>
      </w:r>
      <w:proofErr w:type="gramEnd"/>
      <w:r w:rsidRPr="00BE4F47">
        <w:rPr>
          <w:rFonts w:ascii="Aptos" w:eastAsia="Calibri" w:hAnsi="Aptos" w:cs="Calibri"/>
          <w:color w:val="1A1A19"/>
          <w:sz w:val="20"/>
          <w:szCs w:val="20"/>
        </w:rPr>
        <w:t xml:space="preserve"> d’une perte de communication ;</w:t>
      </w:r>
      <w:bookmarkEnd w:id="305"/>
    </w:p>
    <w:p w14:paraId="6A6DD01E"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bookmarkStart w:id="306" w:name="_Toc241083022"/>
      <w:proofErr w:type="gramStart"/>
      <w:r w:rsidRPr="00BE4F47">
        <w:rPr>
          <w:rFonts w:ascii="Aptos" w:eastAsia="Calibri" w:hAnsi="Aptos" w:cs="Calibri"/>
          <w:color w:val="1A1A19"/>
          <w:sz w:val="20"/>
          <w:szCs w:val="20"/>
        </w:rPr>
        <w:t>fonctionnement</w:t>
      </w:r>
      <w:proofErr w:type="gramEnd"/>
      <w:r w:rsidRPr="00BE4F47">
        <w:rPr>
          <w:rFonts w:ascii="Aptos" w:eastAsia="Calibri" w:hAnsi="Aptos" w:cs="Calibri"/>
          <w:color w:val="1A1A19"/>
          <w:sz w:val="20"/>
          <w:szCs w:val="20"/>
        </w:rPr>
        <w:t xml:space="preserve"> contrôlé lorsque certaines informations deviennent indisponibles.</w:t>
      </w:r>
      <w:bookmarkEnd w:id="306"/>
    </w:p>
    <w:p w14:paraId="11D5F029" w14:textId="77777777" w:rsidR="00F50D70" w:rsidRPr="00BE4F47" w:rsidRDefault="00000000" w:rsidP="008E113B">
      <w:pPr>
        <w:spacing w:after="130" w:line="360" w:lineRule="auto"/>
        <w:ind w:left="992"/>
        <w:rPr>
          <w:rFonts w:ascii="Aptos" w:hAnsi="Aptos"/>
        </w:rPr>
      </w:pPr>
      <w:bookmarkStart w:id="307" w:name="_Toc241083023"/>
      <w:r w:rsidRPr="00BE4F47">
        <w:rPr>
          <w:rFonts w:ascii="Aptos" w:eastAsia="Calibri" w:hAnsi="Aptos" w:cs="Calibri"/>
          <w:color w:val="1A1A19"/>
          <w:sz w:val="20"/>
          <w:szCs w:val="20"/>
        </w:rPr>
        <w:t>Le prototype signale une information incertaine ou indisponible au lieu de la présenter comme fiable (EX-F-06). La norme IEC 62859 [33] ajoute une contrainte que les autres n’imposent pas : une mesure de cybersécurité ne doit jamais empêcher l’opérateur de percevoir l’état réel du système, donc une coupure de flux décidée pour des motifs de sécurité doit être signalée et non silencieuse.</w:t>
      </w:r>
      <w:bookmarkEnd w:id="307"/>
    </w:p>
    <w:p w14:paraId="576AFF87" w14:textId="77777777" w:rsidR="00F50D70" w:rsidRPr="00BE4F47" w:rsidRDefault="00F50D70" w:rsidP="008E113B">
      <w:pPr>
        <w:spacing w:line="360" w:lineRule="auto"/>
        <w:ind w:left="720"/>
        <w:outlineLvl w:val="9"/>
        <w:rPr>
          <w:rFonts w:ascii="Aptos" w:hAnsi="Aptos" w:cs="Calibri"/>
        </w:rPr>
      </w:pPr>
    </w:p>
    <w:p w14:paraId="3ED9C572" w14:textId="77777777" w:rsidR="00F50D70" w:rsidRPr="00B03F2E" w:rsidRDefault="00000000" w:rsidP="008E113B">
      <w:pPr>
        <w:pStyle w:val="Titre4"/>
        <w:spacing w:line="360" w:lineRule="auto"/>
        <w:rPr>
          <w:b w:val="0"/>
          <w:bCs w:val="0"/>
        </w:rPr>
      </w:pPr>
      <w:r w:rsidRPr="00B03F2E">
        <w:t xml:space="preserve">Aide à la décision et interface </w:t>
      </w:r>
    </w:p>
    <w:p w14:paraId="4378735E" w14:textId="77777777" w:rsidR="00F50D70" w:rsidRPr="00B03F2E" w:rsidRDefault="00000000" w:rsidP="008E113B">
      <w:pPr>
        <w:spacing w:after="130" w:line="360" w:lineRule="auto"/>
        <w:ind w:left="992"/>
        <w:rPr>
          <w:rFonts w:ascii="Aptos" w:eastAsia="Calibri" w:hAnsi="Aptos" w:cs="Calibri"/>
          <w:color w:val="1A1A19"/>
          <w:sz w:val="20"/>
          <w:szCs w:val="20"/>
        </w:rPr>
      </w:pPr>
      <w:bookmarkStart w:id="308" w:name="_Toc241083024"/>
      <w:r w:rsidRPr="00BE4F47">
        <w:rPr>
          <w:rFonts w:ascii="Aptos" w:eastAsia="Calibri" w:hAnsi="Aptos" w:cs="Calibri"/>
          <w:color w:val="1A1A19"/>
          <w:sz w:val="20"/>
          <w:szCs w:val="20"/>
        </w:rPr>
        <w:t>Le jumeau numérique demeure un outil d’aide à la décision. Conformément aux principes de conception centrée sur l’humain [30], l’interface doit présenter clairement :</w:t>
      </w:r>
      <w:bookmarkEnd w:id="308"/>
      <w:r w:rsidRPr="00BE4F47">
        <w:rPr>
          <w:rFonts w:ascii="Aptos" w:eastAsia="Calibri" w:hAnsi="Aptos" w:cs="Calibri"/>
          <w:color w:val="1A1A19"/>
          <w:sz w:val="20"/>
          <w:szCs w:val="20"/>
        </w:rPr>
        <w:t xml:space="preserve"> </w:t>
      </w:r>
    </w:p>
    <w:p w14:paraId="7EEEA587" w14:textId="77777777" w:rsidR="00F50D70" w:rsidRPr="00B03F2E" w:rsidRDefault="00000000" w:rsidP="008E113B">
      <w:pPr>
        <w:numPr>
          <w:ilvl w:val="0"/>
          <w:numId w:val="19"/>
        </w:numPr>
        <w:spacing w:after="130" w:line="360" w:lineRule="auto"/>
        <w:rPr>
          <w:rFonts w:ascii="Aptos" w:eastAsia="Calibri" w:hAnsi="Aptos" w:cs="Calibri"/>
          <w:color w:val="1A1A19"/>
          <w:sz w:val="20"/>
          <w:szCs w:val="20"/>
        </w:rPr>
      </w:pPr>
      <w:bookmarkStart w:id="309" w:name="_Toc241083025"/>
      <w:proofErr w:type="gramStart"/>
      <w:r w:rsidRPr="00BE4F47">
        <w:rPr>
          <w:rFonts w:ascii="Aptos" w:eastAsia="Calibri" w:hAnsi="Aptos" w:cs="Calibri"/>
          <w:color w:val="1A1A19"/>
          <w:sz w:val="20"/>
          <w:szCs w:val="20"/>
        </w:rPr>
        <w:lastRenderedPageBreak/>
        <w:t>l’état</w:t>
      </w:r>
      <w:proofErr w:type="gramEnd"/>
      <w:r w:rsidRPr="00BE4F47">
        <w:rPr>
          <w:rFonts w:ascii="Aptos" w:eastAsia="Calibri" w:hAnsi="Aptos" w:cs="Calibri"/>
          <w:color w:val="1A1A19"/>
          <w:sz w:val="20"/>
          <w:szCs w:val="20"/>
        </w:rPr>
        <w:t xml:space="preserve"> de la boucle simulée ;</w:t>
      </w:r>
      <w:bookmarkEnd w:id="309"/>
    </w:p>
    <w:p w14:paraId="245117B8" w14:textId="77777777" w:rsidR="00F50D70" w:rsidRPr="00B03F2E" w:rsidRDefault="00000000" w:rsidP="008E113B">
      <w:pPr>
        <w:numPr>
          <w:ilvl w:val="0"/>
          <w:numId w:val="19"/>
        </w:numPr>
        <w:spacing w:after="130" w:line="360" w:lineRule="auto"/>
        <w:rPr>
          <w:rFonts w:ascii="Aptos" w:eastAsia="Calibri" w:hAnsi="Aptos" w:cs="Calibri"/>
          <w:color w:val="1A1A19"/>
          <w:sz w:val="20"/>
          <w:szCs w:val="20"/>
        </w:rPr>
      </w:pPr>
      <w:bookmarkStart w:id="310" w:name="_Toc241083026"/>
      <w:proofErr w:type="gramStart"/>
      <w:r w:rsidRPr="00BE4F47">
        <w:rPr>
          <w:rFonts w:ascii="Aptos" w:eastAsia="Calibri" w:hAnsi="Aptos" w:cs="Calibri"/>
          <w:color w:val="1A1A19"/>
          <w:sz w:val="20"/>
          <w:szCs w:val="20"/>
        </w:rPr>
        <w:t>les</w:t>
      </w:r>
      <w:proofErr w:type="gramEnd"/>
      <w:r w:rsidRPr="00BE4F47">
        <w:rPr>
          <w:rFonts w:ascii="Aptos" w:eastAsia="Calibri" w:hAnsi="Aptos" w:cs="Calibri"/>
          <w:color w:val="1A1A19"/>
          <w:sz w:val="20"/>
          <w:szCs w:val="20"/>
        </w:rPr>
        <w:t xml:space="preserve"> valeurs importantes ;</w:t>
      </w:r>
      <w:bookmarkEnd w:id="310"/>
    </w:p>
    <w:p w14:paraId="5607A211" w14:textId="77777777" w:rsidR="00F50D70" w:rsidRPr="00B03F2E" w:rsidRDefault="00000000" w:rsidP="008E113B">
      <w:pPr>
        <w:numPr>
          <w:ilvl w:val="0"/>
          <w:numId w:val="19"/>
        </w:numPr>
        <w:spacing w:after="130" w:line="360" w:lineRule="auto"/>
        <w:rPr>
          <w:rFonts w:ascii="Aptos" w:eastAsia="Calibri" w:hAnsi="Aptos" w:cs="Calibri"/>
          <w:color w:val="1A1A19"/>
          <w:sz w:val="20"/>
          <w:szCs w:val="20"/>
        </w:rPr>
      </w:pPr>
      <w:bookmarkStart w:id="311" w:name="_Toc241083027"/>
      <w:proofErr w:type="gramStart"/>
      <w:r w:rsidRPr="00BE4F47">
        <w:rPr>
          <w:rFonts w:ascii="Aptos" w:eastAsia="Calibri" w:hAnsi="Aptos" w:cs="Calibri"/>
          <w:color w:val="1A1A19"/>
          <w:sz w:val="20"/>
          <w:szCs w:val="20"/>
        </w:rPr>
        <w:t>les</w:t>
      </w:r>
      <w:proofErr w:type="gramEnd"/>
      <w:r w:rsidRPr="00BE4F47">
        <w:rPr>
          <w:rFonts w:ascii="Aptos" w:eastAsia="Calibri" w:hAnsi="Aptos" w:cs="Calibri"/>
          <w:color w:val="1A1A19"/>
          <w:sz w:val="20"/>
          <w:szCs w:val="20"/>
        </w:rPr>
        <w:t xml:space="preserve"> anomalies détectées ;</w:t>
      </w:r>
      <w:bookmarkEnd w:id="311"/>
    </w:p>
    <w:p w14:paraId="7DE1572A" w14:textId="77777777" w:rsidR="00F50D70" w:rsidRPr="00B03F2E" w:rsidRDefault="00000000" w:rsidP="008E113B">
      <w:pPr>
        <w:numPr>
          <w:ilvl w:val="0"/>
          <w:numId w:val="19"/>
        </w:numPr>
        <w:spacing w:after="130" w:line="360" w:lineRule="auto"/>
        <w:rPr>
          <w:rFonts w:ascii="Aptos" w:eastAsia="Calibri" w:hAnsi="Aptos" w:cs="Calibri"/>
          <w:color w:val="1A1A19"/>
          <w:sz w:val="20"/>
          <w:szCs w:val="20"/>
        </w:rPr>
      </w:pPr>
      <w:bookmarkStart w:id="312" w:name="_Toc241083028"/>
      <w:proofErr w:type="gramStart"/>
      <w:r w:rsidRPr="00BE4F47">
        <w:rPr>
          <w:rFonts w:ascii="Aptos" w:eastAsia="Calibri" w:hAnsi="Aptos" w:cs="Calibri"/>
          <w:color w:val="1A1A19"/>
          <w:sz w:val="20"/>
          <w:szCs w:val="20"/>
        </w:rPr>
        <w:t>les</w:t>
      </w:r>
      <w:proofErr w:type="gramEnd"/>
      <w:r w:rsidRPr="00BE4F47">
        <w:rPr>
          <w:rFonts w:ascii="Aptos" w:eastAsia="Calibri" w:hAnsi="Aptos" w:cs="Calibri"/>
          <w:color w:val="1A1A19"/>
          <w:sz w:val="20"/>
          <w:szCs w:val="20"/>
        </w:rPr>
        <w:t xml:space="preserve"> alertes ;</w:t>
      </w:r>
      <w:bookmarkEnd w:id="312"/>
    </w:p>
    <w:p w14:paraId="48D9E32A" w14:textId="77777777" w:rsidR="00F50D70" w:rsidRPr="00B03F2E" w:rsidRDefault="00000000" w:rsidP="008E113B">
      <w:pPr>
        <w:numPr>
          <w:ilvl w:val="0"/>
          <w:numId w:val="19"/>
        </w:numPr>
        <w:spacing w:after="130" w:line="360" w:lineRule="auto"/>
        <w:rPr>
          <w:rFonts w:ascii="Aptos" w:eastAsia="Calibri" w:hAnsi="Aptos" w:cs="Calibri"/>
          <w:color w:val="1A1A19"/>
          <w:sz w:val="20"/>
          <w:szCs w:val="20"/>
        </w:rPr>
      </w:pPr>
      <w:bookmarkStart w:id="313" w:name="_Toc241083029"/>
      <w:proofErr w:type="gramStart"/>
      <w:r w:rsidRPr="00BE4F47">
        <w:rPr>
          <w:rFonts w:ascii="Aptos" w:eastAsia="Calibri" w:hAnsi="Aptos" w:cs="Calibri"/>
          <w:color w:val="1A1A19"/>
          <w:sz w:val="20"/>
          <w:szCs w:val="20"/>
        </w:rPr>
        <w:t>les</w:t>
      </w:r>
      <w:proofErr w:type="gramEnd"/>
      <w:r w:rsidRPr="00BE4F47">
        <w:rPr>
          <w:rFonts w:ascii="Aptos" w:eastAsia="Calibri" w:hAnsi="Aptos" w:cs="Calibri"/>
          <w:color w:val="1A1A19"/>
          <w:sz w:val="20"/>
          <w:szCs w:val="20"/>
        </w:rPr>
        <w:t xml:space="preserve"> informations manquantes ;</w:t>
      </w:r>
      <w:bookmarkEnd w:id="313"/>
    </w:p>
    <w:p w14:paraId="69EC944D" w14:textId="77777777" w:rsidR="00F50D70" w:rsidRPr="00B03F2E" w:rsidRDefault="00000000" w:rsidP="008E113B">
      <w:pPr>
        <w:numPr>
          <w:ilvl w:val="0"/>
          <w:numId w:val="19"/>
        </w:numPr>
        <w:spacing w:after="130" w:line="360" w:lineRule="auto"/>
        <w:rPr>
          <w:rFonts w:ascii="Aptos" w:eastAsia="Calibri" w:hAnsi="Aptos" w:cs="Calibri"/>
          <w:color w:val="1A1A19"/>
          <w:sz w:val="20"/>
          <w:szCs w:val="20"/>
        </w:rPr>
      </w:pPr>
      <w:bookmarkStart w:id="314" w:name="_Toc241083030"/>
      <w:proofErr w:type="gramStart"/>
      <w:r w:rsidRPr="00BE4F47">
        <w:rPr>
          <w:rFonts w:ascii="Aptos" w:eastAsia="Calibri" w:hAnsi="Aptos" w:cs="Calibri"/>
          <w:color w:val="1A1A19"/>
          <w:sz w:val="20"/>
          <w:szCs w:val="20"/>
        </w:rPr>
        <w:t>le</w:t>
      </w:r>
      <w:proofErr w:type="gramEnd"/>
      <w:r w:rsidRPr="00BE4F47">
        <w:rPr>
          <w:rFonts w:ascii="Aptos" w:eastAsia="Calibri" w:hAnsi="Aptos" w:cs="Calibri"/>
          <w:color w:val="1A1A19"/>
          <w:sz w:val="20"/>
          <w:szCs w:val="20"/>
        </w:rPr>
        <w:t xml:space="preserve"> niveau d’incertitude lorsqu’il est pertinent.</w:t>
      </w:r>
      <w:bookmarkEnd w:id="314"/>
    </w:p>
    <w:p w14:paraId="34024A34" w14:textId="77777777" w:rsidR="00F50D70" w:rsidRPr="00B03F2E" w:rsidRDefault="00000000" w:rsidP="008E113B">
      <w:pPr>
        <w:spacing w:after="130" w:line="360" w:lineRule="auto"/>
        <w:ind w:left="992"/>
        <w:rPr>
          <w:rFonts w:ascii="Aptos" w:eastAsia="Calibri" w:hAnsi="Aptos" w:cs="Calibri"/>
          <w:color w:val="1A1A19"/>
          <w:sz w:val="20"/>
          <w:szCs w:val="20"/>
        </w:rPr>
      </w:pPr>
      <w:bookmarkStart w:id="315" w:name="_Toc241083031"/>
      <w:r w:rsidRPr="00BE4F47">
        <w:rPr>
          <w:rFonts w:ascii="Aptos" w:eastAsia="Calibri" w:hAnsi="Aptos" w:cs="Calibri"/>
          <w:color w:val="1A1A19"/>
          <w:sz w:val="20"/>
          <w:szCs w:val="20"/>
        </w:rPr>
        <w:t>La décision finale demeure celle de l’opérateur (EX-F-08) et le prototype ne commande aucune installation.</w:t>
      </w:r>
      <w:bookmarkEnd w:id="315"/>
    </w:p>
    <w:p w14:paraId="56E58CDF" w14:textId="77777777" w:rsidR="00F50D70" w:rsidRPr="00BE4F47" w:rsidRDefault="00F50D70" w:rsidP="008E113B">
      <w:pPr>
        <w:spacing w:line="360" w:lineRule="auto"/>
        <w:ind w:left="720"/>
        <w:outlineLvl w:val="9"/>
        <w:rPr>
          <w:rFonts w:ascii="Aptos" w:hAnsi="Aptos" w:cs="Calibri"/>
        </w:rPr>
      </w:pPr>
    </w:p>
    <w:p w14:paraId="3F5A3B00" w14:textId="77777777" w:rsidR="00F50D70" w:rsidRPr="00B03F2E" w:rsidRDefault="00000000" w:rsidP="008E113B">
      <w:pPr>
        <w:pStyle w:val="Titre4"/>
        <w:spacing w:line="360" w:lineRule="auto"/>
      </w:pPr>
      <w:r w:rsidRPr="00B03F2E">
        <w:rPr>
          <w:b w:val="0"/>
          <w:bCs w:val="0"/>
        </w:rPr>
        <w:t>Vérification et validation</w:t>
      </w:r>
    </w:p>
    <w:p w14:paraId="03964FBD" w14:textId="77777777" w:rsidR="00F50D70" w:rsidRPr="00B03F2E" w:rsidRDefault="00000000" w:rsidP="008E113B">
      <w:pPr>
        <w:spacing w:after="130" w:line="360" w:lineRule="auto"/>
        <w:ind w:left="992"/>
        <w:rPr>
          <w:rFonts w:ascii="Aptos" w:eastAsia="Calibri" w:hAnsi="Aptos" w:cs="Calibri"/>
          <w:color w:val="1A1A19"/>
          <w:sz w:val="20"/>
          <w:szCs w:val="20"/>
        </w:rPr>
      </w:pPr>
      <w:bookmarkStart w:id="316" w:name="_Toc241083032"/>
      <w:r w:rsidRPr="00BE4F47">
        <w:rPr>
          <w:rFonts w:ascii="Aptos" w:eastAsia="Calibri" w:hAnsi="Aptos" w:cs="Calibri"/>
          <w:color w:val="1A1A19"/>
          <w:sz w:val="20"/>
          <w:szCs w:val="20"/>
        </w:rPr>
        <w:t>Les exigences liées à la qualité logicielle [26], à la sûreté [34] [35] [36], à la gestion des risques [27] et à la validation des modèles [28] [29] conduisent à prévoir une campagne d’essais structurée comprenant :</w:t>
      </w:r>
      <w:bookmarkEnd w:id="316"/>
    </w:p>
    <w:p w14:paraId="387DA5E1"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bookmarkStart w:id="317" w:name="_Toc241083033"/>
      <w:proofErr w:type="gramStart"/>
      <w:r w:rsidRPr="00BE4F47">
        <w:rPr>
          <w:rFonts w:ascii="Aptos" w:eastAsia="Calibri" w:hAnsi="Aptos" w:cs="Calibri"/>
          <w:color w:val="1A1A19"/>
          <w:sz w:val="20"/>
          <w:szCs w:val="20"/>
        </w:rPr>
        <w:t>essais</w:t>
      </w:r>
      <w:proofErr w:type="gramEnd"/>
      <w:r w:rsidRPr="00BE4F47">
        <w:rPr>
          <w:rFonts w:ascii="Aptos" w:eastAsia="Calibri" w:hAnsi="Aptos" w:cs="Calibri"/>
          <w:color w:val="1A1A19"/>
          <w:sz w:val="20"/>
          <w:szCs w:val="20"/>
        </w:rPr>
        <w:t xml:space="preserve"> du fonctionnement normal ;</w:t>
      </w:r>
      <w:bookmarkEnd w:id="317"/>
    </w:p>
    <w:p w14:paraId="475186A0"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bookmarkStart w:id="318" w:name="_Toc241083034"/>
      <w:proofErr w:type="gramStart"/>
      <w:r w:rsidRPr="00BE4F47">
        <w:rPr>
          <w:rFonts w:ascii="Aptos" w:eastAsia="Calibri" w:hAnsi="Aptos" w:cs="Calibri"/>
          <w:color w:val="1A1A19"/>
          <w:sz w:val="20"/>
          <w:szCs w:val="20"/>
        </w:rPr>
        <w:t>essais</w:t>
      </w:r>
      <w:proofErr w:type="gramEnd"/>
      <w:r w:rsidRPr="00BE4F47">
        <w:rPr>
          <w:rFonts w:ascii="Aptos" w:eastAsia="Calibri" w:hAnsi="Aptos" w:cs="Calibri"/>
          <w:color w:val="1A1A19"/>
          <w:sz w:val="20"/>
          <w:szCs w:val="20"/>
        </w:rPr>
        <w:t xml:space="preserve"> avec données anormales ;</w:t>
      </w:r>
      <w:bookmarkEnd w:id="318"/>
    </w:p>
    <w:p w14:paraId="1DA67275"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bookmarkStart w:id="319" w:name="_Toc241083035"/>
      <w:proofErr w:type="gramStart"/>
      <w:r w:rsidRPr="00BE4F47">
        <w:rPr>
          <w:rFonts w:ascii="Aptos" w:eastAsia="Calibri" w:hAnsi="Aptos" w:cs="Calibri"/>
          <w:color w:val="1A1A19"/>
          <w:sz w:val="20"/>
          <w:szCs w:val="20"/>
        </w:rPr>
        <w:t>essais</w:t>
      </w:r>
      <w:proofErr w:type="gramEnd"/>
      <w:r w:rsidRPr="00BE4F47">
        <w:rPr>
          <w:rFonts w:ascii="Aptos" w:eastAsia="Calibri" w:hAnsi="Aptos" w:cs="Calibri"/>
          <w:color w:val="1A1A19"/>
          <w:sz w:val="20"/>
          <w:szCs w:val="20"/>
        </w:rPr>
        <w:t xml:space="preserve"> de perte de données ou de communication ;</w:t>
      </w:r>
      <w:bookmarkEnd w:id="319"/>
    </w:p>
    <w:p w14:paraId="1581AD2D"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bookmarkStart w:id="320" w:name="_Toc241083036"/>
      <w:proofErr w:type="gramStart"/>
      <w:r w:rsidRPr="00BE4F47">
        <w:rPr>
          <w:rFonts w:ascii="Aptos" w:eastAsia="Calibri" w:hAnsi="Aptos" w:cs="Calibri"/>
          <w:color w:val="1A1A19"/>
          <w:sz w:val="20"/>
          <w:szCs w:val="20"/>
        </w:rPr>
        <w:t>essais</w:t>
      </w:r>
      <w:proofErr w:type="gramEnd"/>
      <w:r w:rsidRPr="00BE4F47">
        <w:rPr>
          <w:rFonts w:ascii="Aptos" w:eastAsia="Calibri" w:hAnsi="Aptos" w:cs="Calibri"/>
          <w:color w:val="1A1A19"/>
          <w:sz w:val="20"/>
          <w:szCs w:val="20"/>
        </w:rPr>
        <w:t xml:space="preserve"> des fonctions de détection ;</w:t>
      </w:r>
      <w:bookmarkEnd w:id="320"/>
    </w:p>
    <w:p w14:paraId="2ADD5371"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bookmarkStart w:id="321" w:name="_Toc241083037"/>
      <w:proofErr w:type="gramStart"/>
      <w:r w:rsidRPr="00BE4F47">
        <w:rPr>
          <w:rFonts w:ascii="Aptos" w:eastAsia="Calibri" w:hAnsi="Aptos" w:cs="Calibri"/>
          <w:color w:val="1A1A19"/>
          <w:sz w:val="20"/>
          <w:szCs w:val="20"/>
        </w:rPr>
        <w:t>essais</w:t>
      </w:r>
      <w:proofErr w:type="gramEnd"/>
      <w:r w:rsidRPr="00BE4F47">
        <w:rPr>
          <w:rFonts w:ascii="Aptos" w:eastAsia="Calibri" w:hAnsi="Aptos" w:cs="Calibri"/>
          <w:color w:val="1A1A19"/>
          <w:sz w:val="20"/>
          <w:szCs w:val="20"/>
        </w:rPr>
        <w:t xml:space="preserve"> de l’interface ;</w:t>
      </w:r>
      <w:bookmarkEnd w:id="321"/>
    </w:p>
    <w:p w14:paraId="07D6E375"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bookmarkStart w:id="322" w:name="_Toc241083038"/>
      <w:proofErr w:type="gramStart"/>
      <w:r w:rsidRPr="00BE4F47">
        <w:rPr>
          <w:rFonts w:ascii="Aptos" w:eastAsia="Calibri" w:hAnsi="Aptos" w:cs="Calibri"/>
          <w:color w:val="1A1A19"/>
          <w:sz w:val="20"/>
          <w:szCs w:val="20"/>
        </w:rPr>
        <w:t>vérification</w:t>
      </w:r>
      <w:proofErr w:type="gramEnd"/>
      <w:r w:rsidRPr="00BE4F47">
        <w:rPr>
          <w:rFonts w:ascii="Aptos" w:eastAsia="Calibri" w:hAnsi="Aptos" w:cs="Calibri"/>
          <w:color w:val="1A1A19"/>
          <w:sz w:val="20"/>
          <w:szCs w:val="20"/>
        </w:rPr>
        <w:t xml:space="preserve"> des alertes ;</w:t>
      </w:r>
      <w:bookmarkEnd w:id="322"/>
    </w:p>
    <w:p w14:paraId="59E0A4F8"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bookmarkStart w:id="323" w:name="_Toc241083039"/>
      <w:proofErr w:type="gramStart"/>
      <w:r w:rsidRPr="00BE4F47">
        <w:rPr>
          <w:rFonts w:ascii="Aptos" w:eastAsia="Calibri" w:hAnsi="Aptos" w:cs="Calibri"/>
          <w:color w:val="1A1A19"/>
          <w:sz w:val="20"/>
          <w:szCs w:val="20"/>
        </w:rPr>
        <w:t>quantification</w:t>
      </w:r>
      <w:proofErr w:type="gramEnd"/>
      <w:r w:rsidRPr="00BE4F47">
        <w:rPr>
          <w:rFonts w:ascii="Aptos" w:eastAsia="Calibri" w:hAnsi="Aptos" w:cs="Calibri"/>
          <w:color w:val="1A1A19"/>
          <w:sz w:val="20"/>
          <w:szCs w:val="20"/>
        </w:rPr>
        <w:t xml:space="preserve"> de l’incertitude de validation ;</w:t>
      </w:r>
      <w:bookmarkEnd w:id="323"/>
    </w:p>
    <w:p w14:paraId="1A25910B"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bookmarkStart w:id="324" w:name="_Toc241083040"/>
      <w:proofErr w:type="gramStart"/>
      <w:r w:rsidRPr="00BE4F47">
        <w:rPr>
          <w:rFonts w:ascii="Aptos" w:eastAsia="Calibri" w:hAnsi="Aptos" w:cs="Calibri"/>
          <w:color w:val="1A1A19"/>
          <w:sz w:val="20"/>
          <w:szCs w:val="20"/>
        </w:rPr>
        <w:t>analyse</w:t>
      </w:r>
      <w:proofErr w:type="gramEnd"/>
      <w:r w:rsidRPr="00BE4F47">
        <w:rPr>
          <w:rFonts w:ascii="Aptos" w:eastAsia="Calibri" w:hAnsi="Aptos" w:cs="Calibri"/>
          <w:color w:val="1A1A19"/>
          <w:sz w:val="20"/>
          <w:szCs w:val="20"/>
        </w:rPr>
        <w:t xml:space="preserve"> des résultats ;</w:t>
      </w:r>
      <w:bookmarkEnd w:id="324"/>
    </w:p>
    <w:p w14:paraId="2E3A0965"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bookmarkStart w:id="325" w:name="_Toc241083041"/>
      <w:proofErr w:type="gramStart"/>
      <w:r w:rsidRPr="00BE4F47">
        <w:rPr>
          <w:rFonts w:ascii="Aptos" w:eastAsia="Calibri" w:hAnsi="Aptos" w:cs="Calibri"/>
          <w:color w:val="1A1A19"/>
          <w:sz w:val="20"/>
          <w:szCs w:val="20"/>
        </w:rPr>
        <w:t>identification</w:t>
      </w:r>
      <w:proofErr w:type="gramEnd"/>
      <w:r w:rsidRPr="00BE4F47">
        <w:rPr>
          <w:rFonts w:ascii="Aptos" w:eastAsia="Calibri" w:hAnsi="Aptos" w:cs="Calibri"/>
          <w:color w:val="1A1A19"/>
          <w:sz w:val="20"/>
          <w:szCs w:val="20"/>
        </w:rPr>
        <w:t xml:space="preserve"> des limites du prototype.</w:t>
      </w:r>
      <w:bookmarkEnd w:id="325"/>
    </w:p>
    <w:p w14:paraId="03873C97" w14:textId="77777777" w:rsidR="00F50D70" w:rsidRPr="00B03F2E" w:rsidRDefault="00000000" w:rsidP="008E113B">
      <w:pPr>
        <w:spacing w:after="130" w:line="360" w:lineRule="auto"/>
        <w:ind w:left="992"/>
        <w:rPr>
          <w:rFonts w:ascii="Aptos" w:eastAsia="Calibri" w:hAnsi="Aptos" w:cs="Calibri"/>
          <w:color w:val="1A1A19"/>
          <w:sz w:val="20"/>
          <w:szCs w:val="20"/>
        </w:rPr>
      </w:pPr>
      <w:bookmarkStart w:id="326" w:name="_Toc241083042"/>
      <w:r w:rsidRPr="00BE4F47">
        <w:rPr>
          <w:rFonts w:ascii="Aptos" w:eastAsia="Calibri" w:hAnsi="Aptos" w:cs="Calibri"/>
          <w:color w:val="1A1A19"/>
          <w:sz w:val="20"/>
          <w:szCs w:val="20"/>
        </w:rPr>
        <w:t>Les résultats serviront à déterminer si le système répond aux besoins définis et à produire les recommandations finales</w:t>
      </w:r>
      <w:bookmarkEnd w:id="326"/>
    </w:p>
    <w:p w14:paraId="762C189C" w14:textId="77777777" w:rsidR="00F50D70" w:rsidRPr="00B36301" w:rsidRDefault="00000000" w:rsidP="008E113B">
      <w:pPr>
        <w:pStyle w:val="Titre1"/>
        <w:spacing w:line="360" w:lineRule="auto"/>
      </w:pPr>
      <w:bookmarkStart w:id="327" w:name="__RefHeading___Toc240715220"/>
      <w:bookmarkStart w:id="328" w:name="_Toc241083043"/>
      <w:bookmarkEnd w:id="327"/>
      <w:r w:rsidRPr="00B36301">
        <w:t>Impacts et gestion des risques</w:t>
      </w:r>
      <w:bookmarkEnd w:id="328"/>
    </w:p>
    <w:p w14:paraId="14B91BE0" w14:textId="77777777" w:rsidR="00F50D70" w:rsidRPr="00BE4F47" w:rsidRDefault="00000000" w:rsidP="008E113B">
      <w:pPr>
        <w:spacing w:after="130" w:line="360" w:lineRule="auto"/>
        <w:ind w:left="360"/>
        <w:rPr>
          <w:rFonts w:ascii="Aptos" w:hAnsi="Aptos"/>
        </w:rPr>
      </w:pPr>
      <w:bookmarkStart w:id="329" w:name="_Toc241083044"/>
      <w:r w:rsidRPr="00BE4F47">
        <w:rPr>
          <w:rFonts w:ascii="Aptos" w:eastAsia="Calibri" w:hAnsi="Aptos" w:cs="Calibri"/>
          <w:color w:val="1A1A19"/>
          <w:sz w:val="20"/>
          <w:szCs w:val="20"/>
        </w:rPr>
        <w:t>Le cadre normatif est posé. Cette section examine d’abord les effets que le projet produit, puis ce qui peut l’empêcher d’aboutir. Chaque risque est rattaché à une exigence, à un lot de travail ou à un jalon des sections suivantes.</w:t>
      </w:r>
      <w:bookmarkEnd w:id="329"/>
    </w:p>
    <w:p w14:paraId="1C6F15F4" w14:textId="77777777" w:rsidR="00F50D70" w:rsidRPr="00B36301" w:rsidRDefault="00000000" w:rsidP="008E113B">
      <w:pPr>
        <w:pStyle w:val="Titre2"/>
        <w:spacing w:line="360" w:lineRule="auto"/>
      </w:pPr>
      <w:bookmarkStart w:id="330" w:name="__RefHeading___Toc240715221"/>
      <w:bookmarkStart w:id="331" w:name="_Toc241083045"/>
      <w:bookmarkEnd w:id="330"/>
      <w:r w:rsidRPr="00B36301">
        <w:lastRenderedPageBreak/>
        <w:t>Contexte et portée de l’analyse</w:t>
      </w:r>
      <w:bookmarkEnd w:id="331"/>
    </w:p>
    <w:p w14:paraId="6CA9E03E" w14:textId="77777777" w:rsidR="00F50D70" w:rsidRPr="00BE4F47" w:rsidRDefault="00000000" w:rsidP="008E113B">
      <w:pPr>
        <w:spacing w:after="130" w:line="360" w:lineRule="auto"/>
        <w:ind w:left="425"/>
        <w:rPr>
          <w:rFonts w:ascii="Aptos" w:hAnsi="Aptos"/>
        </w:rPr>
      </w:pPr>
      <w:bookmarkStart w:id="332" w:name="_Toc241083046"/>
      <w:r w:rsidRPr="00BE4F47">
        <w:rPr>
          <w:rFonts w:ascii="Aptos" w:eastAsia="Calibri" w:hAnsi="Aptos" w:cs="Calibri"/>
          <w:color w:val="1A1A19"/>
          <w:sz w:val="20"/>
          <w:szCs w:val="20"/>
        </w:rPr>
        <w:t>Le projet et son périmètre sont décrits à la section 1. Pour la présente analyse, deux caractéristiques comptent : le prototype est un outil d’aide à la décision qui fournit l’état estimé, les variables ayant contribué au diagnostic et le niveau de confiance associé ; et il ne commande aucune installation, la décision finale demeurant celle de l’opérateur (EX-F-08).</w:t>
      </w:r>
      <w:bookmarkEnd w:id="332"/>
    </w:p>
    <w:p w14:paraId="4C0CA9FA" w14:textId="77777777" w:rsidR="00F50D70" w:rsidRPr="00BE4F47" w:rsidRDefault="00000000" w:rsidP="008E113B">
      <w:pPr>
        <w:spacing w:after="130" w:line="360" w:lineRule="auto"/>
        <w:ind w:left="425"/>
        <w:rPr>
          <w:rFonts w:ascii="Aptos" w:hAnsi="Aptos"/>
        </w:rPr>
      </w:pPr>
      <w:bookmarkStart w:id="333" w:name="_Toc241083048"/>
      <w:r w:rsidRPr="00BE4F47">
        <w:rPr>
          <w:rFonts w:ascii="Aptos" w:eastAsia="Calibri" w:hAnsi="Aptos" w:cs="Calibri"/>
          <w:b/>
          <w:bCs/>
          <w:color w:val="1A1A19"/>
          <w:sz w:val="20"/>
          <w:szCs w:val="20"/>
        </w:rPr>
        <w:t>Portée de l’analyse. L’analyse porte sur les risques du prototype universitaire, de son développement, de son modèle de référence, de sa chaîne de données et de son interface. Elle ne constitue pas une analyse probabiliste de sûreté de Gentilly-2, et les niveaux d’impact ne représentent pas les conséquences d’un accident nucléaire réel.</w:t>
      </w:r>
      <w:bookmarkEnd w:id="333"/>
    </w:p>
    <w:p w14:paraId="1CE1B49D" w14:textId="77777777" w:rsidR="00F50D70" w:rsidRPr="00BE4F47" w:rsidRDefault="00000000" w:rsidP="008E113B">
      <w:pPr>
        <w:spacing w:after="130" w:line="360" w:lineRule="auto"/>
        <w:ind w:left="425"/>
        <w:rPr>
          <w:rFonts w:ascii="Aptos" w:hAnsi="Aptos"/>
        </w:rPr>
      </w:pPr>
      <w:bookmarkStart w:id="334" w:name="_Toc241083049"/>
      <w:r w:rsidRPr="00BE4F47">
        <w:rPr>
          <w:rFonts w:ascii="Aptos" w:eastAsia="Calibri" w:hAnsi="Aptos" w:cs="Calibri"/>
          <w:b/>
          <w:bCs/>
          <w:color w:val="1A1A19"/>
          <w:sz w:val="20"/>
          <w:szCs w:val="20"/>
        </w:rPr>
        <w:t>Objet des impacts. Les impacts relevés en 7.2 sont ceux du problème considéré, non ceux de l’objet livré. Un prototype entièrement simulé n’a par lui-même presque aucune incidence environnementale ou sanitaire ; ce qui en a, c’est l’usage auquel il est destiné.</w:t>
      </w:r>
      <w:bookmarkEnd w:id="334"/>
    </w:p>
    <w:p w14:paraId="19DAA7E1" w14:textId="77777777" w:rsidR="00F50D70" w:rsidRPr="00B36301" w:rsidRDefault="00000000" w:rsidP="008E113B">
      <w:pPr>
        <w:pStyle w:val="Titre2"/>
        <w:spacing w:line="360" w:lineRule="auto"/>
      </w:pPr>
      <w:bookmarkStart w:id="335" w:name="__RefHeading___Toc240715226"/>
      <w:bookmarkStart w:id="336" w:name="_Toc241083050"/>
      <w:bookmarkEnd w:id="335"/>
      <w:r w:rsidRPr="00B36301">
        <w:t>Impact du projet</w:t>
      </w:r>
      <w:bookmarkEnd w:id="336"/>
    </w:p>
    <w:p w14:paraId="74672918" w14:textId="77777777" w:rsidR="00F50D70" w:rsidRPr="00BE4F47" w:rsidRDefault="00000000" w:rsidP="008E113B">
      <w:pPr>
        <w:pStyle w:val="Titre4"/>
        <w:spacing w:line="360" w:lineRule="auto"/>
      </w:pPr>
      <w:bookmarkStart w:id="337" w:name="__RefHeading___Toc240715227"/>
      <w:bookmarkEnd w:id="337"/>
      <w:r w:rsidRPr="00BE4F47">
        <w:t>Impacts techniques</w:t>
      </w:r>
    </w:p>
    <w:p w14:paraId="34A06D10"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338" w:name="_Toc241083051"/>
      <w:r w:rsidRPr="00BE4F47">
        <w:rPr>
          <w:rFonts w:ascii="Aptos" w:eastAsia="Calibri" w:hAnsi="Aptos" w:cs="Calibri"/>
          <w:color w:val="1A1A19"/>
          <w:sz w:val="20"/>
          <w:szCs w:val="20"/>
        </w:rPr>
        <w:t>Le principal effet positif est la possibilité d’étudier des états de fonctionnement et des scénarios de défaillance sans avoir à les provoquer sur une installation réelle. La simulation permet de rejouer les essais à l’identique, de comparer les résultats et de soumettre le prototype à une campagne structurée de vérification et de validation, ce que couvre l’exigence EX-F-02.</w:t>
      </w:r>
      <w:bookmarkEnd w:id="338"/>
    </w:p>
    <w:p w14:paraId="0984D5A8" w14:textId="77777777" w:rsidR="00F50D70" w:rsidRPr="00BE4F47" w:rsidRDefault="00000000" w:rsidP="008E113B">
      <w:pPr>
        <w:spacing w:after="130" w:line="360" w:lineRule="auto"/>
        <w:ind w:left="992"/>
        <w:rPr>
          <w:rFonts w:ascii="Aptos" w:hAnsi="Aptos"/>
        </w:rPr>
      </w:pPr>
      <w:bookmarkStart w:id="339" w:name="_Toc241083052"/>
      <w:r w:rsidRPr="00BE4F47">
        <w:rPr>
          <w:rFonts w:ascii="Aptos" w:eastAsia="Calibri" w:hAnsi="Aptos" w:cs="Calibri"/>
          <w:color w:val="1A1A19"/>
          <w:sz w:val="20"/>
          <w:szCs w:val="20"/>
        </w:rPr>
        <w:t>Le projet introduit en contrepartie une dépendance envers la qualité des données et la fidélité du modèle. Une mesure incorrecte, une donnée indisponible ou une désynchronisation entraînent une représentation erronée de l’état de la boucle. Le prototype doit donc signaler l’incertitude au lieu de conclure (EX-F-06, état D2 du GEMMA).</w:t>
      </w:r>
      <w:bookmarkEnd w:id="339"/>
    </w:p>
    <w:p w14:paraId="48055583" w14:textId="77777777" w:rsidR="00F50D70" w:rsidRPr="00BE4F47" w:rsidRDefault="00000000" w:rsidP="008E113B">
      <w:pPr>
        <w:pStyle w:val="Titre4"/>
        <w:spacing w:line="360" w:lineRule="auto"/>
      </w:pPr>
      <w:bookmarkStart w:id="340" w:name="__RefHeading___Toc240715230"/>
      <w:bookmarkEnd w:id="340"/>
      <w:r w:rsidRPr="00BE4F47">
        <w:t>Impacts sur la sureté et la cybersécurité</w:t>
      </w:r>
    </w:p>
    <w:p w14:paraId="0FAE675F" w14:textId="77777777" w:rsidR="00F50D70" w:rsidRPr="00BE4F47" w:rsidRDefault="00000000" w:rsidP="008E113B">
      <w:pPr>
        <w:spacing w:after="130" w:line="360" w:lineRule="auto"/>
        <w:ind w:left="992"/>
        <w:rPr>
          <w:rFonts w:ascii="Aptos" w:hAnsi="Aptos"/>
        </w:rPr>
      </w:pPr>
      <w:bookmarkStart w:id="341" w:name="_Toc241083053"/>
      <w:r w:rsidRPr="00BE4F47">
        <w:rPr>
          <w:rFonts w:ascii="Aptos" w:eastAsia="Calibri" w:hAnsi="Aptos" w:cs="Calibri"/>
          <w:color w:val="1A1A19"/>
          <w:sz w:val="20"/>
          <w:szCs w:val="20"/>
        </w:rPr>
        <w:t>La difficulté la plus sérieuse apparaît lorsqu’un système demeure fonctionnel tout en présentant une information crédible mais incorrecte. Une donnée falsifiée, corrompue ou simplement erronée peut masquer une anomalie réelle ou provoquer une fausse alarme. Les deux cas dégradent la décision, mais pas de la même façon : le premier retire une information à l’opérateur, le second use sa confiance.</w:t>
      </w:r>
      <w:bookmarkEnd w:id="341"/>
    </w:p>
    <w:p w14:paraId="30C066C1" w14:textId="77777777" w:rsidR="00F50D70" w:rsidRPr="00BE4F47" w:rsidRDefault="00000000" w:rsidP="008E113B">
      <w:pPr>
        <w:spacing w:after="130" w:line="360" w:lineRule="auto"/>
        <w:ind w:left="992"/>
        <w:rPr>
          <w:rFonts w:ascii="Aptos" w:hAnsi="Aptos"/>
        </w:rPr>
      </w:pPr>
      <w:bookmarkStart w:id="342" w:name="_Toc241083054"/>
      <w:r w:rsidRPr="00BE4F47">
        <w:rPr>
          <w:rFonts w:ascii="Aptos" w:eastAsia="Calibri" w:hAnsi="Aptos" w:cs="Calibri"/>
          <w:color w:val="1A1A19"/>
          <w:sz w:val="20"/>
          <w:szCs w:val="20"/>
        </w:rPr>
        <w:t>Les mesures de conception doivent donc protéger l’intégrité, la disponibilité et la traçabilité des données. Le contrôle des accès, l’authentification, la journalisation, la validation des entrées et la segmentation de l’environnement d’essai font partie des moyens envisagés, conformément à l’exigence EX-Q-04.</w:t>
      </w:r>
      <w:bookmarkEnd w:id="342"/>
    </w:p>
    <w:p w14:paraId="6032B947" w14:textId="77777777" w:rsidR="00F50D70" w:rsidRPr="00BE4F47" w:rsidRDefault="00000000" w:rsidP="008E113B">
      <w:pPr>
        <w:pStyle w:val="Retraitcorpsdetexte3"/>
        <w:spacing w:line="360" w:lineRule="auto"/>
        <w:ind w:left="992" w:firstLine="0"/>
        <w:rPr>
          <w:rFonts w:ascii="Aptos" w:eastAsia="Calibri" w:hAnsi="Aptos" w:cs="Calibri"/>
          <w:color w:val="1A1A19"/>
          <w:sz w:val="20"/>
          <w:szCs w:val="20"/>
        </w:rPr>
      </w:pPr>
      <w:bookmarkStart w:id="343" w:name="_Toc241083055"/>
      <w:r w:rsidRPr="00BE4F47">
        <w:rPr>
          <w:rFonts w:ascii="Aptos" w:eastAsia="Calibri" w:hAnsi="Aptos" w:cs="Calibri"/>
          <w:color w:val="1A1A19"/>
          <w:sz w:val="20"/>
          <w:szCs w:val="20"/>
        </w:rPr>
        <w:t xml:space="preserve">Une contrainte s’ajoute, tirée de la norme IEC 62859 citée au tableau des normes : une mesure de cybersécurité ne doit jamais empêcher l’opérateur de percevoir l’état réel du </w:t>
      </w:r>
      <w:r w:rsidRPr="00BE4F47">
        <w:rPr>
          <w:rFonts w:ascii="Aptos" w:eastAsia="Calibri" w:hAnsi="Aptos" w:cs="Calibri"/>
          <w:color w:val="1A1A19"/>
          <w:sz w:val="20"/>
          <w:szCs w:val="20"/>
        </w:rPr>
        <w:lastRenderedPageBreak/>
        <w:t>système. Une coupure de flux décidée pour des motifs de sécurité doit être signalée, et non silencieuse.</w:t>
      </w:r>
      <w:bookmarkEnd w:id="343"/>
    </w:p>
    <w:p w14:paraId="14FAB75B" w14:textId="77777777" w:rsidR="00F50D70" w:rsidRPr="00BE4F47" w:rsidRDefault="00000000" w:rsidP="008E113B">
      <w:pPr>
        <w:pStyle w:val="Titre4"/>
        <w:spacing w:line="360" w:lineRule="auto"/>
      </w:pPr>
      <w:bookmarkStart w:id="344" w:name="__RefHeading___Toc240715234"/>
      <w:bookmarkEnd w:id="344"/>
      <w:r w:rsidRPr="00BE4F47">
        <w:t>Impacts humains et organisationnels</w:t>
      </w:r>
    </w:p>
    <w:p w14:paraId="7158DA60" w14:textId="77777777" w:rsidR="00F50D70" w:rsidRPr="00BE4F47" w:rsidRDefault="00000000" w:rsidP="008E113B">
      <w:pPr>
        <w:spacing w:after="130" w:line="360" w:lineRule="auto"/>
        <w:ind w:left="992"/>
        <w:rPr>
          <w:rFonts w:ascii="Aptos" w:hAnsi="Aptos"/>
        </w:rPr>
      </w:pPr>
      <w:bookmarkStart w:id="345" w:name="_Toc241083056"/>
      <w:r w:rsidRPr="00BE4F47">
        <w:rPr>
          <w:rFonts w:ascii="Aptos" w:eastAsia="Calibri" w:hAnsi="Aptos" w:cs="Calibri"/>
          <w:color w:val="1A1A19"/>
          <w:sz w:val="20"/>
          <w:szCs w:val="20"/>
        </w:rPr>
        <w:t>L’interface détermine la manière dont les ingénieurs et les opérateurs interprètent l’état estimé du système. Elle doit présenter les variables contributives et le niveau de confiance associé au résultat, ce que couvrent les exigences EX-F-05 et EX-F-07.</w:t>
      </w:r>
      <w:bookmarkEnd w:id="345"/>
    </w:p>
    <w:p w14:paraId="78BE772E" w14:textId="77777777" w:rsidR="00F50D70" w:rsidRPr="00BE4F47" w:rsidRDefault="00000000" w:rsidP="008E113B">
      <w:pPr>
        <w:pStyle w:val="Retraitcorpsdetexte3"/>
        <w:spacing w:line="360" w:lineRule="auto"/>
        <w:ind w:left="992"/>
        <w:rPr>
          <w:rFonts w:ascii="Aptos" w:hAnsi="Aptos"/>
        </w:rPr>
      </w:pPr>
      <w:bookmarkStart w:id="346" w:name="_Toc241083057"/>
      <w:r w:rsidRPr="00BE4F47">
        <w:rPr>
          <w:rFonts w:ascii="Aptos" w:eastAsia="Calibri" w:hAnsi="Aptos" w:cs="Calibri"/>
          <w:color w:val="1A1A19"/>
          <w:sz w:val="20"/>
          <w:szCs w:val="20"/>
        </w:rPr>
        <w:t>Le principal effet défavorable est le risque de confiance excessive envers le jumeau numérique, désigné dans la littérature comme biais d’automatisation. Un opérateur qui s’habitue à un outil fiable finit par lui accorder plus de crédit qu’à ses propres instruments. Lorsque les données sont insuffisantes, contradictoires ou situées hors du domaine validé, le système doit donc signaler son incertitude plutôt que de présenter la situation comme normale. Le jugement humain constitue la dernière barrière, et c’est précisément pour cela qu’il ne doit pas être érodé par l’outil censé l’assister. Ce risque est coté RT10.</w:t>
      </w:r>
      <w:bookmarkEnd w:id="346"/>
    </w:p>
    <w:p w14:paraId="3DEF058A" w14:textId="77777777" w:rsidR="00F50D70" w:rsidRPr="00BE4F47" w:rsidRDefault="00000000" w:rsidP="008E113B">
      <w:pPr>
        <w:pStyle w:val="Titre4"/>
        <w:spacing w:line="360" w:lineRule="auto"/>
      </w:pPr>
      <w:bookmarkStart w:id="347" w:name="__RefHeading___Toc240715237"/>
      <w:bookmarkEnd w:id="347"/>
      <w:r w:rsidRPr="00BE4F47">
        <w:t>Impacts sur la santé et la sécurité des personnes</w:t>
      </w:r>
    </w:p>
    <w:p w14:paraId="15B45348" w14:textId="77777777" w:rsidR="00F50D70" w:rsidRPr="00BE4F47" w:rsidRDefault="00000000" w:rsidP="008E113B">
      <w:pPr>
        <w:spacing w:after="130" w:line="360" w:lineRule="auto"/>
        <w:ind w:left="992"/>
        <w:rPr>
          <w:rFonts w:ascii="Aptos" w:hAnsi="Aptos"/>
        </w:rPr>
      </w:pPr>
      <w:bookmarkStart w:id="348" w:name="_Toc241083058"/>
      <w:r w:rsidRPr="00BE4F47">
        <w:rPr>
          <w:rFonts w:ascii="Aptos" w:eastAsia="Calibri" w:hAnsi="Aptos" w:cs="Calibri"/>
          <w:color w:val="1A1A19"/>
          <w:sz w:val="20"/>
          <w:szCs w:val="20"/>
        </w:rPr>
        <w:t>Le prototype, en lui-même, ne présente aucun danger : il est entièrement simulé, ne manipule aucun fluide, aucune énergie et aucune donnée réelle. Le travail de l’équipe se fait devant un poste informatique.</w:t>
      </w:r>
      <w:bookmarkEnd w:id="348"/>
    </w:p>
    <w:p w14:paraId="41EBA3F5" w14:textId="77777777" w:rsidR="00F50D70" w:rsidRPr="00BE4F47" w:rsidRDefault="00000000" w:rsidP="008E113B">
      <w:pPr>
        <w:spacing w:after="130" w:line="360" w:lineRule="auto"/>
        <w:ind w:left="992"/>
        <w:rPr>
          <w:rFonts w:ascii="Aptos" w:hAnsi="Aptos"/>
        </w:rPr>
      </w:pPr>
      <w:bookmarkStart w:id="349" w:name="_Toc241083059"/>
      <w:r w:rsidRPr="00BE4F47">
        <w:rPr>
          <w:rFonts w:ascii="Aptos" w:eastAsia="Calibri" w:hAnsi="Aptos" w:cs="Calibri"/>
          <w:color w:val="1A1A19"/>
          <w:sz w:val="20"/>
          <w:szCs w:val="20"/>
        </w:rPr>
        <w:t>L’incidence sur la santé et la sécurité provient du problème considéré, non de l’objet livré. Un outil d’aide à la décision destiné à une installation nucléaire participe à une chaîne dont l’aboutissement est une décision humaine d’exploitation. Les trois modes de dysfonctionnement qui conduisent à un risque pour les personnes sont analysés à la section 6.1.1 ; dans les trois cas, la défaillance se propage à la décision humaine et, de là, à la sécurité des travailleurs et du public.</w:t>
      </w:r>
      <w:bookmarkEnd w:id="349"/>
    </w:p>
    <w:p w14:paraId="07FDCDB1" w14:textId="77777777" w:rsidR="00F50D70" w:rsidRPr="00BE4F47" w:rsidRDefault="00000000" w:rsidP="008E113B">
      <w:pPr>
        <w:pStyle w:val="Retraitcorpsdetexte3"/>
        <w:spacing w:line="360" w:lineRule="auto"/>
        <w:ind w:left="992"/>
        <w:rPr>
          <w:rFonts w:ascii="Aptos" w:hAnsi="Aptos"/>
        </w:rPr>
      </w:pPr>
      <w:bookmarkStart w:id="350" w:name="_Toc241083060"/>
      <w:r w:rsidRPr="00BE4F47">
        <w:rPr>
          <w:rFonts w:ascii="Aptos" w:eastAsia="Calibri" w:hAnsi="Aptos" w:cs="Calibri"/>
          <w:color w:val="1A1A19"/>
          <w:sz w:val="20"/>
          <w:szCs w:val="20"/>
        </w:rPr>
        <w:t>Ce raisonnement est celui qui fonde l’applicabilité de l’article 3 (3°) de la Loi sur les ingénieurs, développée à la section des normes. Les deux sections doivent dire la même chose : il serait incohérent de soutenir que le système engage la sécurité des personnes pour justifier l’encadrement légal, puis d’affirmer ici qu’il n’a aucune incidence parce qu’il est simulé.</w:t>
      </w:r>
      <w:bookmarkEnd w:id="350"/>
    </w:p>
    <w:p w14:paraId="2EC8B10E" w14:textId="77777777" w:rsidR="00F50D70" w:rsidRPr="00BE4F47" w:rsidRDefault="00000000" w:rsidP="008E113B">
      <w:pPr>
        <w:pStyle w:val="Titre4"/>
        <w:spacing w:line="360" w:lineRule="auto"/>
      </w:pPr>
      <w:bookmarkStart w:id="351" w:name="__RefHeading___Toc240715241"/>
      <w:bookmarkEnd w:id="351"/>
      <w:r w:rsidRPr="00BE4F47">
        <w:t>Impacts économiques</w:t>
      </w:r>
    </w:p>
    <w:p w14:paraId="643D30F0" w14:textId="77777777" w:rsidR="00F50D70" w:rsidRPr="00BE4F47" w:rsidRDefault="00F50D70" w:rsidP="008E113B">
      <w:pPr>
        <w:pStyle w:val="Retraitcorpsdetexte3"/>
        <w:spacing w:line="360" w:lineRule="auto"/>
        <w:rPr>
          <w:rFonts w:ascii="Aptos" w:hAnsi="Aptos"/>
        </w:rPr>
      </w:pPr>
    </w:p>
    <w:p w14:paraId="1A8B52A3" w14:textId="77777777" w:rsidR="00F50D70" w:rsidRPr="00BE4F47" w:rsidRDefault="00000000" w:rsidP="008E113B">
      <w:pPr>
        <w:spacing w:after="130" w:line="360" w:lineRule="auto"/>
        <w:ind w:left="992"/>
        <w:rPr>
          <w:rFonts w:ascii="Aptos" w:hAnsi="Aptos"/>
        </w:rPr>
      </w:pPr>
      <w:bookmarkStart w:id="352" w:name="_Toc241083061"/>
      <w:r w:rsidRPr="00BE4F47">
        <w:rPr>
          <w:rFonts w:ascii="Aptos" w:eastAsia="Calibri" w:hAnsi="Aptos" w:cs="Calibri"/>
          <w:color w:val="1A1A19"/>
          <w:sz w:val="20"/>
          <w:szCs w:val="20"/>
        </w:rPr>
        <w:t>Le projet mobilise principalement des ressources humaines et informatiques. Le mandat est limité à 1 080 heures d’ingénierie facturables, et les infrastructures, logiciels et ressources existantes de l’UQAC sont privilégiés afin de limiter les dépenses supplémentaires. Cette enveloppe constitue la contrainte de planification la plus structurante du projet, et elle fait l’objet du risque RP2.</w:t>
      </w:r>
      <w:bookmarkEnd w:id="352"/>
    </w:p>
    <w:p w14:paraId="6DEDFCD2"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353" w:name="_Toc241083062"/>
      <w:r w:rsidRPr="00BE4F47">
        <w:rPr>
          <w:rFonts w:ascii="Aptos" w:eastAsia="Calibri" w:hAnsi="Aptos" w:cs="Calibri"/>
          <w:color w:val="1A1A19"/>
          <w:sz w:val="20"/>
          <w:szCs w:val="20"/>
        </w:rPr>
        <w:t xml:space="preserve">L’intérêt économique du type d’outil développé est indirect. Étudier un scénario de défaillance en simulation coûte une fraction de ce que coûterait sa reproduction sur une </w:t>
      </w:r>
      <w:r w:rsidRPr="00BE4F47">
        <w:rPr>
          <w:rFonts w:ascii="Aptos" w:eastAsia="Calibri" w:hAnsi="Aptos" w:cs="Calibri"/>
          <w:color w:val="1A1A19"/>
          <w:sz w:val="20"/>
          <w:szCs w:val="20"/>
        </w:rPr>
        <w:lastRenderedPageBreak/>
        <w:t>installation, et n’immobilise aucun équipement. Cet argument vaut pour la classe d’outils, pas pour le prototype universitaire lui-même, qui ne produit aucune valeur marchande.</w:t>
      </w:r>
      <w:bookmarkEnd w:id="353"/>
    </w:p>
    <w:p w14:paraId="5E08FAAD" w14:textId="77777777" w:rsidR="00F50D70" w:rsidRPr="00BE4F47" w:rsidRDefault="00000000" w:rsidP="008E113B">
      <w:pPr>
        <w:pStyle w:val="Titre4"/>
        <w:spacing w:line="360" w:lineRule="auto"/>
      </w:pPr>
      <w:r w:rsidRPr="00BE4F47">
        <w:t>Équité, diversité et inclusion</w:t>
      </w:r>
    </w:p>
    <w:p w14:paraId="19859864" w14:textId="77777777" w:rsidR="00F50D70" w:rsidRPr="00BE4F47" w:rsidRDefault="00000000" w:rsidP="008E113B">
      <w:pPr>
        <w:spacing w:after="130" w:line="360" w:lineRule="auto"/>
        <w:ind w:left="360"/>
        <w:rPr>
          <w:rFonts w:ascii="Aptos" w:hAnsi="Aptos"/>
        </w:rPr>
      </w:pPr>
      <w:bookmarkStart w:id="354" w:name="_Toc241083063"/>
      <w:r w:rsidRPr="00BE4F47">
        <w:rPr>
          <w:rFonts w:ascii="Aptos" w:eastAsia="Calibri" w:hAnsi="Aptos" w:cs="Calibri"/>
          <w:color w:val="1A1A19"/>
          <w:sz w:val="20"/>
          <w:szCs w:val="20"/>
        </w:rPr>
        <w:t xml:space="preserve">Le projet retient un second critère à côté des objectifs de développement durable : l’équité, la diversité et l’inclusion, qui </w:t>
      </w:r>
      <w:proofErr w:type="gramStart"/>
      <w:r w:rsidRPr="00BE4F47">
        <w:rPr>
          <w:rFonts w:ascii="Aptos" w:eastAsia="Calibri" w:hAnsi="Aptos" w:cs="Calibri"/>
          <w:color w:val="1A1A19"/>
          <w:sz w:val="20"/>
          <w:szCs w:val="20"/>
        </w:rPr>
        <w:t>a</w:t>
      </w:r>
      <w:proofErr w:type="gramEnd"/>
      <w:r w:rsidRPr="00BE4F47">
        <w:rPr>
          <w:rFonts w:ascii="Aptos" w:eastAsia="Calibri" w:hAnsi="Aptos" w:cs="Calibri"/>
          <w:color w:val="1A1A19"/>
          <w:sz w:val="20"/>
          <w:szCs w:val="20"/>
        </w:rPr>
        <w:t xml:space="preserve"> des conséquences vérifiables sur l’interface et sur la conduite de l’équipe.</w:t>
      </w:r>
      <w:bookmarkEnd w:id="354"/>
    </w:p>
    <w:p w14:paraId="3533EA21" w14:textId="77777777" w:rsidR="00F50D70" w:rsidRPr="00BE4F47" w:rsidRDefault="00000000" w:rsidP="008E113B">
      <w:pPr>
        <w:spacing w:after="130" w:line="360" w:lineRule="auto"/>
        <w:ind w:left="360"/>
        <w:rPr>
          <w:rFonts w:ascii="Aptos" w:hAnsi="Aptos"/>
        </w:rPr>
      </w:pPr>
      <w:bookmarkStart w:id="355" w:name="_Toc241083064"/>
      <w:r w:rsidRPr="00BE4F47">
        <w:rPr>
          <w:rFonts w:ascii="Aptos" w:eastAsia="Calibri" w:hAnsi="Aptos" w:cs="Calibri"/>
          <w:color w:val="1A1A19"/>
          <w:sz w:val="20"/>
          <w:szCs w:val="20"/>
        </w:rPr>
        <w:t>Sur la conception. L’interface d’aide à la décision est destinée à des opérateurs dont l’expérience, la formation et les conditions de travail varient. Trois décisions en découlent. Le résultat est présenté en texte et par une forme, jamais par la couleur seule, ce qui le rend lisible pour une personne daltonienne et sur une impression en noir et blanc. Le vocabulaire affiché est celui du métier, sans acronyme non défini, ce qui ne suppose pas une familiarité préalable avec l’outil. Et le niveau de confiance est annoncé en clair plutôt que sous forme d’un score que seul un spécialiste saurait interpréter. Ces trois décisions rejoignent la norme ISO 9241-210 déjà retenue et l’exigence EX-Q-03.</w:t>
      </w:r>
      <w:bookmarkEnd w:id="355"/>
    </w:p>
    <w:p w14:paraId="23A9B780" w14:textId="77777777" w:rsidR="00F50D70" w:rsidRPr="00BE4F47" w:rsidRDefault="00000000" w:rsidP="008E113B">
      <w:pPr>
        <w:spacing w:after="130" w:line="360" w:lineRule="auto"/>
        <w:ind w:left="360"/>
        <w:rPr>
          <w:rFonts w:ascii="Aptos" w:hAnsi="Aptos"/>
        </w:rPr>
      </w:pPr>
      <w:bookmarkStart w:id="356" w:name="_Toc241083065"/>
      <w:r w:rsidRPr="00BE4F47">
        <w:rPr>
          <w:rFonts w:ascii="Aptos" w:eastAsia="Calibri" w:hAnsi="Aptos" w:cs="Calibri"/>
          <w:color w:val="1A1A19"/>
          <w:sz w:val="20"/>
          <w:szCs w:val="20"/>
        </w:rPr>
        <w:t>Sur la conduite de l’équipe. L’équipe est composée de personnes venant de plusieurs pays et de plusieurs parcours. Deux règles en tiennent compte. L’affectation suit les compétences du tableau des lots et non l’aisance à s’exprimer en réunion, ce qui évite que la répartition se décide par la seule prise de parole. Et toute décision engageant le périmètre est consignée par écrit dans une issue du dépôt, ce qui permet d’y contribuer en différé, ce qui compte pour qui travaille en dehors des créneaux communs.</w:t>
      </w:r>
      <w:bookmarkEnd w:id="356"/>
    </w:p>
    <w:p w14:paraId="40F1763A" w14:textId="77777777" w:rsidR="00F50D70" w:rsidRPr="00BE4F47" w:rsidRDefault="00000000" w:rsidP="008E113B">
      <w:pPr>
        <w:spacing w:after="130" w:line="360" w:lineRule="auto"/>
        <w:ind w:left="360"/>
        <w:rPr>
          <w:rFonts w:ascii="Aptos" w:hAnsi="Aptos"/>
        </w:rPr>
      </w:pPr>
      <w:bookmarkStart w:id="357" w:name="_Toc241083066"/>
      <w:r w:rsidRPr="00BE4F47">
        <w:rPr>
          <w:rFonts w:ascii="Aptos" w:eastAsia="Calibri" w:hAnsi="Aptos" w:cs="Calibri"/>
          <w:color w:val="1A1A19"/>
          <w:sz w:val="20"/>
          <w:szCs w:val="20"/>
        </w:rPr>
        <w:t>Sur l’accessibilité économique. Le choix d’outils libres de la section 5 permet à chaque membre de travailler depuis son propre poste, sans licence payante ni accès privilégié à un laboratoire. Ce choix, pris pour des raisons de budget et de reproductibilité, sert aussi l’équité d’accès au travail.</w:t>
      </w:r>
      <w:bookmarkEnd w:id="357"/>
    </w:p>
    <w:p w14:paraId="0A5168EA" w14:textId="77777777" w:rsidR="00F50D70" w:rsidRPr="00B36301" w:rsidRDefault="00000000" w:rsidP="008E113B">
      <w:pPr>
        <w:pStyle w:val="Titre4"/>
        <w:spacing w:line="360" w:lineRule="auto"/>
      </w:pPr>
      <w:bookmarkStart w:id="358" w:name="__RefHeading___Toc240715244"/>
      <w:bookmarkEnd w:id="358"/>
      <w:r w:rsidRPr="00B36301">
        <w:t>Impacts environnementaux et développement durable</w:t>
      </w:r>
    </w:p>
    <w:p w14:paraId="70328450" w14:textId="77777777" w:rsidR="00F50D70" w:rsidRPr="00BE4F47" w:rsidRDefault="00F50D70" w:rsidP="008E113B">
      <w:pPr>
        <w:pStyle w:val="Retraitcorpsdetexte3"/>
        <w:spacing w:line="360" w:lineRule="auto"/>
        <w:rPr>
          <w:rFonts w:ascii="Aptos" w:hAnsi="Aptos"/>
        </w:rPr>
      </w:pPr>
    </w:p>
    <w:p w14:paraId="5D0AF0D0" w14:textId="77777777" w:rsidR="00F50D70" w:rsidRPr="00BE4F47" w:rsidRDefault="00000000" w:rsidP="008E113B">
      <w:pPr>
        <w:spacing w:after="130" w:line="360" w:lineRule="auto"/>
        <w:ind w:left="992"/>
        <w:rPr>
          <w:rFonts w:ascii="Aptos" w:hAnsi="Aptos"/>
        </w:rPr>
      </w:pPr>
      <w:bookmarkStart w:id="359" w:name="_Toc241083067"/>
      <w:r w:rsidRPr="00BE4F47">
        <w:rPr>
          <w:rFonts w:ascii="Aptos" w:eastAsia="Calibri" w:hAnsi="Aptos" w:cs="Calibri"/>
          <w:color w:val="1A1A19"/>
          <w:sz w:val="20"/>
          <w:szCs w:val="20"/>
        </w:rPr>
        <w:t>Les incidences environnementales directes du prototype sont faibles et se limitent à la consommation de ressources informatiques pendant le développement et les essais.</w:t>
      </w:r>
      <w:bookmarkEnd w:id="359"/>
    </w:p>
    <w:p w14:paraId="07C5503B"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360" w:name="_Toc241083068"/>
      <w:r w:rsidRPr="00BE4F47">
        <w:rPr>
          <w:rFonts w:ascii="Aptos" w:eastAsia="Calibri" w:hAnsi="Aptos" w:cs="Calibri"/>
          <w:color w:val="1A1A19"/>
          <w:sz w:val="20"/>
          <w:szCs w:val="20"/>
        </w:rPr>
        <w:t>L’apport au développement durable est indirect. Deux objectifs de développement durable des Nations unies [41] s’y rattachent :</w:t>
      </w:r>
      <w:bookmarkEnd w:id="360"/>
    </w:p>
    <w:p w14:paraId="37A393CB" w14:textId="77777777" w:rsidR="00F50D70" w:rsidRPr="00BE4F47" w:rsidRDefault="00000000" w:rsidP="008E113B">
      <w:pPr>
        <w:pStyle w:val="Paragraphedeliste"/>
        <w:numPr>
          <w:ilvl w:val="0"/>
          <w:numId w:val="15"/>
        </w:numPr>
        <w:spacing w:after="70" w:line="360" w:lineRule="auto"/>
        <w:contextualSpacing w:val="0"/>
        <w:rPr>
          <w:rFonts w:ascii="Aptos" w:hAnsi="Aptos"/>
          <w:lang w:val="fr-CA"/>
        </w:rPr>
      </w:pPr>
      <w:r w:rsidRPr="00BE4F47">
        <w:rPr>
          <w:rFonts w:ascii="Aptos" w:hAnsi="Aptos" w:cs="Calibri"/>
          <w:b/>
          <w:bCs/>
          <w:color w:val="1A1A19"/>
          <w:sz w:val="20"/>
          <w:szCs w:val="20"/>
          <w:lang w:val="fr-CA"/>
        </w:rPr>
        <w:t xml:space="preserve">ODD 7, énergie propre et d’un coût abordable. </w:t>
      </w:r>
      <w:r w:rsidRPr="00BE4F47">
        <w:rPr>
          <w:rFonts w:ascii="Aptos" w:hAnsi="Aptos" w:cs="Calibri"/>
          <w:color w:val="1A1A19"/>
          <w:sz w:val="20"/>
          <w:szCs w:val="20"/>
          <w:lang w:val="fr-CA"/>
        </w:rPr>
        <w:t>Un outil qui contribue à l’exploitation sûre d’une source de production à faibles émissions soutient indirectement cet objectif. La contribution du prototype est celle d’un démonstrateur, non celle d’un système exploité.</w:t>
      </w:r>
    </w:p>
    <w:p w14:paraId="19699A9B" w14:textId="77777777" w:rsidR="00F50D70" w:rsidRPr="00B36301" w:rsidRDefault="00000000" w:rsidP="008E113B">
      <w:pPr>
        <w:pStyle w:val="Paragraphedeliste"/>
        <w:numPr>
          <w:ilvl w:val="0"/>
          <w:numId w:val="15"/>
        </w:numPr>
        <w:spacing w:after="70" w:line="360" w:lineRule="auto"/>
        <w:contextualSpacing w:val="0"/>
        <w:rPr>
          <w:rFonts w:ascii="Aptos" w:hAnsi="Aptos" w:cs="Calibri"/>
          <w:color w:val="1A1A19"/>
          <w:sz w:val="20"/>
          <w:szCs w:val="20"/>
          <w:lang w:val="fr-CA"/>
        </w:rPr>
      </w:pPr>
      <w:r w:rsidRPr="00B36301">
        <w:rPr>
          <w:rFonts w:ascii="Aptos" w:hAnsi="Aptos" w:cs="Calibri"/>
          <w:b/>
          <w:bCs/>
          <w:color w:val="1A1A19"/>
          <w:sz w:val="20"/>
          <w:szCs w:val="20"/>
          <w:lang w:val="fr-CA"/>
        </w:rPr>
        <w:lastRenderedPageBreak/>
        <w:t xml:space="preserve">ODD 9, industrie, innovation et infrastructure. </w:t>
      </w:r>
      <w:r w:rsidRPr="00B36301">
        <w:rPr>
          <w:rFonts w:ascii="Aptos" w:hAnsi="Aptos" w:cs="Calibri"/>
          <w:color w:val="1A1A19"/>
          <w:sz w:val="20"/>
          <w:szCs w:val="20"/>
          <w:lang w:val="fr-CA"/>
        </w:rPr>
        <w:t>Le projet porte sur la résilience d’une infrastructure existante et sur la modernisation de ses moyens de surveillance.</w:t>
      </w:r>
    </w:p>
    <w:p w14:paraId="035CE735"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361" w:name="_Toc241083069"/>
      <w:r w:rsidRPr="00BE4F47">
        <w:rPr>
          <w:rFonts w:ascii="Aptos" w:eastAsia="Calibri" w:hAnsi="Aptos" w:cs="Calibri"/>
          <w:color w:val="1A1A19"/>
          <w:sz w:val="20"/>
          <w:szCs w:val="20"/>
        </w:rPr>
        <w:t>Un troisième objectif, l’ODD 12 sur la consommation et la production responsables, pourrait être invoqué au titre des essais évités sur l’installation. L’équipe s’en tient aux deux premiers, qui sont les mieux étayés.</w:t>
      </w:r>
      <w:bookmarkEnd w:id="361"/>
    </w:p>
    <w:p w14:paraId="1E1E86E4" w14:textId="77777777" w:rsidR="00F50D70" w:rsidRPr="00BE4F47" w:rsidRDefault="00000000" w:rsidP="008E113B">
      <w:pPr>
        <w:pStyle w:val="Titre4"/>
        <w:spacing w:line="360" w:lineRule="auto"/>
      </w:pPr>
      <w:bookmarkStart w:id="362" w:name="__RefHeading___Toc240715249"/>
      <w:bookmarkEnd w:id="362"/>
      <w:r w:rsidRPr="00BE4F47">
        <w:t>Impacts sociaux : confiance, transparence et responsabilité</w:t>
      </w:r>
    </w:p>
    <w:p w14:paraId="142999DE" w14:textId="77777777" w:rsidR="00F50D70" w:rsidRPr="00BE4F47" w:rsidRDefault="00000000" w:rsidP="008E113B">
      <w:pPr>
        <w:spacing w:after="130" w:line="360" w:lineRule="auto"/>
        <w:ind w:left="992"/>
        <w:rPr>
          <w:rFonts w:ascii="Aptos" w:hAnsi="Aptos"/>
        </w:rPr>
      </w:pPr>
      <w:bookmarkStart w:id="363" w:name="_Toc241083070"/>
      <w:r w:rsidRPr="00BE4F47">
        <w:rPr>
          <w:rFonts w:ascii="Aptos" w:eastAsia="Calibri" w:hAnsi="Aptos" w:cs="Calibri"/>
          <w:color w:val="1A1A19"/>
          <w:sz w:val="20"/>
          <w:szCs w:val="20"/>
        </w:rPr>
        <w:t>La population concernée par une éventuelle remise en service n’a pas accès au détail technique ; elle juge sur la clarté avec laquelle les capacités et les limites de l’outil sont énoncées.</w:t>
      </w:r>
      <w:bookmarkEnd w:id="363"/>
    </w:p>
    <w:p w14:paraId="1B00A69A" w14:textId="77777777" w:rsidR="00F50D70" w:rsidRPr="00BE4F47" w:rsidRDefault="00000000" w:rsidP="008E113B">
      <w:pPr>
        <w:spacing w:after="130" w:line="360" w:lineRule="auto"/>
        <w:ind w:left="992"/>
        <w:rPr>
          <w:rFonts w:ascii="Aptos" w:hAnsi="Aptos"/>
        </w:rPr>
      </w:pPr>
      <w:bookmarkStart w:id="364" w:name="_Toc241083071"/>
      <w:r w:rsidRPr="00BE4F47">
        <w:rPr>
          <w:rFonts w:ascii="Aptos" w:eastAsia="Calibri" w:hAnsi="Aptos" w:cs="Calibri"/>
          <w:color w:val="1A1A19"/>
          <w:sz w:val="20"/>
          <w:szCs w:val="20"/>
        </w:rPr>
        <w:t>Deux engagements en découlent pour le projet : documenter le domaine de validité du prototype et les limites au-delà desquelles ses résultats ne sont pas valides, ce qu’exige EX-C-01 ; et maintenir la responsabilité de la décision chez l’opérateur, ce qu’exige EX-F-08. Un outil dont on ne dit pas ce qu’il ne sait pas faire est un outil qui sera mal employé.</w:t>
      </w:r>
      <w:bookmarkEnd w:id="364"/>
    </w:p>
    <w:p w14:paraId="03042A55" w14:textId="77777777" w:rsidR="00F50D70" w:rsidRPr="00BE4F47" w:rsidRDefault="00F50D70" w:rsidP="008E113B">
      <w:pPr>
        <w:pStyle w:val="Retraitcorpsdetexte3"/>
        <w:spacing w:line="360" w:lineRule="auto"/>
        <w:rPr>
          <w:rFonts w:ascii="Aptos" w:hAnsi="Aptos"/>
        </w:rPr>
      </w:pPr>
    </w:p>
    <w:p w14:paraId="51D89DD3" w14:textId="77777777" w:rsidR="00F50D70" w:rsidRPr="00B36301" w:rsidRDefault="00000000" w:rsidP="008E113B">
      <w:pPr>
        <w:pStyle w:val="Titre2"/>
        <w:spacing w:line="360" w:lineRule="auto"/>
      </w:pPr>
      <w:bookmarkStart w:id="365" w:name="__RefHeading___Toc240715252"/>
      <w:bookmarkStart w:id="366" w:name="_Toc241083072"/>
      <w:bookmarkEnd w:id="365"/>
      <w:r w:rsidRPr="00B36301">
        <w:t>Bénéfices et inconvénients</w:t>
      </w:r>
      <w:bookmarkEnd w:id="366"/>
    </w:p>
    <w:p w14:paraId="7E2B822A" w14:textId="77777777" w:rsidR="00F50D70" w:rsidRDefault="00000000" w:rsidP="008E113B">
      <w:pPr>
        <w:spacing w:after="130" w:line="360" w:lineRule="auto"/>
        <w:ind w:left="425"/>
        <w:rPr>
          <w:rFonts w:ascii="Aptos" w:eastAsia="Calibri" w:hAnsi="Aptos" w:cs="Calibri"/>
          <w:color w:val="1A1A19"/>
          <w:sz w:val="20"/>
          <w:szCs w:val="20"/>
        </w:rPr>
      </w:pPr>
      <w:bookmarkStart w:id="367" w:name="_Toc241083073"/>
      <w:r w:rsidRPr="00BE4F47">
        <w:rPr>
          <w:rFonts w:ascii="Aptos" w:eastAsia="Calibri" w:hAnsi="Aptos" w:cs="Calibri"/>
          <w:color w:val="1A1A19"/>
          <w:sz w:val="20"/>
          <w:szCs w:val="20"/>
        </w:rPr>
        <w:t>Le tableau 7-1 met en regard ce que le projet apporte et ce qu’il coûte ou fait courir comme risque.</w:t>
      </w:r>
      <w:bookmarkEnd w:id="367"/>
    </w:p>
    <w:p w14:paraId="662D8648" w14:textId="77777777" w:rsidR="0036725C" w:rsidRDefault="0036725C" w:rsidP="008E113B">
      <w:pPr>
        <w:spacing w:after="130" w:line="360" w:lineRule="auto"/>
        <w:ind w:left="425"/>
        <w:rPr>
          <w:rFonts w:ascii="Aptos" w:eastAsia="Calibri" w:hAnsi="Aptos" w:cs="Calibri"/>
          <w:color w:val="1A1A19"/>
          <w:sz w:val="20"/>
          <w:szCs w:val="20"/>
        </w:rPr>
      </w:pPr>
    </w:p>
    <w:p w14:paraId="7B857043" w14:textId="77777777" w:rsidR="0036725C" w:rsidRPr="00BE4F47" w:rsidRDefault="0036725C" w:rsidP="008E113B">
      <w:pPr>
        <w:spacing w:after="130" w:line="360" w:lineRule="auto"/>
        <w:ind w:left="425"/>
        <w:rPr>
          <w:rFonts w:ascii="Aptos" w:eastAsia="Calibri" w:hAnsi="Aptos" w:cs="Calibri"/>
          <w:color w:val="1A1A19"/>
          <w:sz w:val="20"/>
          <w:szCs w:val="20"/>
        </w:rPr>
      </w:pPr>
    </w:p>
    <w:p w14:paraId="4930C110" w14:textId="77777777" w:rsidR="00F50D70" w:rsidRPr="00BE4F47" w:rsidRDefault="00000000" w:rsidP="008E113B">
      <w:pPr>
        <w:pStyle w:val="Lgende"/>
        <w:spacing w:line="360" w:lineRule="auto"/>
        <w:rPr>
          <w:rFonts w:ascii="Aptos" w:hAnsi="Aptos"/>
        </w:rPr>
      </w:pPr>
      <w:bookmarkStart w:id="368" w:name="_Toc241083074"/>
      <w:r w:rsidRPr="00BE4F47">
        <w:rPr>
          <w:rFonts w:ascii="Aptos" w:hAnsi="Aptos"/>
        </w:rPr>
        <w:t>Tableau 7-1. Bénéfices et inconvénients du projet</w:t>
      </w:r>
      <w:bookmarkEnd w:id="368"/>
    </w:p>
    <w:tbl>
      <w:tblPr>
        <w:tblW w:w="8326" w:type="dxa"/>
        <w:tblInd w:w="511" w:type="dxa"/>
        <w:tblLayout w:type="fixed"/>
        <w:tblCellMar>
          <w:top w:w="55" w:type="dxa"/>
          <w:left w:w="85" w:type="dxa"/>
          <w:bottom w:w="55" w:type="dxa"/>
          <w:right w:w="85" w:type="dxa"/>
        </w:tblCellMar>
        <w:tblLook w:val="04A0" w:firstRow="1" w:lastRow="0" w:firstColumn="1" w:lastColumn="0" w:noHBand="0" w:noVBand="1"/>
      </w:tblPr>
      <w:tblGrid>
        <w:gridCol w:w="3954"/>
        <w:gridCol w:w="4372"/>
      </w:tblGrid>
      <w:tr w:rsidR="00F50D70" w:rsidRPr="00BE4F47" w14:paraId="15EA8DE4" w14:textId="77777777" w:rsidTr="0036725C">
        <w:trPr>
          <w:trHeight w:val="223"/>
          <w:tblHeader/>
        </w:trPr>
        <w:tc>
          <w:tcPr>
            <w:tcW w:w="395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E6B4D1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Bénéfices</w:t>
            </w:r>
          </w:p>
        </w:tc>
        <w:tc>
          <w:tcPr>
            <w:tcW w:w="437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5785F3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Inconvénients</w:t>
            </w:r>
          </w:p>
        </w:tc>
      </w:tr>
      <w:tr w:rsidR="00F50D70" w:rsidRPr="00BE4F47" w14:paraId="02CFA37B" w14:textId="77777777">
        <w:trPr>
          <w:cantSplit/>
          <w:trHeight w:val="429"/>
        </w:trPr>
        <w:tc>
          <w:tcPr>
            <w:tcW w:w="3954" w:type="dxa"/>
            <w:tcBorders>
              <w:top w:val="single" w:sz="4" w:space="0" w:color="000000"/>
              <w:left w:val="single" w:sz="4" w:space="0" w:color="000000"/>
              <w:bottom w:val="single" w:sz="4" w:space="0" w:color="000000"/>
              <w:right w:val="single" w:sz="4" w:space="0" w:color="000000"/>
            </w:tcBorders>
          </w:tcPr>
          <w:p w14:paraId="6252186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Étudier des scénarios de défaillance sans les provoquer sur une installation réelle.</w:t>
            </w:r>
          </w:p>
        </w:tc>
        <w:tc>
          <w:tcPr>
            <w:tcW w:w="4372" w:type="dxa"/>
            <w:tcBorders>
              <w:top w:val="single" w:sz="4" w:space="0" w:color="000000"/>
              <w:left w:val="single" w:sz="4" w:space="0" w:color="000000"/>
              <w:bottom w:val="single" w:sz="4" w:space="0" w:color="000000"/>
              <w:right w:val="single" w:sz="4" w:space="0" w:color="000000"/>
            </w:tcBorders>
          </w:tcPr>
          <w:p w14:paraId="027FFB1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Introduction d’un biais d’automatisation : l’opérateur peut accorder au modèle plus de crédit qu’à ses instruments (RT10).</w:t>
            </w:r>
          </w:p>
        </w:tc>
      </w:tr>
      <w:tr w:rsidR="00F50D70" w:rsidRPr="00BE4F47" w14:paraId="12ED062E" w14:textId="77777777">
        <w:trPr>
          <w:cantSplit/>
          <w:trHeight w:val="429"/>
        </w:trPr>
        <w:tc>
          <w:tcPr>
            <w:tcW w:w="3954" w:type="dxa"/>
            <w:tcBorders>
              <w:top w:val="single" w:sz="4" w:space="0" w:color="000000"/>
              <w:left w:val="single" w:sz="4" w:space="0" w:color="000000"/>
              <w:bottom w:val="single" w:sz="4" w:space="0" w:color="000000"/>
              <w:right w:val="single" w:sz="4" w:space="0" w:color="000000"/>
            </w:tcBorders>
          </w:tcPr>
          <w:p w14:paraId="72BF532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Reproductibilité des essais : un scénario peut être rejoué à l’identique et comparé.</w:t>
            </w:r>
          </w:p>
        </w:tc>
        <w:tc>
          <w:tcPr>
            <w:tcW w:w="4372" w:type="dxa"/>
            <w:tcBorders>
              <w:top w:val="single" w:sz="4" w:space="0" w:color="000000"/>
              <w:left w:val="single" w:sz="4" w:space="0" w:color="000000"/>
              <w:bottom w:val="single" w:sz="4" w:space="0" w:color="000000"/>
              <w:right w:val="single" w:sz="4" w:space="0" w:color="000000"/>
            </w:tcBorders>
          </w:tcPr>
          <w:p w14:paraId="30E66CE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Fausse assurance si le modèle est présenté comme la réalité plutôt que comme une représentation assortie d’une incertitude (RT4).</w:t>
            </w:r>
          </w:p>
        </w:tc>
      </w:tr>
      <w:tr w:rsidR="00F50D70" w:rsidRPr="00BE4F47" w14:paraId="0E0AED70" w14:textId="77777777">
        <w:trPr>
          <w:cantSplit/>
          <w:trHeight w:val="419"/>
        </w:trPr>
        <w:tc>
          <w:tcPr>
            <w:tcW w:w="3954" w:type="dxa"/>
            <w:tcBorders>
              <w:top w:val="single" w:sz="4" w:space="0" w:color="000000"/>
              <w:left w:val="single" w:sz="4" w:space="0" w:color="000000"/>
              <w:bottom w:val="single" w:sz="4" w:space="0" w:color="000000"/>
              <w:right w:val="single" w:sz="4" w:space="0" w:color="000000"/>
            </w:tcBorders>
          </w:tcPr>
          <w:p w14:paraId="2A12DCE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Détection précoce des dérives lentes, difficiles à percevoir sur des relevés instantanés.</w:t>
            </w:r>
          </w:p>
        </w:tc>
        <w:tc>
          <w:tcPr>
            <w:tcW w:w="4372" w:type="dxa"/>
            <w:tcBorders>
              <w:top w:val="single" w:sz="4" w:space="0" w:color="000000"/>
              <w:left w:val="single" w:sz="4" w:space="0" w:color="000000"/>
              <w:bottom w:val="single" w:sz="4" w:space="0" w:color="000000"/>
              <w:right w:val="single" w:sz="4" w:space="0" w:color="000000"/>
            </w:tcBorders>
          </w:tcPr>
          <w:p w14:paraId="30B0E9E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Banalisation des alarmes si le taux de fausses détections est élevé (RT6).</w:t>
            </w:r>
          </w:p>
        </w:tc>
      </w:tr>
      <w:tr w:rsidR="00F50D70" w:rsidRPr="00BE4F47" w14:paraId="2FF1E018" w14:textId="77777777">
        <w:trPr>
          <w:cantSplit/>
          <w:trHeight w:val="429"/>
        </w:trPr>
        <w:tc>
          <w:tcPr>
            <w:tcW w:w="3954" w:type="dxa"/>
            <w:tcBorders>
              <w:top w:val="single" w:sz="4" w:space="0" w:color="000000"/>
              <w:left w:val="single" w:sz="4" w:space="0" w:color="000000"/>
              <w:bottom w:val="single" w:sz="4" w:space="0" w:color="000000"/>
              <w:right w:val="single" w:sz="4" w:space="0" w:color="000000"/>
            </w:tcBorders>
          </w:tcPr>
          <w:p w14:paraId="544387F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Quantification de l’incertitude : une estimation est accompagnée de son degré de confiance (EX-F-07).</w:t>
            </w:r>
          </w:p>
        </w:tc>
        <w:tc>
          <w:tcPr>
            <w:tcW w:w="4372" w:type="dxa"/>
            <w:tcBorders>
              <w:top w:val="single" w:sz="4" w:space="0" w:color="000000"/>
              <w:left w:val="single" w:sz="4" w:space="0" w:color="000000"/>
              <w:bottom w:val="single" w:sz="4" w:space="0" w:color="000000"/>
              <w:right w:val="single" w:sz="4" w:space="0" w:color="000000"/>
            </w:tcBorders>
          </w:tcPr>
          <w:p w14:paraId="3DC454B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Surface d’attaque ajoutée par la chaîne d’acquisition, qui n’existait pas avant sa construction (RT7, RT8).</w:t>
            </w:r>
          </w:p>
        </w:tc>
      </w:tr>
      <w:tr w:rsidR="00F50D70" w:rsidRPr="00BE4F47" w14:paraId="47B5E56E" w14:textId="77777777">
        <w:trPr>
          <w:cantSplit/>
          <w:trHeight w:val="429"/>
        </w:trPr>
        <w:tc>
          <w:tcPr>
            <w:tcW w:w="3954" w:type="dxa"/>
            <w:tcBorders>
              <w:top w:val="single" w:sz="4" w:space="0" w:color="000000"/>
              <w:left w:val="single" w:sz="4" w:space="0" w:color="000000"/>
              <w:bottom w:val="single" w:sz="4" w:space="0" w:color="000000"/>
              <w:right w:val="single" w:sz="4" w:space="0" w:color="000000"/>
            </w:tcBorders>
          </w:tcPr>
          <w:p w14:paraId="6D2ED1B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Environnement d’apprentissage sans conséquence réelle pour la formation des intervenants.</w:t>
            </w:r>
          </w:p>
        </w:tc>
        <w:tc>
          <w:tcPr>
            <w:tcW w:w="4372" w:type="dxa"/>
            <w:tcBorders>
              <w:top w:val="single" w:sz="4" w:space="0" w:color="000000"/>
              <w:left w:val="single" w:sz="4" w:space="0" w:color="000000"/>
              <w:bottom w:val="single" w:sz="4" w:space="0" w:color="000000"/>
              <w:right w:val="single" w:sz="4" w:space="0" w:color="000000"/>
            </w:tcBorders>
          </w:tcPr>
          <w:p w14:paraId="3830EB0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Dérive du modèle dans le temps si celui-ci n’est pas entretenu ni revalidé (RT3, RT4).</w:t>
            </w:r>
          </w:p>
        </w:tc>
      </w:tr>
      <w:tr w:rsidR="00F50D70" w:rsidRPr="00BE4F47" w14:paraId="276F57A0" w14:textId="77777777">
        <w:trPr>
          <w:cantSplit/>
          <w:trHeight w:val="429"/>
        </w:trPr>
        <w:tc>
          <w:tcPr>
            <w:tcW w:w="3954" w:type="dxa"/>
            <w:tcBorders>
              <w:top w:val="single" w:sz="4" w:space="0" w:color="000000"/>
              <w:left w:val="single" w:sz="4" w:space="0" w:color="000000"/>
              <w:bottom w:val="single" w:sz="4" w:space="0" w:color="000000"/>
              <w:right w:val="single" w:sz="4" w:space="0" w:color="000000"/>
            </w:tcBorders>
          </w:tcPr>
          <w:p w14:paraId="282F7E0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Traçabilité : chaque acquisition et chaque changement d’état sont journalisés (EX-F-10).</w:t>
            </w:r>
          </w:p>
        </w:tc>
        <w:tc>
          <w:tcPr>
            <w:tcW w:w="4372" w:type="dxa"/>
            <w:tcBorders>
              <w:top w:val="single" w:sz="4" w:space="0" w:color="000000"/>
              <w:left w:val="single" w:sz="4" w:space="0" w:color="000000"/>
              <w:bottom w:val="single" w:sz="4" w:space="0" w:color="000000"/>
              <w:right w:val="single" w:sz="4" w:space="0" w:color="000000"/>
            </w:tcBorders>
          </w:tcPr>
          <w:p w14:paraId="4102E74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Coût de maintien du modèle et des compétences nécessaires pour l’interpréter.</w:t>
            </w:r>
          </w:p>
        </w:tc>
      </w:tr>
    </w:tbl>
    <w:p w14:paraId="75815DE1" w14:textId="77777777" w:rsidR="00F50D70" w:rsidRPr="00BE4F47" w:rsidRDefault="00F50D70" w:rsidP="008E113B">
      <w:pPr>
        <w:pStyle w:val="Retraitcorpsdetexte3"/>
        <w:spacing w:line="360" w:lineRule="auto"/>
        <w:ind w:left="0" w:firstLine="0"/>
        <w:rPr>
          <w:rFonts w:ascii="Aptos" w:hAnsi="Aptos"/>
        </w:rPr>
      </w:pPr>
    </w:p>
    <w:p w14:paraId="7EFB68E3" w14:textId="77777777" w:rsidR="00F50D70" w:rsidRPr="00BE4F47" w:rsidRDefault="00F50D70" w:rsidP="008E113B">
      <w:pPr>
        <w:pStyle w:val="Retraitcorpsdetexte3"/>
        <w:spacing w:line="360" w:lineRule="auto"/>
        <w:ind w:left="0" w:firstLine="0"/>
        <w:rPr>
          <w:rFonts w:ascii="Aptos" w:hAnsi="Aptos"/>
        </w:rPr>
      </w:pPr>
    </w:p>
    <w:p w14:paraId="0DF3B8E4" w14:textId="77777777" w:rsidR="00F50D70" w:rsidRPr="00BE4F47" w:rsidRDefault="00F50D70" w:rsidP="008E113B">
      <w:pPr>
        <w:pStyle w:val="Retraitcorpsdetexte3"/>
        <w:spacing w:line="360" w:lineRule="auto"/>
        <w:ind w:left="0" w:firstLine="0"/>
        <w:rPr>
          <w:rFonts w:ascii="Aptos" w:hAnsi="Aptos"/>
        </w:rPr>
      </w:pPr>
    </w:p>
    <w:p w14:paraId="5A08B002" w14:textId="77777777" w:rsidR="00F50D70" w:rsidRPr="00B36301" w:rsidRDefault="00000000" w:rsidP="008E113B">
      <w:pPr>
        <w:pStyle w:val="Titre2"/>
        <w:spacing w:line="360" w:lineRule="auto"/>
      </w:pPr>
      <w:bookmarkStart w:id="369" w:name="__RefHeading___Toc240715254"/>
      <w:bookmarkStart w:id="370" w:name="_Toc241083075"/>
      <w:bookmarkEnd w:id="369"/>
      <w:r w:rsidRPr="00B36301">
        <w:lastRenderedPageBreak/>
        <w:t>Rôle de l’équipe dans une perspective du public</w:t>
      </w:r>
      <w:bookmarkEnd w:id="370"/>
    </w:p>
    <w:p w14:paraId="1A552AE0"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371" w:name="_Toc241083076"/>
      <w:r w:rsidRPr="00BE4F47">
        <w:rPr>
          <w:rFonts w:ascii="Aptos" w:eastAsia="Calibri" w:hAnsi="Aptos" w:cs="Calibri"/>
          <w:color w:val="1A1A19"/>
          <w:sz w:val="20"/>
          <w:szCs w:val="20"/>
        </w:rPr>
        <w:t>La protection du public est la mission première du système professionnel québécois et la raison d’être de l’encadrement légal de la section 6. La question posée par le mandat n’est pas de savoir si le projet est dangereux, mais comment l’équipe exerce ce rôle.</w:t>
      </w:r>
      <w:bookmarkEnd w:id="371"/>
    </w:p>
    <w:p w14:paraId="505A874D"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372" w:name="_Toc241083077"/>
      <w:r w:rsidRPr="00BE4F47">
        <w:rPr>
          <w:rFonts w:ascii="Aptos" w:eastAsia="Calibri" w:hAnsi="Aptos" w:cs="Calibri"/>
          <w:color w:val="1A1A19"/>
          <w:sz w:val="20"/>
          <w:szCs w:val="20"/>
        </w:rPr>
        <w:t>L’équipe n’est pas encore composée d’ingénieurs. Le rôle s’exerce donc non par une signature, mais par trois pratiques concrètes.</w:t>
      </w:r>
      <w:bookmarkEnd w:id="372"/>
    </w:p>
    <w:p w14:paraId="3C056A17" w14:textId="77777777" w:rsidR="00F50D70" w:rsidRPr="00BE4F47" w:rsidRDefault="00000000" w:rsidP="008E113B">
      <w:pPr>
        <w:spacing w:after="130" w:line="360" w:lineRule="auto"/>
        <w:ind w:left="425"/>
        <w:rPr>
          <w:rFonts w:ascii="Aptos" w:hAnsi="Aptos"/>
        </w:rPr>
      </w:pPr>
      <w:bookmarkStart w:id="373" w:name="_Toc241083078"/>
      <w:r w:rsidRPr="00BE4F47">
        <w:rPr>
          <w:rFonts w:ascii="Aptos" w:eastAsia="Calibri" w:hAnsi="Aptos" w:cs="Calibri"/>
          <w:b/>
          <w:bCs/>
          <w:color w:val="1A1A19"/>
          <w:sz w:val="20"/>
          <w:szCs w:val="20"/>
        </w:rPr>
        <w:t xml:space="preserve">Ne pas surestimer ce que le modèle sait faire. </w:t>
      </w:r>
      <w:r w:rsidRPr="00BE4F47">
        <w:rPr>
          <w:rFonts w:ascii="Aptos" w:eastAsia="Calibri" w:hAnsi="Aptos" w:cs="Calibri"/>
          <w:color w:val="1A1A19"/>
          <w:sz w:val="20"/>
          <w:szCs w:val="20"/>
        </w:rPr>
        <w:t>Un prototype universitaire de 1 080 heures ne reproduit pas une centrale. Le rapport final doit énoncer le domaine de validité et les limites au-delà desquelles les résultats ne sont pas valides (EX-C-01). Cet énoncé est un acte de protection du public, parce qu’il empêche un usage pour lequel l’outil n’a pas été conçu.</w:t>
      </w:r>
      <w:bookmarkEnd w:id="373"/>
    </w:p>
    <w:p w14:paraId="36C3DB62" w14:textId="77777777" w:rsidR="00F50D70" w:rsidRPr="00BE4F47" w:rsidRDefault="00000000" w:rsidP="008E113B">
      <w:pPr>
        <w:spacing w:after="130" w:line="360" w:lineRule="auto"/>
        <w:ind w:left="425"/>
        <w:rPr>
          <w:rFonts w:ascii="Aptos" w:hAnsi="Aptos"/>
        </w:rPr>
      </w:pPr>
      <w:bookmarkStart w:id="374" w:name="_Toc241083079"/>
      <w:r w:rsidRPr="00BE4F47">
        <w:rPr>
          <w:rFonts w:ascii="Aptos" w:eastAsia="Calibri" w:hAnsi="Aptos" w:cs="Calibri"/>
          <w:b/>
          <w:bCs/>
          <w:color w:val="1A1A19"/>
          <w:sz w:val="20"/>
          <w:szCs w:val="20"/>
        </w:rPr>
        <w:t xml:space="preserve">Rendre l’incertitude visible plutôt que la dissimuler. </w:t>
      </w:r>
      <w:r w:rsidRPr="00BE4F47">
        <w:rPr>
          <w:rFonts w:ascii="Aptos" w:eastAsia="Calibri" w:hAnsi="Aptos" w:cs="Calibri"/>
          <w:color w:val="1A1A19"/>
          <w:sz w:val="20"/>
          <w:szCs w:val="20"/>
        </w:rPr>
        <w:t>Un système qui, faute de données, affiche « normal » est plus dangereux qu’un système en panne : la panne se voit, l’erreur silencieuse non. C’est la raison d’être des exigences EX-F-06 et EX-F-07, et de l’état D2 du GEMMA.</w:t>
      </w:r>
      <w:bookmarkEnd w:id="374"/>
    </w:p>
    <w:p w14:paraId="12C40F14" w14:textId="77777777" w:rsidR="00F50D70" w:rsidRPr="00BE4F47" w:rsidRDefault="00000000" w:rsidP="008E113B">
      <w:pPr>
        <w:spacing w:after="130" w:line="360" w:lineRule="auto"/>
        <w:ind w:left="425"/>
        <w:rPr>
          <w:rFonts w:ascii="Aptos" w:hAnsi="Aptos"/>
        </w:rPr>
      </w:pPr>
      <w:bookmarkStart w:id="375" w:name="_Toc241083080"/>
      <w:r w:rsidRPr="00BE4F47">
        <w:rPr>
          <w:rFonts w:ascii="Aptos" w:eastAsia="Calibri" w:hAnsi="Aptos" w:cs="Calibri"/>
          <w:b/>
          <w:bCs/>
          <w:color w:val="1A1A19"/>
          <w:sz w:val="20"/>
          <w:szCs w:val="20"/>
        </w:rPr>
        <w:t xml:space="preserve">Maintenir la décision chez l’humain. </w:t>
      </w:r>
      <w:r w:rsidRPr="00BE4F47">
        <w:rPr>
          <w:rFonts w:ascii="Aptos" w:eastAsia="Calibri" w:hAnsi="Aptos" w:cs="Calibri"/>
          <w:color w:val="1A1A19"/>
          <w:sz w:val="20"/>
          <w:szCs w:val="20"/>
        </w:rPr>
        <w:t>Le prototype n’émet aucune commande (EX-F-08). Le passage en fonctionnement dégradé exige une confirmation explicite de l’opérateur et est journalisé (EX-F-09, état D3 du GEMMA). L’opérateur reste la dernière barrière, et l’outil est conçu pour la renforcer, non pour la remplacer.</w:t>
      </w:r>
      <w:bookmarkEnd w:id="375"/>
    </w:p>
    <w:p w14:paraId="068328E4" w14:textId="77777777" w:rsidR="00F50D70" w:rsidRPr="00BE4F47" w:rsidRDefault="00000000" w:rsidP="008E113B">
      <w:pPr>
        <w:spacing w:after="130" w:line="360" w:lineRule="auto"/>
        <w:ind w:left="360"/>
        <w:rPr>
          <w:rFonts w:ascii="Aptos" w:hAnsi="Aptos"/>
        </w:rPr>
      </w:pPr>
      <w:bookmarkStart w:id="376" w:name="_Toc241083081"/>
      <w:r w:rsidRPr="00BE4F47">
        <w:rPr>
          <w:rFonts w:ascii="Aptos" w:eastAsia="Calibri" w:hAnsi="Aptos" w:cs="Calibri"/>
          <w:color w:val="1A1A19"/>
          <w:sz w:val="20"/>
          <w:szCs w:val="20"/>
        </w:rPr>
        <w:t>Ces trois pratiques trouvent leur expression la plus concrète dans le traitement du risque 4.2, la non-détection d’une anomalie réelle. Sa probabilité se réduit par les essais, sa gravité non. Elle ne descend de 5 à 4 que parce que le système ne décide pas seul. C’est donc la décision humaine, et non un moyen technique, qui fait de ce risque un résidu acceptable.</w:t>
      </w:r>
      <w:bookmarkEnd w:id="376"/>
    </w:p>
    <w:p w14:paraId="70C47643" w14:textId="77777777" w:rsidR="00F50D70" w:rsidRPr="00BE4F47" w:rsidRDefault="00F50D70" w:rsidP="008E113B">
      <w:pPr>
        <w:pStyle w:val="Retraitcorpsdetexte3"/>
        <w:spacing w:line="360" w:lineRule="auto"/>
        <w:ind w:left="0" w:firstLine="0"/>
        <w:rPr>
          <w:rFonts w:ascii="Aptos" w:hAnsi="Aptos"/>
        </w:rPr>
      </w:pPr>
    </w:p>
    <w:p w14:paraId="3BF9D476" w14:textId="77777777" w:rsidR="00F50D70" w:rsidRPr="00B36301" w:rsidRDefault="00000000" w:rsidP="008E113B">
      <w:pPr>
        <w:pStyle w:val="Titre2"/>
        <w:spacing w:line="360" w:lineRule="auto"/>
      </w:pPr>
      <w:bookmarkStart w:id="377" w:name="__RefHeading___Toc240715261"/>
      <w:bookmarkStart w:id="378" w:name="_Toc241083082"/>
      <w:bookmarkEnd w:id="377"/>
      <w:r w:rsidRPr="00B36301">
        <w:t>Approche pour maximiser les bénéfices et minimiser les inconvénients</w:t>
      </w:r>
      <w:bookmarkEnd w:id="378"/>
    </w:p>
    <w:p w14:paraId="7A5890E6" w14:textId="77777777" w:rsidR="00F50D70" w:rsidRPr="00BE4F47" w:rsidRDefault="00000000" w:rsidP="008E113B">
      <w:pPr>
        <w:spacing w:line="360" w:lineRule="auto"/>
        <w:ind w:left="425"/>
        <w:rPr>
          <w:rFonts w:ascii="Aptos" w:hAnsi="Aptos"/>
        </w:rPr>
      </w:pPr>
      <w:bookmarkStart w:id="379" w:name="_Toc241083083"/>
      <w:r w:rsidRPr="00BE4F47">
        <w:rPr>
          <w:rFonts w:ascii="Aptos" w:eastAsia="Calibri" w:hAnsi="Aptos" w:cs="Calibri"/>
          <w:color w:val="1A1A19"/>
          <w:sz w:val="20"/>
          <w:szCs w:val="20"/>
        </w:rPr>
        <w:t>Quatre décisions de conception déjà prises par l’équipe constituent cet arbitrage.</w:t>
      </w:r>
      <w:bookmarkEnd w:id="379"/>
    </w:p>
    <w:p w14:paraId="32BBC62F" w14:textId="77777777" w:rsidR="00F50D70" w:rsidRPr="00BE4F47" w:rsidRDefault="00F50D70" w:rsidP="008E113B">
      <w:pPr>
        <w:spacing w:line="360" w:lineRule="auto"/>
        <w:ind w:left="0"/>
        <w:rPr>
          <w:rFonts w:ascii="Aptos" w:eastAsia="Calibri" w:hAnsi="Aptos" w:cs="Calibri"/>
          <w:color w:val="1A1A19"/>
          <w:sz w:val="20"/>
          <w:szCs w:val="20"/>
        </w:rPr>
      </w:pPr>
    </w:p>
    <w:p w14:paraId="68AED203" w14:textId="77777777" w:rsidR="00F50D70" w:rsidRPr="00BE4F47" w:rsidRDefault="00000000" w:rsidP="008E113B">
      <w:pPr>
        <w:pStyle w:val="Lgende"/>
        <w:spacing w:line="360" w:lineRule="auto"/>
        <w:rPr>
          <w:rFonts w:ascii="Aptos" w:hAnsi="Aptos"/>
        </w:rPr>
      </w:pPr>
      <w:bookmarkStart w:id="380" w:name="_Toc241083084"/>
      <w:r w:rsidRPr="00BE4F47">
        <w:rPr>
          <w:rFonts w:ascii="Aptos" w:hAnsi="Aptos"/>
        </w:rPr>
        <w:t>Tableau 7-2. Décisions prises pour maximiser les bénéfices</w:t>
      </w:r>
      <w:bookmarkEnd w:id="380"/>
    </w:p>
    <w:tbl>
      <w:tblPr>
        <w:tblW w:w="8505" w:type="dxa"/>
        <w:tblInd w:w="511" w:type="dxa"/>
        <w:tblLayout w:type="fixed"/>
        <w:tblCellMar>
          <w:top w:w="55" w:type="dxa"/>
          <w:left w:w="85" w:type="dxa"/>
          <w:bottom w:w="55" w:type="dxa"/>
          <w:right w:w="85" w:type="dxa"/>
        </w:tblCellMar>
        <w:tblLook w:val="04A0" w:firstRow="1" w:lastRow="0" w:firstColumn="1" w:lastColumn="0" w:noHBand="0" w:noVBand="1"/>
      </w:tblPr>
      <w:tblGrid>
        <w:gridCol w:w="2595"/>
        <w:gridCol w:w="3022"/>
        <w:gridCol w:w="2888"/>
      </w:tblGrid>
      <w:tr w:rsidR="00F50D70" w:rsidRPr="00BE4F47" w14:paraId="60A08D4F" w14:textId="77777777">
        <w:trPr>
          <w:trHeight w:val="216"/>
          <w:tblHeader/>
        </w:trPr>
        <w:tc>
          <w:tcPr>
            <w:tcW w:w="2595" w:type="dxa"/>
            <w:tcBorders>
              <w:top w:val="single" w:sz="4" w:space="0" w:color="000000"/>
              <w:left w:val="single" w:sz="4" w:space="0" w:color="000000"/>
              <w:bottom w:val="single" w:sz="4" w:space="0" w:color="000000"/>
              <w:right w:val="single" w:sz="4" w:space="0" w:color="000000"/>
            </w:tcBorders>
            <w:shd w:val="clear" w:color="auto" w:fill="EFF4FB"/>
          </w:tcPr>
          <w:p w14:paraId="15BBAE3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Décision</w:t>
            </w:r>
          </w:p>
        </w:tc>
        <w:tc>
          <w:tcPr>
            <w:tcW w:w="3022" w:type="dxa"/>
            <w:tcBorders>
              <w:top w:val="single" w:sz="4" w:space="0" w:color="000000"/>
              <w:left w:val="single" w:sz="4" w:space="0" w:color="000000"/>
              <w:bottom w:val="single" w:sz="4" w:space="0" w:color="000000"/>
              <w:right w:val="single" w:sz="4" w:space="0" w:color="000000"/>
            </w:tcBorders>
            <w:shd w:val="clear" w:color="auto" w:fill="EFF4FB"/>
          </w:tcPr>
          <w:p w14:paraId="5C17F1E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maximise</w:t>
            </w:r>
          </w:p>
        </w:tc>
        <w:tc>
          <w:tcPr>
            <w:tcW w:w="2888" w:type="dxa"/>
            <w:tcBorders>
              <w:top w:val="single" w:sz="4" w:space="0" w:color="000000"/>
              <w:left w:val="single" w:sz="4" w:space="0" w:color="000000"/>
              <w:bottom w:val="single" w:sz="4" w:space="0" w:color="000000"/>
              <w:right w:val="single" w:sz="4" w:space="0" w:color="000000"/>
            </w:tcBorders>
            <w:shd w:val="clear" w:color="auto" w:fill="EFF4FB"/>
          </w:tcPr>
          <w:p w14:paraId="1DA867B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minimise</w:t>
            </w:r>
          </w:p>
        </w:tc>
      </w:tr>
      <w:tr w:rsidR="00F50D70" w:rsidRPr="00BE4F47" w14:paraId="4AF21404" w14:textId="77777777">
        <w:trPr>
          <w:cantSplit/>
          <w:trHeight w:val="612"/>
        </w:trPr>
        <w:tc>
          <w:tcPr>
            <w:tcW w:w="2595" w:type="dxa"/>
            <w:tcBorders>
              <w:top w:val="single" w:sz="4" w:space="0" w:color="000000"/>
              <w:left w:val="single" w:sz="4" w:space="0" w:color="000000"/>
              <w:bottom w:val="single" w:sz="4" w:space="0" w:color="000000"/>
              <w:right w:val="single" w:sz="4" w:space="0" w:color="000000"/>
            </w:tcBorders>
          </w:tcPr>
          <w:p w14:paraId="0A59ECC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D3 du GEMMA, fonctionnement dégradé autorisé sous surveillance renforcée et validation humaine.</w:t>
            </w:r>
          </w:p>
        </w:tc>
        <w:tc>
          <w:tcPr>
            <w:tcW w:w="3022" w:type="dxa"/>
            <w:tcBorders>
              <w:top w:val="single" w:sz="4" w:space="0" w:color="000000"/>
              <w:left w:val="single" w:sz="4" w:space="0" w:color="000000"/>
              <w:bottom w:val="single" w:sz="4" w:space="0" w:color="000000"/>
              <w:right w:val="single" w:sz="4" w:space="0" w:color="000000"/>
            </w:tcBorders>
          </w:tcPr>
          <w:p w14:paraId="36DCBF3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disponibilité de l’outil : une donnée partiellement dégradée n’entraîne pas l’arrêt complet de la surveillance.</w:t>
            </w:r>
          </w:p>
        </w:tc>
        <w:tc>
          <w:tcPr>
            <w:tcW w:w="2888" w:type="dxa"/>
            <w:tcBorders>
              <w:top w:val="single" w:sz="4" w:space="0" w:color="000000"/>
              <w:left w:val="single" w:sz="4" w:space="0" w:color="000000"/>
              <w:bottom w:val="single" w:sz="4" w:space="0" w:color="000000"/>
              <w:right w:val="single" w:sz="4" w:space="0" w:color="000000"/>
            </w:tcBorders>
          </w:tcPr>
          <w:p w14:paraId="4DA1958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risque d’exploiter un diagnostic non fiable, puisque le passage exige une confirmation explicite (EX-F-09).</w:t>
            </w:r>
          </w:p>
        </w:tc>
      </w:tr>
      <w:tr w:rsidR="00F50D70" w:rsidRPr="00BE4F47" w14:paraId="6D03F76B" w14:textId="77777777">
        <w:trPr>
          <w:cantSplit/>
          <w:trHeight w:val="612"/>
        </w:trPr>
        <w:tc>
          <w:tcPr>
            <w:tcW w:w="2595" w:type="dxa"/>
            <w:tcBorders>
              <w:top w:val="single" w:sz="4" w:space="0" w:color="000000"/>
              <w:left w:val="single" w:sz="4" w:space="0" w:color="000000"/>
              <w:bottom w:val="single" w:sz="4" w:space="0" w:color="000000"/>
              <w:right w:val="single" w:sz="4" w:space="0" w:color="000000"/>
            </w:tcBorders>
          </w:tcPr>
          <w:p w14:paraId="43F6AB3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Signalement de l’incertitude plutôt qu’affichage d’un état normal par défaut (EX-F-06).</w:t>
            </w:r>
          </w:p>
        </w:tc>
        <w:tc>
          <w:tcPr>
            <w:tcW w:w="3022" w:type="dxa"/>
            <w:tcBorders>
              <w:top w:val="single" w:sz="4" w:space="0" w:color="000000"/>
              <w:left w:val="single" w:sz="4" w:space="0" w:color="000000"/>
              <w:bottom w:val="single" w:sz="4" w:space="0" w:color="000000"/>
              <w:right w:val="single" w:sz="4" w:space="0" w:color="000000"/>
            </w:tcBorders>
          </w:tcPr>
          <w:p w14:paraId="6913BEB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L’information utile réellement transmise à l’opérateur.</w:t>
            </w:r>
          </w:p>
        </w:tc>
        <w:tc>
          <w:tcPr>
            <w:tcW w:w="2888" w:type="dxa"/>
            <w:tcBorders>
              <w:top w:val="single" w:sz="4" w:space="0" w:color="000000"/>
              <w:left w:val="single" w:sz="4" w:space="0" w:color="000000"/>
              <w:bottom w:val="single" w:sz="4" w:space="0" w:color="000000"/>
              <w:right w:val="single" w:sz="4" w:space="0" w:color="000000"/>
            </w:tcBorders>
          </w:tcPr>
          <w:p w14:paraId="35893D5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biais d’automatisation et l’erreur silencieuse (RT10, 4.2).</w:t>
            </w:r>
          </w:p>
        </w:tc>
      </w:tr>
      <w:tr w:rsidR="00F50D70" w:rsidRPr="00BE4F47" w14:paraId="5FEE6EB8" w14:textId="77777777">
        <w:trPr>
          <w:cantSplit/>
          <w:trHeight w:val="601"/>
        </w:trPr>
        <w:tc>
          <w:tcPr>
            <w:tcW w:w="2595" w:type="dxa"/>
            <w:tcBorders>
              <w:top w:val="single" w:sz="4" w:space="0" w:color="000000"/>
              <w:left w:val="single" w:sz="4" w:space="0" w:color="000000"/>
              <w:bottom w:val="single" w:sz="4" w:space="0" w:color="000000"/>
              <w:right w:val="single" w:sz="4" w:space="0" w:color="000000"/>
            </w:tcBorders>
          </w:tcPr>
          <w:p w14:paraId="4C37AD8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Interdiction de redémarrage direct depuis l’état D1, imposant le passage par D2, A5, A6 et A1.</w:t>
            </w:r>
          </w:p>
        </w:tc>
        <w:tc>
          <w:tcPr>
            <w:tcW w:w="3022" w:type="dxa"/>
            <w:tcBorders>
              <w:top w:val="single" w:sz="4" w:space="0" w:color="000000"/>
              <w:left w:val="single" w:sz="4" w:space="0" w:color="000000"/>
              <w:bottom w:val="single" w:sz="4" w:space="0" w:color="000000"/>
              <w:right w:val="single" w:sz="4" w:space="0" w:color="000000"/>
            </w:tcBorders>
          </w:tcPr>
          <w:p w14:paraId="0F08A5A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maîtrise de la reprise après un événement.</w:t>
            </w:r>
          </w:p>
        </w:tc>
        <w:tc>
          <w:tcPr>
            <w:tcW w:w="2888" w:type="dxa"/>
            <w:tcBorders>
              <w:top w:val="single" w:sz="4" w:space="0" w:color="000000"/>
              <w:left w:val="single" w:sz="4" w:space="0" w:color="000000"/>
              <w:bottom w:val="single" w:sz="4" w:space="0" w:color="000000"/>
              <w:right w:val="single" w:sz="4" w:space="0" w:color="000000"/>
            </w:tcBorders>
          </w:tcPr>
          <w:p w14:paraId="59C7C57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redémarrage d’un système dont la cause de défaillance n’a pas été traitée.</w:t>
            </w:r>
          </w:p>
        </w:tc>
      </w:tr>
      <w:tr w:rsidR="00F50D70" w:rsidRPr="00BE4F47" w14:paraId="19404E6C" w14:textId="77777777">
        <w:trPr>
          <w:cantSplit/>
          <w:trHeight w:val="612"/>
        </w:trPr>
        <w:tc>
          <w:tcPr>
            <w:tcW w:w="2595" w:type="dxa"/>
            <w:tcBorders>
              <w:top w:val="single" w:sz="4" w:space="0" w:color="000000"/>
              <w:left w:val="single" w:sz="4" w:space="0" w:color="000000"/>
              <w:bottom w:val="single" w:sz="4" w:space="0" w:color="000000"/>
              <w:right w:val="single" w:sz="4" w:space="0" w:color="000000"/>
            </w:tcBorders>
          </w:tcPr>
          <w:p w14:paraId="591A6D8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lastRenderedPageBreak/>
              <w:t>Priorité de réduction du contenu ajustable avant toute réduction des activités de V&amp;V (RP2).</w:t>
            </w:r>
          </w:p>
        </w:tc>
        <w:tc>
          <w:tcPr>
            <w:tcW w:w="3022" w:type="dxa"/>
            <w:tcBorders>
              <w:top w:val="single" w:sz="4" w:space="0" w:color="000000"/>
              <w:left w:val="single" w:sz="4" w:space="0" w:color="000000"/>
              <w:bottom w:val="single" w:sz="4" w:space="0" w:color="000000"/>
              <w:right w:val="single" w:sz="4" w:space="0" w:color="000000"/>
            </w:tcBorders>
          </w:tcPr>
          <w:p w14:paraId="65E9727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valeur démontrable du livrable à ressources constantes.</w:t>
            </w:r>
          </w:p>
        </w:tc>
        <w:tc>
          <w:tcPr>
            <w:tcW w:w="2888" w:type="dxa"/>
            <w:tcBorders>
              <w:top w:val="single" w:sz="4" w:space="0" w:color="000000"/>
              <w:left w:val="single" w:sz="4" w:space="0" w:color="000000"/>
              <w:bottom w:val="single" w:sz="4" w:space="0" w:color="000000"/>
              <w:right w:val="single" w:sz="4" w:space="0" w:color="000000"/>
            </w:tcBorders>
          </w:tcPr>
          <w:p w14:paraId="47DA356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risque de remettre un prototype dont la qualité n’a pas été vérifiée.</w:t>
            </w:r>
          </w:p>
        </w:tc>
      </w:tr>
    </w:tbl>
    <w:p w14:paraId="530D4513" w14:textId="77777777" w:rsidR="00F50D70" w:rsidRPr="00BE4F47" w:rsidRDefault="00F50D70" w:rsidP="008E113B">
      <w:pPr>
        <w:spacing w:line="360" w:lineRule="auto"/>
        <w:ind w:left="425"/>
        <w:rPr>
          <w:rFonts w:ascii="Aptos" w:hAnsi="Aptos"/>
        </w:rPr>
      </w:pPr>
    </w:p>
    <w:p w14:paraId="3F1FBA73"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381" w:name="_Toc241083085"/>
      <w:r w:rsidRPr="00BE4F47">
        <w:rPr>
          <w:rFonts w:ascii="Aptos" w:eastAsia="Calibri" w:hAnsi="Aptos" w:cs="Calibri"/>
          <w:color w:val="1A1A19"/>
          <w:sz w:val="20"/>
          <w:szCs w:val="20"/>
        </w:rPr>
        <w:t>À cela s’ajoute la règle de suivi : les risques sont réévalués à chaque jalon et à chaque modification importante du périmètre, des exigences ou des hypothèses. Un arbitrage figé en septembre ne vaut plus en décembre.</w:t>
      </w:r>
      <w:bookmarkEnd w:id="381"/>
    </w:p>
    <w:p w14:paraId="3F40B1BB" w14:textId="77777777" w:rsidR="00F50D70" w:rsidRPr="00BE4F47" w:rsidRDefault="00F50D70" w:rsidP="008E113B">
      <w:pPr>
        <w:spacing w:line="360" w:lineRule="auto"/>
        <w:ind w:left="0"/>
        <w:rPr>
          <w:rFonts w:ascii="Aptos" w:hAnsi="Aptos"/>
        </w:rPr>
      </w:pPr>
    </w:p>
    <w:p w14:paraId="2FEF389D" w14:textId="77777777" w:rsidR="00F50D70" w:rsidRPr="00B36301" w:rsidRDefault="00000000" w:rsidP="008E113B">
      <w:pPr>
        <w:pStyle w:val="Titre2"/>
        <w:spacing w:line="360" w:lineRule="auto"/>
      </w:pPr>
      <w:bookmarkStart w:id="382" w:name="__RefHeading___Toc240715264"/>
      <w:bookmarkStart w:id="383" w:name="_Toc241083086"/>
      <w:bookmarkEnd w:id="382"/>
      <w:r w:rsidRPr="00B36301">
        <w:t>Méthode d’analyse des risques</w:t>
      </w:r>
      <w:bookmarkEnd w:id="383"/>
    </w:p>
    <w:p w14:paraId="075BA52C" w14:textId="77777777" w:rsidR="00F50D70" w:rsidRPr="00BE4F47" w:rsidRDefault="00000000" w:rsidP="008E113B">
      <w:pPr>
        <w:pStyle w:val="Titre4"/>
        <w:spacing w:line="360" w:lineRule="auto"/>
      </w:pPr>
      <w:bookmarkStart w:id="384" w:name="__RefHeading___Toc240715265"/>
      <w:bookmarkEnd w:id="384"/>
      <w:r w:rsidRPr="00BE4F47">
        <w:t>Cadre de référence</w:t>
      </w:r>
    </w:p>
    <w:p w14:paraId="61DC3D0F" w14:textId="77777777" w:rsidR="00F50D70" w:rsidRPr="00BE4F47" w:rsidRDefault="00000000" w:rsidP="008E113B">
      <w:pPr>
        <w:spacing w:after="130" w:line="360" w:lineRule="auto"/>
        <w:ind w:left="992"/>
        <w:rPr>
          <w:rFonts w:ascii="Aptos" w:hAnsi="Aptos"/>
        </w:rPr>
      </w:pPr>
      <w:bookmarkStart w:id="385" w:name="_Toc241083087"/>
      <w:r w:rsidRPr="00BE4F47">
        <w:rPr>
          <w:rFonts w:ascii="Aptos" w:eastAsia="Calibri" w:hAnsi="Aptos" w:cs="Calibri"/>
          <w:color w:val="1A1A19"/>
          <w:sz w:val="20"/>
          <w:szCs w:val="20"/>
        </w:rPr>
        <w:t>La démarche suit le processus de management du risque décrit par la norme ISO 31000 [27], déjà retenue au tableau des normes du plan : identification, analyse, évaluation, traitement, puis surveillance et revue. Les quatre étapes demandées par le mandat, identification, évaluation, atténuation et tolérance, correspondent à ce processus.</w:t>
      </w:r>
      <w:bookmarkEnd w:id="385"/>
    </w:p>
    <w:p w14:paraId="591F4B81" w14:textId="77777777" w:rsidR="00F50D70" w:rsidRPr="00BE4F47" w:rsidRDefault="00000000" w:rsidP="008E113B">
      <w:pPr>
        <w:pStyle w:val="Retraitcorpsdetexte3"/>
        <w:spacing w:line="360" w:lineRule="auto"/>
        <w:ind w:left="992" w:firstLine="0"/>
        <w:rPr>
          <w:rFonts w:ascii="Aptos" w:hAnsi="Aptos"/>
        </w:rPr>
      </w:pPr>
      <w:bookmarkStart w:id="386" w:name="_Toc241083088"/>
      <w:r w:rsidRPr="00BE4F47">
        <w:rPr>
          <w:rFonts w:ascii="Aptos" w:eastAsia="Calibri" w:hAnsi="Aptos" w:cs="Calibri"/>
          <w:color w:val="1A1A19"/>
          <w:sz w:val="20"/>
          <w:szCs w:val="20"/>
        </w:rPr>
        <w:t>Deux registres sont distingués. Les risques de projet touchent l’échéancier, les ressources, les coûts et le périmètre. Les risques du produit concernent le fonctionnement, la fiabilité, les données, la cybersécurité et l’utilisation du jumeau numérique. Cette séparation est nécessaire parce que les deux familles n’ont ni les mêmes propriétaires, ni les mêmes moyens de traitement, ni les mêmes échéances.</w:t>
      </w:r>
      <w:bookmarkEnd w:id="386"/>
    </w:p>
    <w:p w14:paraId="20A072A6" w14:textId="77777777" w:rsidR="00F50D70" w:rsidRPr="00BE4F47" w:rsidRDefault="00F50D70" w:rsidP="008E113B">
      <w:pPr>
        <w:pStyle w:val="Retraitcorpsdetexte3"/>
        <w:spacing w:line="360" w:lineRule="auto"/>
        <w:ind w:left="992" w:firstLine="0"/>
        <w:rPr>
          <w:rFonts w:ascii="Aptos" w:eastAsia="Calibri" w:hAnsi="Aptos" w:cs="Calibri"/>
          <w:color w:val="1A1A19"/>
          <w:sz w:val="20"/>
          <w:szCs w:val="20"/>
        </w:rPr>
      </w:pPr>
    </w:p>
    <w:p w14:paraId="465B1B87" w14:textId="77777777" w:rsidR="00F50D70" w:rsidRPr="00BE4F47" w:rsidRDefault="00000000" w:rsidP="008E113B">
      <w:pPr>
        <w:pStyle w:val="Titre4"/>
        <w:spacing w:line="360" w:lineRule="auto"/>
      </w:pPr>
      <w:bookmarkStart w:id="387" w:name="__RefHeading___Toc240715268"/>
      <w:bookmarkEnd w:id="387"/>
      <w:r w:rsidRPr="00BE4F47">
        <w:t>Méthodes d’identification</w:t>
      </w:r>
    </w:p>
    <w:p w14:paraId="303BDFFD"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388" w:name="_Toc241083089"/>
      <w:r w:rsidRPr="00BE4F47">
        <w:rPr>
          <w:rFonts w:ascii="Aptos" w:eastAsia="Calibri" w:hAnsi="Aptos" w:cs="Calibri"/>
          <w:color w:val="1A1A19"/>
          <w:sz w:val="20"/>
          <w:szCs w:val="20"/>
        </w:rPr>
        <w:t>Deux méthodes, parmi celles recensées par l’Ordre des ingénieurs du Québec [39], ont été employées.</w:t>
      </w:r>
      <w:bookmarkEnd w:id="388"/>
    </w:p>
    <w:p w14:paraId="040CAD81" w14:textId="77777777" w:rsidR="00F50D70" w:rsidRPr="00BE4F47" w:rsidRDefault="00000000" w:rsidP="008E113B">
      <w:pPr>
        <w:pStyle w:val="Paragraphedeliste"/>
        <w:numPr>
          <w:ilvl w:val="0"/>
          <w:numId w:val="11"/>
        </w:numPr>
        <w:spacing w:after="70" w:line="360" w:lineRule="auto"/>
        <w:contextualSpacing w:val="0"/>
        <w:rPr>
          <w:rFonts w:ascii="Aptos" w:hAnsi="Aptos"/>
          <w:lang w:val="fr-CA"/>
        </w:rPr>
      </w:pPr>
      <w:r w:rsidRPr="00BE4F47">
        <w:rPr>
          <w:rFonts w:ascii="Aptos" w:hAnsi="Aptos" w:cs="Calibri"/>
          <w:b/>
          <w:bCs/>
          <w:color w:val="1A1A19"/>
          <w:sz w:val="20"/>
          <w:szCs w:val="20"/>
          <w:lang w:val="fr-CA"/>
        </w:rPr>
        <w:t xml:space="preserve">Analyse préliminaire des risques (APR). </w:t>
      </w:r>
      <w:r w:rsidRPr="00BE4F47">
        <w:rPr>
          <w:rFonts w:ascii="Aptos" w:hAnsi="Aptos" w:cs="Calibri"/>
          <w:color w:val="1A1A19"/>
          <w:sz w:val="20"/>
          <w:szCs w:val="20"/>
          <w:lang w:val="fr-CA"/>
        </w:rPr>
        <w:t>Balayage large conduit en séance d’équipe à partir du périmètre, des exigences et des hypothèses. Elle a produit les familles du RBS présenté en 7.7.</w:t>
      </w:r>
    </w:p>
    <w:p w14:paraId="7568D100" w14:textId="77777777" w:rsidR="00F50D70" w:rsidRPr="00BE4F47" w:rsidRDefault="00000000" w:rsidP="008E113B">
      <w:pPr>
        <w:pStyle w:val="Paragraphedeliste"/>
        <w:numPr>
          <w:ilvl w:val="0"/>
          <w:numId w:val="11"/>
        </w:numPr>
        <w:spacing w:after="70" w:line="360" w:lineRule="auto"/>
        <w:contextualSpacing w:val="0"/>
        <w:rPr>
          <w:rFonts w:ascii="Aptos" w:hAnsi="Aptos"/>
          <w:lang w:val="fr-CA"/>
        </w:rPr>
      </w:pPr>
      <w:r w:rsidRPr="00BE4F47">
        <w:rPr>
          <w:rFonts w:ascii="Aptos" w:hAnsi="Aptos" w:cs="Calibri"/>
          <w:b/>
          <w:bCs/>
          <w:color w:val="1A1A19"/>
          <w:sz w:val="20"/>
          <w:szCs w:val="20"/>
          <w:lang w:val="fr-CA"/>
        </w:rPr>
        <w:t xml:space="preserve">AMDEC appliquée à la chaîne de détection. </w:t>
      </w:r>
      <w:r w:rsidRPr="00BE4F47">
        <w:rPr>
          <w:rFonts w:ascii="Aptos" w:hAnsi="Aptos" w:cs="Calibri"/>
          <w:color w:val="1A1A19"/>
          <w:sz w:val="20"/>
          <w:szCs w:val="20"/>
          <w:lang w:val="fr-CA"/>
        </w:rPr>
        <w:t>Pour chaque mode de défaillance identifié (capteur muet, dérive lente, donnée altérée, perte de communication), l’effet sur la décision de l’opérateur et la classe de risque correspondante ont été examinés. Elle a produit les risques RT1 à RT6.</w:t>
      </w:r>
    </w:p>
    <w:p w14:paraId="5126F478"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389" w:name="_Toc241083090"/>
      <w:r w:rsidRPr="00BE4F47">
        <w:rPr>
          <w:rFonts w:ascii="Aptos" w:eastAsia="Calibri" w:hAnsi="Aptos" w:cs="Calibri"/>
          <w:color w:val="1A1A19"/>
          <w:sz w:val="20"/>
          <w:szCs w:val="20"/>
        </w:rPr>
        <w:t>Les méthodes plus lourdes recensées par la même source, notamment l’étude HAZOP et l’analyse quantitative des risques, n’ont pas été retenues : elles sont disproportionnées pour un prototype simulé et l’équipe ne dispose ni des données ni du temps nécessaire pour les conduire sérieusement. Les citer sans les faire coûterait plus que de ne pas les citer.</w:t>
      </w:r>
      <w:bookmarkEnd w:id="389"/>
    </w:p>
    <w:p w14:paraId="5E7D8904" w14:textId="77777777" w:rsidR="00F50D70" w:rsidRPr="00BE4F47" w:rsidRDefault="00000000" w:rsidP="008E113B">
      <w:pPr>
        <w:pStyle w:val="Titre4"/>
        <w:spacing w:line="360" w:lineRule="auto"/>
      </w:pPr>
      <w:bookmarkStart w:id="390" w:name="__RefHeading___Toc240715271"/>
      <w:bookmarkEnd w:id="390"/>
      <w:r w:rsidRPr="00BE4F47">
        <w:lastRenderedPageBreak/>
        <w:t>Échelles de cotation</w:t>
      </w:r>
    </w:p>
    <w:p w14:paraId="10FE4E19" w14:textId="77777777" w:rsidR="00F50D70" w:rsidRPr="00BE4F47" w:rsidRDefault="00F50D70" w:rsidP="008E113B">
      <w:pPr>
        <w:pStyle w:val="Retraitcorpsdetexte3"/>
        <w:spacing w:line="360" w:lineRule="auto"/>
        <w:rPr>
          <w:rFonts w:ascii="Aptos" w:hAnsi="Aptos"/>
        </w:rPr>
      </w:pPr>
    </w:p>
    <w:p w14:paraId="0706E14A" w14:textId="77777777" w:rsidR="00F50D70" w:rsidRPr="00BE4F47" w:rsidRDefault="00000000" w:rsidP="008E113B">
      <w:pPr>
        <w:spacing w:after="130" w:line="360" w:lineRule="auto"/>
        <w:ind w:left="360"/>
        <w:rPr>
          <w:rFonts w:ascii="Aptos" w:hAnsi="Aptos"/>
        </w:rPr>
      </w:pPr>
      <w:bookmarkStart w:id="391" w:name="_Toc241083091"/>
      <w:r w:rsidRPr="00BE4F47">
        <w:rPr>
          <w:rFonts w:ascii="Aptos" w:eastAsia="Calibri" w:hAnsi="Aptos" w:cs="Calibri"/>
          <w:color w:val="1A1A19"/>
          <w:sz w:val="20"/>
          <w:szCs w:val="20"/>
        </w:rPr>
        <w:t>Les risques sont cotés selon l’échelle de la grille d’analyse de risque employée dans le cours. La gravité va de 1 à 5, la probabilité de A à E. Les définitions de probabilité de la grille sont exprimées pour la durée de vie d’une installation ; la dernière colonne en donne la lecture retenue pour un mandat d’un trimestre.</w:t>
      </w:r>
      <w:bookmarkEnd w:id="391"/>
    </w:p>
    <w:p w14:paraId="2DFD7CF2" w14:textId="77777777" w:rsidR="00F50D70" w:rsidRPr="00BE4F47" w:rsidRDefault="00000000" w:rsidP="008E113B">
      <w:pPr>
        <w:pStyle w:val="Lgende"/>
        <w:spacing w:line="360" w:lineRule="auto"/>
        <w:rPr>
          <w:rFonts w:ascii="Aptos" w:hAnsi="Aptos"/>
        </w:rPr>
      </w:pPr>
      <w:bookmarkStart w:id="392" w:name="_Toc241083092"/>
      <w:r w:rsidRPr="00BE4F47">
        <w:rPr>
          <w:rFonts w:ascii="Aptos" w:hAnsi="Aptos"/>
        </w:rPr>
        <w:t>Tableau 7-3. Échelles de gravité et de probabilité</w:t>
      </w:r>
      <w:bookmarkEnd w:id="392"/>
    </w:p>
    <w:tbl>
      <w:tblPr>
        <w:tblW w:w="8400" w:type="dxa"/>
        <w:tblInd w:w="1079" w:type="dxa"/>
        <w:tblLayout w:type="fixed"/>
        <w:tblCellMar>
          <w:top w:w="55" w:type="dxa"/>
          <w:left w:w="85" w:type="dxa"/>
          <w:bottom w:w="55" w:type="dxa"/>
          <w:right w:w="85" w:type="dxa"/>
        </w:tblCellMar>
        <w:tblLook w:val="04A0" w:firstRow="1" w:lastRow="0" w:firstColumn="1" w:lastColumn="0" w:noHBand="0" w:noVBand="1"/>
      </w:tblPr>
      <w:tblGrid>
        <w:gridCol w:w="900"/>
        <w:gridCol w:w="3600"/>
        <w:gridCol w:w="3900"/>
      </w:tblGrid>
      <w:tr w:rsidR="00F50D70" w:rsidRPr="00BE4F47" w14:paraId="4DF6A442" w14:textId="77777777">
        <w:trPr>
          <w:trHeight w:val="235"/>
          <w:tblHeader/>
        </w:trPr>
        <w:tc>
          <w:tcPr>
            <w:tcW w:w="900" w:type="dxa"/>
            <w:tcBorders>
              <w:top w:val="single" w:sz="4" w:space="0" w:color="000000"/>
              <w:left w:val="single" w:sz="4" w:space="0" w:color="000000"/>
              <w:bottom w:val="single" w:sz="4" w:space="0" w:color="000000"/>
              <w:right w:val="single" w:sz="4" w:space="0" w:color="000000"/>
            </w:tcBorders>
            <w:shd w:val="clear" w:color="auto" w:fill="EFF4FB"/>
          </w:tcPr>
          <w:p w14:paraId="70AF181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Niveau</w:t>
            </w:r>
          </w:p>
        </w:tc>
        <w:tc>
          <w:tcPr>
            <w:tcW w:w="3600" w:type="dxa"/>
            <w:tcBorders>
              <w:top w:val="single" w:sz="4" w:space="0" w:color="000000"/>
              <w:left w:val="single" w:sz="4" w:space="0" w:color="000000"/>
              <w:bottom w:val="single" w:sz="4" w:space="0" w:color="000000"/>
              <w:right w:val="single" w:sz="4" w:space="0" w:color="000000"/>
            </w:tcBorders>
            <w:shd w:val="clear" w:color="auto" w:fill="EFF4FB"/>
          </w:tcPr>
          <w:p w14:paraId="083B414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Gravité</w:t>
            </w:r>
          </w:p>
        </w:tc>
        <w:tc>
          <w:tcPr>
            <w:tcW w:w="3900" w:type="dxa"/>
            <w:tcBorders>
              <w:top w:val="single" w:sz="4" w:space="0" w:color="000000"/>
              <w:left w:val="single" w:sz="4" w:space="0" w:color="000000"/>
              <w:bottom w:val="single" w:sz="4" w:space="0" w:color="000000"/>
              <w:right w:val="single" w:sz="4" w:space="0" w:color="000000"/>
            </w:tcBorders>
            <w:shd w:val="clear" w:color="auto" w:fill="EFF4FB"/>
          </w:tcPr>
          <w:p w14:paraId="6445345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Probabilité</w:t>
            </w:r>
          </w:p>
        </w:tc>
      </w:tr>
      <w:tr w:rsidR="00F50D70" w:rsidRPr="00BE4F47" w14:paraId="4E0A4546" w14:textId="77777777">
        <w:trPr>
          <w:cantSplit/>
          <w:trHeight w:val="259"/>
        </w:trPr>
        <w:tc>
          <w:tcPr>
            <w:tcW w:w="900" w:type="dxa"/>
            <w:tcBorders>
              <w:top w:val="single" w:sz="4" w:space="0" w:color="000000"/>
              <w:left w:val="single" w:sz="4" w:space="0" w:color="000000"/>
              <w:bottom w:val="single" w:sz="4" w:space="0" w:color="000000"/>
              <w:right w:val="single" w:sz="4" w:space="0" w:color="000000"/>
            </w:tcBorders>
          </w:tcPr>
          <w:p w14:paraId="0A0854F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1 et A</w:t>
            </w:r>
          </w:p>
        </w:tc>
        <w:tc>
          <w:tcPr>
            <w:tcW w:w="3600" w:type="dxa"/>
            <w:tcBorders>
              <w:top w:val="single" w:sz="4" w:space="0" w:color="000000"/>
              <w:left w:val="single" w:sz="4" w:space="0" w:color="000000"/>
              <w:bottom w:val="single" w:sz="4" w:space="0" w:color="000000"/>
              <w:right w:val="single" w:sz="4" w:space="0" w:color="000000"/>
            </w:tcBorders>
          </w:tcPr>
          <w:p w14:paraId="7CB04B2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Négligeable. Aucun effet sur le livrable ni sur l’échéancier.</w:t>
            </w:r>
          </w:p>
        </w:tc>
        <w:tc>
          <w:tcPr>
            <w:tcW w:w="3900" w:type="dxa"/>
            <w:tcBorders>
              <w:top w:val="single" w:sz="4" w:space="0" w:color="000000"/>
              <w:left w:val="single" w:sz="4" w:space="0" w:color="000000"/>
              <w:bottom w:val="single" w:sz="4" w:space="0" w:color="000000"/>
              <w:right w:val="single" w:sz="4" w:space="0" w:color="000000"/>
            </w:tcBorders>
          </w:tcPr>
          <w:p w14:paraId="1240766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 presque certain. Plus de 50 %. Se produira sans mesure de traitement.</w:t>
            </w:r>
          </w:p>
        </w:tc>
      </w:tr>
      <w:tr w:rsidR="00F50D70" w:rsidRPr="00BE4F47" w14:paraId="7694788F" w14:textId="77777777">
        <w:trPr>
          <w:cantSplit/>
          <w:trHeight w:val="259"/>
        </w:trPr>
        <w:tc>
          <w:tcPr>
            <w:tcW w:w="900" w:type="dxa"/>
            <w:tcBorders>
              <w:top w:val="single" w:sz="4" w:space="0" w:color="000000"/>
              <w:left w:val="single" w:sz="4" w:space="0" w:color="000000"/>
              <w:bottom w:val="single" w:sz="4" w:space="0" w:color="000000"/>
              <w:right w:val="single" w:sz="4" w:space="0" w:color="000000"/>
            </w:tcBorders>
          </w:tcPr>
          <w:p w14:paraId="7B1066B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2 et B</w:t>
            </w:r>
          </w:p>
        </w:tc>
        <w:tc>
          <w:tcPr>
            <w:tcW w:w="3600" w:type="dxa"/>
            <w:tcBorders>
              <w:top w:val="single" w:sz="4" w:space="0" w:color="000000"/>
              <w:left w:val="single" w:sz="4" w:space="0" w:color="000000"/>
              <w:bottom w:val="single" w:sz="4" w:space="0" w:color="000000"/>
              <w:right w:val="single" w:sz="4" w:space="0" w:color="000000"/>
            </w:tcBorders>
          </w:tcPr>
          <w:p w14:paraId="3F40937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Faible. Effet absorbable sans modification du plan.</w:t>
            </w:r>
          </w:p>
        </w:tc>
        <w:tc>
          <w:tcPr>
            <w:tcW w:w="3900" w:type="dxa"/>
            <w:tcBorders>
              <w:top w:val="single" w:sz="4" w:space="0" w:color="000000"/>
              <w:left w:val="single" w:sz="4" w:space="0" w:color="000000"/>
              <w:bottom w:val="single" w:sz="4" w:space="0" w:color="000000"/>
              <w:right w:val="single" w:sz="4" w:space="0" w:color="000000"/>
            </w:tcBorders>
          </w:tcPr>
          <w:p w14:paraId="2B65AC6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 probablement. De 25 à 50 %. Attendu au moins une fois durant le mandat.</w:t>
            </w:r>
          </w:p>
        </w:tc>
      </w:tr>
      <w:tr w:rsidR="00F50D70" w:rsidRPr="00BE4F47" w14:paraId="4059837A" w14:textId="77777777">
        <w:trPr>
          <w:cantSplit/>
          <w:trHeight w:val="259"/>
        </w:trPr>
        <w:tc>
          <w:tcPr>
            <w:tcW w:w="900" w:type="dxa"/>
            <w:tcBorders>
              <w:top w:val="single" w:sz="4" w:space="0" w:color="000000"/>
              <w:left w:val="single" w:sz="4" w:space="0" w:color="000000"/>
              <w:bottom w:val="single" w:sz="4" w:space="0" w:color="000000"/>
              <w:right w:val="single" w:sz="4" w:space="0" w:color="000000"/>
            </w:tcBorders>
          </w:tcPr>
          <w:p w14:paraId="38E1F12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3 et C</w:t>
            </w:r>
          </w:p>
        </w:tc>
        <w:tc>
          <w:tcPr>
            <w:tcW w:w="3600" w:type="dxa"/>
            <w:tcBorders>
              <w:top w:val="single" w:sz="4" w:space="0" w:color="000000"/>
              <w:left w:val="single" w:sz="4" w:space="0" w:color="000000"/>
              <w:bottom w:val="single" w:sz="4" w:space="0" w:color="000000"/>
              <w:right w:val="single" w:sz="4" w:space="0" w:color="000000"/>
            </w:tcBorders>
          </w:tcPr>
          <w:p w14:paraId="4EEDFC2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Sérieux. Retard ou reprise partielle d’une activité.</w:t>
            </w:r>
          </w:p>
        </w:tc>
        <w:tc>
          <w:tcPr>
            <w:tcW w:w="3900" w:type="dxa"/>
            <w:tcBorders>
              <w:top w:val="single" w:sz="4" w:space="0" w:color="000000"/>
              <w:left w:val="single" w:sz="4" w:space="0" w:color="000000"/>
              <w:bottom w:val="single" w:sz="4" w:space="0" w:color="000000"/>
              <w:right w:val="single" w:sz="4" w:space="0" w:color="000000"/>
            </w:tcBorders>
          </w:tcPr>
          <w:p w14:paraId="1AEE3AF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 possible. De 10 à 25 %. Plausible et déjà observé dans des projets comparables.</w:t>
            </w:r>
          </w:p>
        </w:tc>
      </w:tr>
      <w:tr w:rsidR="00F50D70" w:rsidRPr="00BE4F47" w14:paraId="78D05570" w14:textId="77777777">
        <w:trPr>
          <w:cantSplit/>
          <w:trHeight w:val="259"/>
        </w:trPr>
        <w:tc>
          <w:tcPr>
            <w:tcW w:w="900" w:type="dxa"/>
            <w:tcBorders>
              <w:top w:val="single" w:sz="4" w:space="0" w:color="000000"/>
              <w:left w:val="single" w:sz="4" w:space="0" w:color="000000"/>
              <w:bottom w:val="single" w:sz="4" w:space="0" w:color="000000"/>
              <w:right w:val="single" w:sz="4" w:space="0" w:color="000000"/>
            </w:tcBorders>
          </w:tcPr>
          <w:p w14:paraId="4515C66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4 et D</w:t>
            </w:r>
          </w:p>
        </w:tc>
        <w:tc>
          <w:tcPr>
            <w:tcW w:w="3600" w:type="dxa"/>
            <w:tcBorders>
              <w:top w:val="single" w:sz="4" w:space="0" w:color="000000"/>
              <w:left w:val="single" w:sz="4" w:space="0" w:color="000000"/>
              <w:bottom w:val="single" w:sz="4" w:space="0" w:color="000000"/>
              <w:right w:val="single" w:sz="4" w:space="0" w:color="000000"/>
            </w:tcBorders>
          </w:tcPr>
          <w:p w14:paraId="6F69F4A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Critique. Remise en cause d’un livrable ou d’un jalon.</w:t>
            </w:r>
          </w:p>
        </w:tc>
        <w:tc>
          <w:tcPr>
            <w:tcW w:w="3900" w:type="dxa"/>
            <w:tcBorders>
              <w:top w:val="single" w:sz="4" w:space="0" w:color="000000"/>
              <w:left w:val="single" w:sz="4" w:space="0" w:color="000000"/>
              <w:bottom w:val="single" w:sz="4" w:space="0" w:color="000000"/>
              <w:right w:val="single" w:sz="4" w:space="0" w:color="000000"/>
            </w:tcBorders>
          </w:tcPr>
          <w:p w14:paraId="4EDC69B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 improbable. De 1 à 10 %. Plausible mais sans indice actuel.</w:t>
            </w:r>
          </w:p>
        </w:tc>
      </w:tr>
      <w:tr w:rsidR="00F50D70" w:rsidRPr="00BE4F47" w14:paraId="2E03F6A0" w14:textId="77777777">
        <w:trPr>
          <w:cantSplit/>
          <w:trHeight w:val="259"/>
        </w:trPr>
        <w:tc>
          <w:tcPr>
            <w:tcW w:w="900" w:type="dxa"/>
            <w:tcBorders>
              <w:top w:val="single" w:sz="4" w:space="0" w:color="000000"/>
              <w:left w:val="single" w:sz="4" w:space="0" w:color="000000"/>
              <w:bottom w:val="single" w:sz="4" w:space="0" w:color="000000"/>
              <w:right w:val="single" w:sz="4" w:space="0" w:color="000000"/>
            </w:tcBorders>
          </w:tcPr>
          <w:p w14:paraId="6B6AA03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 et E</w:t>
            </w:r>
          </w:p>
        </w:tc>
        <w:tc>
          <w:tcPr>
            <w:tcW w:w="3600" w:type="dxa"/>
            <w:tcBorders>
              <w:top w:val="single" w:sz="4" w:space="0" w:color="000000"/>
              <w:left w:val="single" w:sz="4" w:space="0" w:color="000000"/>
              <w:bottom w:val="single" w:sz="4" w:space="0" w:color="000000"/>
              <w:right w:val="single" w:sz="4" w:space="0" w:color="000000"/>
            </w:tcBorders>
          </w:tcPr>
          <w:p w14:paraId="7491925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Catastrophique. Remise en cause du mandat ou de la validité des résultats.</w:t>
            </w:r>
          </w:p>
        </w:tc>
        <w:tc>
          <w:tcPr>
            <w:tcW w:w="3900" w:type="dxa"/>
            <w:tcBorders>
              <w:top w:val="single" w:sz="4" w:space="0" w:color="000000"/>
              <w:left w:val="single" w:sz="4" w:space="0" w:color="000000"/>
              <w:bottom w:val="single" w:sz="4" w:space="0" w:color="000000"/>
              <w:right w:val="single" w:sz="4" w:space="0" w:color="000000"/>
            </w:tcBorders>
          </w:tcPr>
          <w:p w14:paraId="0FA7A8D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 très improbable. Moins de 1 %. Non anticipé dans le cadre du mandat.</w:t>
            </w:r>
          </w:p>
        </w:tc>
      </w:tr>
    </w:tbl>
    <w:p w14:paraId="69192167" w14:textId="77777777" w:rsidR="00F50D70" w:rsidRPr="00BE4F47" w:rsidRDefault="00000000" w:rsidP="008E113B">
      <w:pPr>
        <w:spacing w:after="130" w:line="360" w:lineRule="auto"/>
        <w:ind w:left="360"/>
        <w:rPr>
          <w:rFonts w:ascii="Aptos" w:hAnsi="Aptos"/>
        </w:rPr>
      </w:pPr>
      <w:bookmarkStart w:id="393" w:name="_Toc241083093"/>
      <w:r w:rsidRPr="00BE4F47">
        <w:rPr>
          <w:rFonts w:ascii="Aptos" w:eastAsia="Calibri" w:hAnsi="Aptos" w:cs="Calibri"/>
          <w:color w:val="1A1A19"/>
          <w:sz w:val="20"/>
          <w:szCs w:val="20"/>
        </w:rPr>
        <w:t>La classe de risque se lit à l’intersection de la gravité et de la probabilité, selon la matrice de la grille. Elle remplace le produit des deux notes : deux risques de même produit n’appellent pas la même conduite selon que la gravité ou la probabilité domine.</w:t>
      </w:r>
      <w:bookmarkEnd w:id="393"/>
    </w:p>
    <w:p w14:paraId="04235EFD" w14:textId="77777777" w:rsidR="00F50D70" w:rsidRPr="00BE4F47" w:rsidRDefault="00000000" w:rsidP="008E113B">
      <w:pPr>
        <w:pStyle w:val="Lgende"/>
        <w:spacing w:line="360" w:lineRule="auto"/>
        <w:rPr>
          <w:rFonts w:ascii="Aptos" w:hAnsi="Aptos"/>
        </w:rPr>
      </w:pPr>
      <w:bookmarkStart w:id="394" w:name="_Toc241083094"/>
      <w:r w:rsidRPr="00BE4F47">
        <w:rPr>
          <w:rFonts w:ascii="Aptos" w:hAnsi="Aptos"/>
        </w:rPr>
        <w:t>Tableau 7-4. Classes de risque et conduite à tenir</w:t>
      </w:r>
      <w:bookmarkEnd w:id="394"/>
    </w:p>
    <w:tbl>
      <w:tblPr>
        <w:tblW w:w="8400" w:type="dxa"/>
        <w:tblInd w:w="1078" w:type="dxa"/>
        <w:tblLayout w:type="fixed"/>
        <w:tblCellMar>
          <w:top w:w="55" w:type="dxa"/>
          <w:left w:w="85" w:type="dxa"/>
          <w:bottom w:w="55" w:type="dxa"/>
          <w:right w:w="85" w:type="dxa"/>
        </w:tblCellMar>
        <w:tblLook w:val="04A0" w:firstRow="1" w:lastRow="0" w:firstColumn="1" w:lastColumn="0" w:noHBand="0" w:noVBand="1"/>
      </w:tblPr>
      <w:tblGrid>
        <w:gridCol w:w="800"/>
        <w:gridCol w:w="1500"/>
        <w:gridCol w:w="6100"/>
      </w:tblGrid>
      <w:tr w:rsidR="00F50D70" w:rsidRPr="00BE4F47" w14:paraId="56FAD87F" w14:textId="77777777" w:rsidTr="0036725C">
        <w:trPr>
          <w:trHeight w:val="234"/>
          <w:tblHeader/>
        </w:trPr>
        <w:tc>
          <w:tcPr>
            <w:tcW w:w="800" w:type="dxa"/>
            <w:tcBorders>
              <w:top w:val="single" w:sz="4" w:space="0" w:color="000000"/>
              <w:left w:val="single" w:sz="4" w:space="0" w:color="000000"/>
              <w:bottom w:val="single" w:sz="4" w:space="0" w:color="000000"/>
              <w:right w:val="single" w:sz="4" w:space="0" w:color="000000"/>
            </w:tcBorders>
            <w:shd w:val="clear" w:color="auto" w:fill="EFF4FB"/>
          </w:tcPr>
          <w:p w14:paraId="5BFFB8F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Classe</w:t>
            </w:r>
          </w:p>
        </w:tc>
        <w:tc>
          <w:tcPr>
            <w:tcW w:w="1500" w:type="dxa"/>
            <w:tcBorders>
              <w:top w:val="single" w:sz="4" w:space="0" w:color="000000"/>
              <w:left w:val="single" w:sz="4" w:space="0" w:color="000000"/>
              <w:bottom w:val="single" w:sz="4" w:space="0" w:color="000000"/>
              <w:right w:val="single" w:sz="4" w:space="0" w:color="000000"/>
            </w:tcBorders>
            <w:shd w:val="clear" w:color="auto" w:fill="EFF4FB"/>
          </w:tcPr>
          <w:p w14:paraId="7C67F09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Couleur de la matrice</w:t>
            </w:r>
          </w:p>
        </w:tc>
        <w:tc>
          <w:tcPr>
            <w:tcW w:w="6100" w:type="dxa"/>
            <w:tcBorders>
              <w:top w:val="single" w:sz="4" w:space="0" w:color="000000"/>
              <w:left w:val="single" w:sz="4" w:space="0" w:color="000000"/>
              <w:bottom w:val="single" w:sz="4" w:space="0" w:color="000000"/>
              <w:right w:val="single" w:sz="4" w:space="0" w:color="000000"/>
            </w:tcBorders>
            <w:shd w:val="clear" w:color="auto" w:fill="EFF4FB"/>
          </w:tcPr>
          <w:p w14:paraId="3A868DC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Conduite à tenir</w:t>
            </w:r>
          </w:p>
        </w:tc>
      </w:tr>
      <w:tr w:rsidR="00F50D70" w:rsidRPr="00BE4F47" w14:paraId="2B786BD3" w14:textId="77777777" w:rsidTr="0036725C">
        <w:trPr>
          <w:cantSplit/>
          <w:trHeight w:val="257"/>
        </w:trPr>
        <w:tc>
          <w:tcPr>
            <w:tcW w:w="800" w:type="dxa"/>
            <w:tcBorders>
              <w:top w:val="single" w:sz="4" w:space="0" w:color="000000"/>
              <w:left w:val="single" w:sz="4" w:space="0" w:color="000000"/>
              <w:bottom w:val="single" w:sz="4" w:space="0" w:color="000000"/>
              <w:right w:val="single" w:sz="4" w:space="0" w:color="000000"/>
            </w:tcBorders>
          </w:tcPr>
          <w:p w14:paraId="705076F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IV</w:t>
            </w:r>
          </w:p>
        </w:tc>
        <w:tc>
          <w:tcPr>
            <w:tcW w:w="1500" w:type="dxa"/>
            <w:tcBorders>
              <w:top w:val="single" w:sz="4" w:space="0" w:color="000000"/>
              <w:left w:val="single" w:sz="4" w:space="0" w:color="000000"/>
              <w:bottom w:val="single" w:sz="4" w:space="0" w:color="000000"/>
              <w:right w:val="single" w:sz="4" w:space="0" w:color="000000"/>
            </w:tcBorders>
          </w:tcPr>
          <w:p w14:paraId="59F10B7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Rouge</w:t>
            </w:r>
          </w:p>
        </w:tc>
        <w:tc>
          <w:tcPr>
            <w:tcW w:w="6100" w:type="dxa"/>
            <w:tcBorders>
              <w:top w:val="single" w:sz="4" w:space="0" w:color="000000"/>
              <w:left w:val="single" w:sz="4" w:space="0" w:color="000000"/>
              <w:bottom w:val="single" w:sz="4" w:space="0" w:color="000000"/>
              <w:right w:val="single" w:sz="4" w:space="0" w:color="000000"/>
            </w:tcBorders>
          </w:tcPr>
          <w:p w14:paraId="0F50D7E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 qui excède de façon significative les limites acceptables. Attention immédiate. Non acceptable en l’état à la fin du traitement.</w:t>
            </w:r>
          </w:p>
        </w:tc>
      </w:tr>
      <w:tr w:rsidR="00F50D70" w:rsidRPr="00BE4F47" w14:paraId="24646123" w14:textId="77777777" w:rsidTr="0036725C">
        <w:trPr>
          <w:cantSplit/>
          <w:trHeight w:val="257"/>
        </w:trPr>
        <w:tc>
          <w:tcPr>
            <w:tcW w:w="800" w:type="dxa"/>
            <w:tcBorders>
              <w:top w:val="single" w:sz="4" w:space="0" w:color="000000"/>
              <w:left w:val="single" w:sz="4" w:space="0" w:color="000000"/>
              <w:bottom w:val="single" w:sz="4" w:space="0" w:color="000000"/>
              <w:right w:val="single" w:sz="4" w:space="0" w:color="000000"/>
            </w:tcBorders>
          </w:tcPr>
          <w:p w14:paraId="45CD577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III</w:t>
            </w:r>
          </w:p>
        </w:tc>
        <w:tc>
          <w:tcPr>
            <w:tcW w:w="1500" w:type="dxa"/>
            <w:tcBorders>
              <w:top w:val="single" w:sz="4" w:space="0" w:color="000000"/>
              <w:left w:val="single" w:sz="4" w:space="0" w:color="000000"/>
              <w:bottom w:val="single" w:sz="4" w:space="0" w:color="000000"/>
              <w:right w:val="single" w:sz="4" w:space="0" w:color="000000"/>
            </w:tcBorders>
          </w:tcPr>
          <w:p w14:paraId="71A24E7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Orange</w:t>
            </w:r>
          </w:p>
        </w:tc>
        <w:tc>
          <w:tcPr>
            <w:tcW w:w="6100" w:type="dxa"/>
            <w:tcBorders>
              <w:top w:val="single" w:sz="4" w:space="0" w:color="000000"/>
              <w:left w:val="single" w:sz="4" w:space="0" w:color="000000"/>
              <w:bottom w:val="single" w:sz="4" w:space="0" w:color="000000"/>
              <w:right w:val="single" w:sz="4" w:space="0" w:color="000000"/>
            </w:tcBorders>
          </w:tcPr>
          <w:p w14:paraId="7AA844C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 qui excède les limites acceptables. Gestion proactive, mesure de traitement définie et mesure compensatoire nommée.</w:t>
            </w:r>
          </w:p>
        </w:tc>
      </w:tr>
      <w:tr w:rsidR="00F50D70" w:rsidRPr="00BE4F47" w14:paraId="68B56450" w14:textId="77777777" w:rsidTr="0036725C">
        <w:trPr>
          <w:cantSplit/>
          <w:trHeight w:val="257"/>
        </w:trPr>
        <w:tc>
          <w:tcPr>
            <w:tcW w:w="800" w:type="dxa"/>
            <w:tcBorders>
              <w:top w:val="single" w:sz="4" w:space="0" w:color="000000"/>
              <w:left w:val="single" w:sz="4" w:space="0" w:color="000000"/>
              <w:bottom w:val="single" w:sz="4" w:space="0" w:color="000000"/>
              <w:right w:val="single" w:sz="4" w:space="0" w:color="000000"/>
            </w:tcBorders>
          </w:tcPr>
          <w:p w14:paraId="39EF4E8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II</w:t>
            </w:r>
          </w:p>
        </w:tc>
        <w:tc>
          <w:tcPr>
            <w:tcW w:w="1500" w:type="dxa"/>
            <w:tcBorders>
              <w:top w:val="single" w:sz="4" w:space="0" w:color="000000"/>
              <w:left w:val="single" w:sz="4" w:space="0" w:color="000000"/>
              <w:bottom w:val="single" w:sz="4" w:space="0" w:color="000000"/>
              <w:right w:val="single" w:sz="4" w:space="0" w:color="000000"/>
            </w:tcBorders>
          </w:tcPr>
          <w:p w14:paraId="2CA3C66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Jaune</w:t>
            </w:r>
          </w:p>
        </w:tc>
        <w:tc>
          <w:tcPr>
            <w:tcW w:w="6100" w:type="dxa"/>
            <w:tcBorders>
              <w:top w:val="single" w:sz="4" w:space="0" w:color="000000"/>
              <w:left w:val="single" w:sz="4" w:space="0" w:color="000000"/>
              <w:bottom w:val="single" w:sz="4" w:space="0" w:color="000000"/>
              <w:right w:val="single" w:sz="4" w:space="0" w:color="000000"/>
            </w:tcBorders>
          </w:tcPr>
          <w:p w14:paraId="21FFADA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 requérant une surveillance périodique. Revue à chaque jalon.</w:t>
            </w:r>
          </w:p>
        </w:tc>
      </w:tr>
      <w:tr w:rsidR="00F50D70" w:rsidRPr="00BE4F47" w14:paraId="6B378548" w14:textId="77777777" w:rsidTr="0036725C">
        <w:trPr>
          <w:cantSplit/>
          <w:trHeight w:val="257"/>
        </w:trPr>
        <w:tc>
          <w:tcPr>
            <w:tcW w:w="800" w:type="dxa"/>
            <w:tcBorders>
              <w:top w:val="single" w:sz="4" w:space="0" w:color="000000"/>
              <w:left w:val="single" w:sz="4" w:space="0" w:color="000000"/>
              <w:bottom w:val="single" w:sz="4" w:space="0" w:color="000000"/>
              <w:right w:val="single" w:sz="4" w:space="0" w:color="000000"/>
            </w:tcBorders>
          </w:tcPr>
          <w:p w14:paraId="11D634F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w:t>
            </w:r>
          </w:p>
        </w:tc>
        <w:tc>
          <w:tcPr>
            <w:tcW w:w="1500" w:type="dxa"/>
            <w:tcBorders>
              <w:top w:val="single" w:sz="4" w:space="0" w:color="000000"/>
              <w:left w:val="single" w:sz="4" w:space="0" w:color="000000"/>
              <w:bottom w:val="single" w:sz="4" w:space="0" w:color="000000"/>
              <w:right w:val="single" w:sz="4" w:space="0" w:color="000000"/>
            </w:tcBorders>
          </w:tcPr>
          <w:p w14:paraId="61B9E04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Vert</w:t>
            </w:r>
          </w:p>
        </w:tc>
        <w:tc>
          <w:tcPr>
            <w:tcW w:w="6100" w:type="dxa"/>
            <w:tcBorders>
              <w:top w:val="single" w:sz="4" w:space="0" w:color="000000"/>
              <w:left w:val="single" w:sz="4" w:space="0" w:color="000000"/>
              <w:bottom w:val="single" w:sz="4" w:space="0" w:color="000000"/>
              <w:right w:val="single" w:sz="4" w:space="0" w:color="000000"/>
            </w:tcBorders>
          </w:tcPr>
          <w:p w14:paraId="32DD349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 n’exigeant pas d’action corrective. Suivi ordinaire.</w:t>
            </w:r>
          </w:p>
        </w:tc>
      </w:tr>
    </w:tbl>
    <w:p w14:paraId="4C0101BC" w14:textId="77777777" w:rsidR="00F50D70" w:rsidRPr="00BE4F47" w:rsidRDefault="00000000" w:rsidP="008E113B">
      <w:pPr>
        <w:spacing w:after="130" w:line="360" w:lineRule="auto"/>
        <w:ind w:left="360"/>
        <w:rPr>
          <w:rFonts w:ascii="Aptos" w:hAnsi="Aptos"/>
        </w:rPr>
      </w:pPr>
      <w:bookmarkStart w:id="395" w:name="_Toc241083095"/>
      <w:r w:rsidRPr="00BE4F47">
        <w:rPr>
          <w:rFonts w:ascii="Aptos" w:eastAsia="Calibri" w:hAnsi="Aptos" w:cs="Calibri"/>
          <w:color w:val="1A1A19"/>
          <w:sz w:val="20"/>
          <w:szCs w:val="20"/>
        </w:rPr>
        <w:t>Cette cotation sert à prioriser, non à décider. Un événement peu probable mais de gravité 5 appelle une mesure, là où un événement fréquent de gravité 1 n’en appelle pas.</w:t>
      </w:r>
      <w:bookmarkEnd w:id="395"/>
    </w:p>
    <w:p w14:paraId="5DAC5666" w14:textId="77777777" w:rsidR="00F50D70" w:rsidRPr="00BE4F47" w:rsidRDefault="00000000" w:rsidP="008E113B">
      <w:pPr>
        <w:pStyle w:val="Titre4"/>
        <w:spacing w:line="360" w:lineRule="auto"/>
      </w:pPr>
      <w:bookmarkStart w:id="396" w:name="__RefHeading___Toc240715275"/>
      <w:bookmarkEnd w:id="396"/>
      <w:r w:rsidRPr="00BE4F47">
        <w:t>Traitement, risque résiduel et tolérance</w:t>
      </w:r>
    </w:p>
    <w:p w14:paraId="377B5D5F" w14:textId="77777777" w:rsidR="00F50D70" w:rsidRPr="00BE4F47" w:rsidRDefault="00000000" w:rsidP="008E113B">
      <w:pPr>
        <w:spacing w:after="130" w:line="360" w:lineRule="auto"/>
        <w:ind w:left="360"/>
        <w:rPr>
          <w:rFonts w:ascii="Aptos" w:hAnsi="Aptos"/>
        </w:rPr>
      </w:pPr>
      <w:bookmarkStart w:id="397" w:name="_Toc241083096"/>
      <w:r w:rsidRPr="00BE4F47">
        <w:rPr>
          <w:rFonts w:ascii="Aptos" w:eastAsia="Calibri" w:hAnsi="Aptos" w:cs="Calibri"/>
          <w:color w:val="1A1A19"/>
          <w:sz w:val="20"/>
          <w:szCs w:val="20"/>
        </w:rPr>
        <w:t>À chaque risque correspond une mesure de traitement, puis une nouvelle cotation après traitement, appelée cotation résiduelle. Le registre indique les deux, de sorte que l’effet de chaque mesure soit mesurable plutôt que supposé.</w:t>
      </w:r>
      <w:bookmarkEnd w:id="397"/>
    </w:p>
    <w:p w14:paraId="12B9E8F2" w14:textId="77777777" w:rsidR="00F50D70" w:rsidRPr="00BE4F47" w:rsidRDefault="00000000" w:rsidP="008E113B">
      <w:pPr>
        <w:spacing w:after="130" w:line="360" w:lineRule="auto"/>
        <w:ind w:left="360"/>
        <w:rPr>
          <w:rFonts w:ascii="Aptos" w:hAnsi="Aptos"/>
        </w:rPr>
      </w:pPr>
      <w:bookmarkStart w:id="398" w:name="_Toc241083097"/>
      <w:r w:rsidRPr="00BE4F47">
        <w:rPr>
          <w:rFonts w:ascii="Aptos" w:eastAsia="Calibri" w:hAnsi="Aptos" w:cs="Calibri"/>
          <w:color w:val="1A1A19"/>
          <w:sz w:val="20"/>
          <w:szCs w:val="20"/>
        </w:rPr>
        <w:t>Le seuil d’acceptation retenu est le suivant : aucun risque ne demeure en classe IV après traitement. Un risque de classe III est accepté à condition qu’une mesure compensatoire soit nommée et qu’un responsable en accepte le résidu par écrit. Les classes II et I sont acceptées sans condition, avec revue à chaque jalon.</w:t>
      </w:r>
      <w:bookmarkEnd w:id="398"/>
    </w:p>
    <w:p w14:paraId="012A40D1" w14:textId="77777777" w:rsidR="00F50D70" w:rsidRPr="00B36301" w:rsidRDefault="00000000" w:rsidP="008E113B">
      <w:pPr>
        <w:pStyle w:val="Titre2"/>
        <w:spacing w:line="360" w:lineRule="auto"/>
      </w:pPr>
      <w:bookmarkStart w:id="399" w:name="__RefHeading___Toc240715278"/>
      <w:bookmarkStart w:id="400" w:name="_Toc241083098"/>
      <w:bookmarkEnd w:id="399"/>
      <w:r w:rsidRPr="00B36301">
        <w:lastRenderedPageBreak/>
        <w:t>Structure de découpage des risques</w:t>
      </w:r>
      <w:bookmarkEnd w:id="400"/>
    </w:p>
    <w:p w14:paraId="4D054E8B"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01" w:name="_Toc241083099"/>
      <w:r w:rsidRPr="00BE4F47">
        <w:rPr>
          <w:rFonts w:ascii="Aptos" w:eastAsia="Calibri" w:hAnsi="Aptos" w:cs="Calibri"/>
          <w:color w:val="1A1A19"/>
          <w:sz w:val="20"/>
          <w:szCs w:val="20"/>
        </w:rPr>
        <w:t>La structure de découpage des risques organise les risques selon leur origine. Elle sert à vérifier qu’aucune famille n’a été oubliée lors de l’identification.</w:t>
      </w:r>
      <w:bookmarkEnd w:id="401"/>
    </w:p>
    <w:p w14:paraId="5FA30250" w14:textId="77777777" w:rsidR="00F50D70" w:rsidRPr="00BE4F47" w:rsidRDefault="002A1CE1" w:rsidP="008E113B">
      <w:pPr>
        <w:spacing w:line="360" w:lineRule="auto"/>
        <w:ind w:left="0"/>
        <w:rPr>
          <w:rFonts w:ascii="Aptos" w:hAnsi="Aptos"/>
        </w:rPr>
      </w:pPr>
      <w:bookmarkStart w:id="402" w:name="_Toc241083100"/>
      <w:r>
        <w:rPr>
          <w:rFonts w:ascii="Aptos" w:hAnsi="Aptos"/>
          <w:noProof/>
        </w:rPr>
        <w:drawing>
          <wp:inline distT="0" distB="0" distL="0" distR="0" wp14:anchorId="54198AC8" wp14:editId="5CAA90FB">
            <wp:extent cx="5554980" cy="288798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12" cstate="print">
                      <a:extLst>
                        <a:ext uri="{28A0092B-C50C-407E-A947-70E740481C1C}">
                          <a14:useLocalDpi xmlns:a14="http://schemas.microsoft.com/office/drawing/2010/main" val="0"/>
                        </a:ext>
                      </a:extLst>
                    </a:blip>
                    <a:srcRect l="-2" t="-5" r="-2" b="-5"/>
                    <a:stretch>
                      <a:fillRect/>
                    </a:stretch>
                  </pic:blipFill>
                  <pic:spPr bwMode="auto">
                    <a:xfrm>
                      <a:off x="0" y="0"/>
                      <a:ext cx="5554980" cy="2887980"/>
                    </a:xfrm>
                    <a:prstGeom prst="rect">
                      <a:avLst/>
                    </a:prstGeom>
                    <a:noFill/>
                    <a:ln>
                      <a:noFill/>
                    </a:ln>
                  </pic:spPr>
                </pic:pic>
              </a:graphicData>
            </a:graphic>
          </wp:inline>
        </w:drawing>
      </w:r>
      <w:bookmarkEnd w:id="402"/>
    </w:p>
    <w:p w14:paraId="0B9C97E0" w14:textId="77777777" w:rsidR="00F50D70" w:rsidRPr="00BE4F47" w:rsidRDefault="00000000" w:rsidP="008E113B">
      <w:pPr>
        <w:pStyle w:val="Lgende"/>
        <w:spacing w:line="360" w:lineRule="auto"/>
        <w:rPr>
          <w:rFonts w:ascii="Aptos" w:hAnsi="Aptos"/>
        </w:rPr>
      </w:pPr>
      <w:bookmarkStart w:id="403" w:name="_Toc241083101"/>
      <w:r w:rsidRPr="00BE4F47">
        <w:rPr>
          <w:rFonts w:ascii="Aptos" w:hAnsi="Aptos"/>
        </w:rPr>
        <w:t>Figure 7-1. Arbre de découpage des risques du projet</w:t>
      </w:r>
      <w:bookmarkEnd w:id="403"/>
    </w:p>
    <w:p w14:paraId="117B1391" w14:textId="77777777" w:rsidR="00F50D70" w:rsidRPr="00BE4F47" w:rsidRDefault="00F50D70" w:rsidP="008E113B">
      <w:pPr>
        <w:spacing w:line="360" w:lineRule="auto"/>
        <w:ind w:left="0"/>
        <w:rPr>
          <w:rFonts w:ascii="Aptos" w:hAnsi="Aptos"/>
        </w:rPr>
      </w:pPr>
    </w:p>
    <w:p w14:paraId="39AA5514" w14:textId="77777777" w:rsidR="00F50D70" w:rsidRPr="00BE4F47" w:rsidRDefault="00000000" w:rsidP="008E113B">
      <w:pPr>
        <w:pStyle w:val="Lgende"/>
        <w:spacing w:line="360" w:lineRule="auto"/>
        <w:rPr>
          <w:rFonts w:ascii="Aptos" w:hAnsi="Aptos"/>
        </w:rPr>
      </w:pPr>
      <w:bookmarkStart w:id="404" w:name="_Toc241083102"/>
      <w:r w:rsidRPr="00BE4F47">
        <w:rPr>
          <w:rFonts w:ascii="Aptos" w:hAnsi="Aptos"/>
        </w:rPr>
        <w:t>Tableau 7-5. Structure de découpage des risques</w:t>
      </w:r>
      <w:bookmarkEnd w:id="404"/>
    </w:p>
    <w:tbl>
      <w:tblPr>
        <w:tblW w:w="8761" w:type="dxa"/>
        <w:tblLayout w:type="fixed"/>
        <w:tblCellMar>
          <w:top w:w="55" w:type="dxa"/>
          <w:left w:w="85" w:type="dxa"/>
          <w:bottom w:w="55" w:type="dxa"/>
          <w:right w:w="85" w:type="dxa"/>
        </w:tblCellMar>
        <w:tblLook w:val="04A0" w:firstRow="1" w:lastRow="0" w:firstColumn="1" w:lastColumn="0" w:noHBand="0" w:noVBand="1"/>
      </w:tblPr>
      <w:tblGrid>
        <w:gridCol w:w="1778"/>
        <w:gridCol w:w="2434"/>
        <w:gridCol w:w="3052"/>
        <w:gridCol w:w="1497"/>
      </w:tblGrid>
      <w:tr w:rsidR="00F50D70" w:rsidRPr="00BE4F47" w14:paraId="55B12B34" w14:textId="77777777">
        <w:trPr>
          <w:trHeight w:val="246"/>
          <w:tblHeader/>
        </w:trPr>
        <w:tc>
          <w:tcPr>
            <w:tcW w:w="1778" w:type="dxa"/>
            <w:tcBorders>
              <w:top w:val="single" w:sz="4" w:space="0" w:color="000000"/>
              <w:left w:val="single" w:sz="4" w:space="0" w:color="000000"/>
              <w:bottom w:val="single" w:sz="4" w:space="0" w:color="000000"/>
              <w:right w:val="single" w:sz="4" w:space="0" w:color="000000"/>
            </w:tcBorders>
            <w:shd w:val="clear" w:color="auto" w:fill="EFF4FB"/>
          </w:tcPr>
          <w:p w14:paraId="568EAAF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Famille</w:t>
            </w:r>
          </w:p>
        </w:tc>
        <w:tc>
          <w:tcPr>
            <w:tcW w:w="2434" w:type="dxa"/>
            <w:tcBorders>
              <w:top w:val="single" w:sz="4" w:space="0" w:color="000000"/>
              <w:left w:val="single" w:sz="4" w:space="0" w:color="000000"/>
              <w:bottom w:val="single" w:sz="4" w:space="0" w:color="000000"/>
              <w:right w:val="single" w:sz="4" w:space="0" w:color="000000"/>
            </w:tcBorders>
            <w:shd w:val="clear" w:color="auto" w:fill="EFF4FB"/>
          </w:tcPr>
          <w:p w14:paraId="3A41C99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Catégorie</w:t>
            </w:r>
          </w:p>
        </w:tc>
        <w:tc>
          <w:tcPr>
            <w:tcW w:w="3052" w:type="dxa"/>
            <w:tcBorders>
              <w:top w:val="single" w:sz="4" w:space="0" w:color="000000"/>
              <w:left w:val="single" w:sz="4" w:space="0" w:color="000000"/>
              <w:bottom w:val="single" w:sz="4" w:space="0" w:color="000000"/>
              <w:right w:val="single" w:sz="4" w:space="0" w:color="000000"/>
            </w:tcBorders>
            <w:shd w:val="clear" w:color="auto" w:fill="EFF4FB"/>
          </w:tcPr>
          <w:p w14:paraId="08E00D2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Exemples de risques</w:t>
            </w:r>
          </w:p>
        </w:tc>
        <w:tc>
          <w:tcPr>
            <w:tcW w:w="1497" w:type="dxa"/>
            <w:tcBorders>
              <w:top w:val="single" w:sz="4" w:space="0" w:color="000000"/>
              <w:left w:val="single" w:sz="4" w:space="0" w:color="000000"/>
              <w:bottom w:val="single" w:sz="4" w:space="0" w:color="000000"/>
              <w:right w:val="single" w:sz="4" w:space="0" w:color="000000"/>
            </w:tcBorders>
            <w:shd w:val="clear" w:color="auto" w:fill="EFF4FB"/>
          </w:tcPr>
          <w:p w14:paraId="1665AD2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Identifiants</w:t>
            </w:r>
          </w:p>
        </w:tc>
      </w:tr>
      <w:tr w:rsidR="00F50D70" w:rsidRPr="00BE4F47" w14:paraId="7B48E3D3" w14:textId="77777777">
        <w:trPr>
          <w:cantSplit/>
          <w:trHeight w:val="461"/>
        </w:trPr>
        <w:tc>
          <w:tcPr>
            <w:tcW w:w="1778" w:type="dxa"/>
            <w:tcBorders>
              <w:top w:val="single" w:sz="4" w:space="0" w:color="000000"/>
              <w:left w:val="single" w:sz="4" w:space="0" w:color="000000"/>
              <w:bottom w:val="single" w:sz="4" w:space="0" w:color="000000"/>
              <w:right w:val="single" w:sz="4" w:space="0" w:color="000000"/>
            </w:tcBorders>
          </w:tcPr>
          <w:p w14:paraId="08D348E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de projet</w:t>
            </w:r>
          </w:p>
        </w:tc>
        <w:tc>
          <w:tcPr>
            <w:tcW w:w="2434" w:type="dxa"/>
            <w:tcBorders>
              <w:top w:val="single" w:sz="4" w:space="0" w:color="000000"/>
              <w:left w:val="single" w:sz="4" w:space="0" w:color="000000"/>
              <w:bottom w:val="single" w:sz="4" w:space="0" w:color="000000"/>
              <w:right w:val="single" w:sz="4" w:space="0" w:color="000000"/>
            </w:tcBorders>
          </w:tcPr>
          <w:p w14:paraId="2CA085A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Échéancier et ressources</w:t>
            </w:r>
          </w:p>
        </w:tc>
        <w:tc>
          <w:tcPr>
            <w:tcW w:w="3052" w:type="dxa"/>
            <w:tcBorders>
              <w:top w:val="single" w:sz="4" w:space="0" w:color="000000"/>
              <w:left w:val="single" w:sz="4" w:space="0" w:color="000000"/>
              <w:bottom w:val="single" w:sz="4" w:space="0" w:color="000000"/>
              <w:right w:val="single" w:sz="4" w:space="0" w:color="000000"/>
            </w:tcBorders>
          </w:tcPr>
          <w:p w14:paraId="2535542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Retard de développement ou d’essais ; dépassement de l’enveloppe de 1 080 h ; absentéisme ou indisponibilité prolongée d’un membre</w:t>
            </w:r>
          </w:p>
        </w:tc>
        <w:tc>
          <w:tcPr>
            <w:tcW w:w="1497" w:type="dxa"/>
            <w:tcBorders>
              <w:top w:val="single" w:sz="4" w:space="0" w:color="000000"/>
              <w:left w:val="single" w:sz="4" w:space="0" w:color="000000"/>
              <w:bottom w:val="single" w:sz="4" w:space="0" w:color="000000"/>
              <w:right w:val="single" w:sz="4" w:space="0" w:color="000000"/>
            </w:tcBorders>
          </w:tcPr>
          <w:p w14:paraId="09EA443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RP1, RP2, RP4</w:t>
            </w:r>
          </w:p>
        </w:tc>
      </w:tr>
      <w:tr w:rsidR="00F50D70" w:rsidRPr="00BE4F47" w14:paraId="7350DBFD" w14:textId="77777777">
        <w:trPr>
          <w:cantSplit/>
          <w:trHeight w:val="461"/>
        </w:trPr>
        <w:tc>
          <w:tcPr>
            <w:tcW w:w="1778" w:type="dxa"/>
            <w:tcBorders>
              <w:top w:val="single" w:sz="4" w:space="0" w:color="000000"/>
              <w:left w:val="single" w:sz="4" w:space="0" w:color="000000"/>
              <w:bottom w:val="single" w:sz="4" w:space="0" w:color="000000"/>
              <w:right w:val="single" w:sz="4" w:space="0" w:color="000000"/>
            </w:tcBorders>
          </w:tcPr>
          <w:p w14:paraId="365905A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de projet</w:t>
            </w:r>
          </w:p>
        </w:tc>
        <w:tc>
          <w:tcPr>
            <w:tcW w:w="2434" w:type="dxa"/>
            <w:tcBorders>
              <w:top w:val="single" w:sz="4" w:space="0" w:color="000000"/>
              <w:left w:val="single" w:sz="4" w:space="0" w:color="000000"/>
              <w:bottom w:val="single" w:sz="4" w:space="0" w:color="000000"/>
              <w:right w:val="single" w:sz="4" w:space="0" w:color="000000"/>
            </w:tcBorders>
          </w:tcPr>
          <w:p w14:paraId="103B603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Périmètre</w:t>
            </w:r>
          </w:p>
        </w:tc>
        <w:tc>
          <w:tcPr>
            <w:tcW w:w="3052" w:type="dxa"/>
            <w:tcBorders>
              <w:top w:val="single" w:sz="4" w:space="0" w:color="000000"/>
              <w:left w:val="single" w:sz="4" w:space="0" w:color="000000"/>
              <w:bottom w:val="single" w:sz="4" w:space="0" w:color="000000"/>
              <w:right w:val="single" w:sz="4" w:space="0" w:color="000000"/>
            </w:tcBorders>
          </w:tcPr>
          <w:p w14:paraId="50E7EC4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Modification tardive du mandat ; ajout d’un banc </w:t>
            </w:r>
            <w:proofErr w:type="spellStart"/>
            <w:r w:rsidRPr="00BE4F47">
              <w:rPr>
                <w:rFonts w:ascii="Aptos" w:eastAsia="Calibri" w:hAnsi="Aptos" w:cs="Calibri"/>
                <w:color w:val="1A1A19"/>
                <w:sz w:val="16"/>
                <w:szCs w:val="16"/>
                <w:lang w:val="fr-FR"/>
              </w:rPr>
              <w:t>thermohydraulique</w:t>
            </w:r>
            <w:proofErr w:type="spellEnd"/>
            <w:r w:rsidRPr="00BE4F47">
              <w:rPr>
                <w:rFonts w:ascii="Aptos" w:eastAsia="Calibri" w:hAnsi="Aptos" w:cs="Calibri"/>
                <w:color w:val="1A1A19"/>
                <w:sz w:val="16"/>
                <w:szCs w:val="16"/>
                <w:lang w:val="fr-FR"/>
              </w:rPr>
              <w:t xml:space="preserve"> physique</w:t>
            </w:r>
          </w:p>
        </w:tc>
        <w:tc>
          <w:tcPr>
            <w:tcW w:w="1497" w:type="dxa"/>
            <w:tcBorders>
              <w:top w:val="single" w:sz="4" w:space="0" w:color="000000"/>
              <w:left w:val="single" w:sz="4" w:space="0" w:color="000000"/>
              <w:bottom w:val="single" w:sz="4" w:space="0" w:color="000000"/>
              <w:right w:val="single" w:sz="4" w:space="0" w:color="000000"/>
            </w:tcBorders>
          </w:tcPr>
          <w:p w14:paraId="6C617EF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r>
      <w:tr w:rsidR="00F50D70" w:rsidRPr="00BE4F47" w14:paraId="1080E076" w14:textId="77777777">
        <w:trPr>
          <w:cantSplit/>
          <w:trHeight w:val="461"/>
        </w:trPr>
        <w:tc>
          <w:tcPr>
            <w:tcW w:w="1778" w:type="dxa"/>
            <w:tcBorders>
              <w:top w:val="single" w:sz="4" w:space="0" w:color="000000"/>
              <w:left w:val="single" w:sz="4" w:space="0" w:color="000000"/>
              <w:bottom w:val="single" w:sz="4" w:space="0" w:color="000000"/>
              <w:right w:val="single" w:sz="4" w:space="0" w:color="000000"/>
            </w:tcBorders>
          </w:tcPr>
          <w:p w14:paraId="0014685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434" w:type="dxa"/>
            <w:tcBorders>
              <w:top w:val="single" w:sz="4" w:space="0" w:color="000000"/>
              <w:left w:val="single" w:sz="4" w:space="0" w:color="000000"/>
              <w:bottom w:val="single" w:sz="4" w:space="0" w:color="000000"/>
              <w:right w:val="single" w:sz="4" w:space="0" w:color="000000"/>
            </w:tcBorders>
          </w:tcPr>
          <w:p w14:paraId="29F33C4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Données et acquisition</w:t>
            </w:r>
          </w:p>
        </w:tc>
        <w:tc>
          <w:tcPr>
            <w:tcW w:w="3052" w:type="dxa"/>
            <w:tcBorders>
              <w:top w:val="single" w:sz="4" w:space="0" w:color="000000"/>
              <w:left w:val="single" w:sz="4" w:space="0" w:color="000000"/>
              <w:bottom w:val="single" w:sz="4" w:space="0" w:color="000000"/>
              <w:right w:val="single" w:sz="4" w:space="0" w:color="000000"/>
            </w:tcBorders>
          </w:tcPr>
          <w:p w14:paraId="735B460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Mesure erronée ; donnée indisponible ; désynchronisation</w:t>
            </w:r>
          </w:p>
        </w:tc>
        <w:tc>
          <w:tcPr>
            <w:tcW w:w="1497" w:type="dxa"/>
            <w:tcBorders>
              <w:top w:val="single" w:sz="4" w:space="0" w:color="000000"/>
              <w:left w:val="single" w:sz="4" w:space="0" w:color="000000"/>
              <w:bottom w:val="single" w:sz="4" w:space="0" w:color="000000"/>
              <w:right w:val="single" w:sz="4" w:space="0" w:color="000000"/>
            </w:tcBorders>
          </w:tcPr>
          <w:p w14:paraId="0F998B4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RT2, RT3</w:t>
            </w:r>
          </w:p>
        </w:tc>
      </w:tr>
      <w:tr w:rsidR="00F50D70" w:rsidRPr="00BE4F47" w14:paraId="60368A28" w14:textId="77777777">
        <w:trPr>
          <w:cantSplit/>
          <w:trHeight w:val="461"/>
        </w:trPr>
        <w:tc>
          <w:tcPr>
            <w:tcW w:w="1778" w:type="dxa"/>
            <w:tcBorders>
              <w:top w:val="single" w:sz="4" w:space="0" w:color="000000"/>
              <w:left w:val="single" w:sz="4" w:space="0" w:color="000000"/>
              <w:bottom w:val="single" w:sz="4" w:space="0" w:color="000000"/>
              <w:right w:val="single" w:sz="4" w:space="0" w:color="000000"/>
            </w:tcBorders>
          </w:tcPr>
          <w:p w14:paraId="3B2FD52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434" w:type="dxa"/>
            <w:tcBorders>
              <w:top w:val="single" w:sz="4" w:space="0" w:color="000000"/>
              <w:left w:val="single" w:sz="4" w:space="0" w:color="000000"/>
              <w:bottom w:val="single" w:sz="4" w:space="0" w:color="000000"/>
              <w:right w:val="single" w:sz="4" w:space="0" w:color="000000"/>
            </w:tcBorders>
          </w:tcPr>
          <w:p w14:paraId="3510FB2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Modélisation et diagnostic</w:t>
            </w:r>
          </w:p>
        </w:tc>
        <w:tc>
          <w:tcPr>
            <w:tcW w:w="3052" w:type="dxa"/>
            <w:tcBorders>
              <w:top w:val="single" w:sz="4" w:space="0" w:color="000000"/>
              <w:left w:val="single" w:sz="4" w:space="0" w:color="000000"/>
              <w:bottom w:val="single" w:sz="4" w:space="0" w:color="000000"/>
              <w:right w:val="single" w:sz="4" w:space="0" w:color="000000"/>
            </w:tcBorders>
          </w:tcPr>
          <w:p w14:paraId="6780EE8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Modèle insuffisamment représentatif ; faux négatif ; faux positif</w:t>
            </w:r>
          </w:p>
        </w:tc>
        <w:tc>
          <w:tcPr>
            <w:tcW w:w="1497" w:type="dxa"/>
            <w:tcBorders>
              <w:top w:val="single" w:sz="4" w:space="0" w:color="000000"/>
              <w:left w:val="single" w:sz="4" w:space="0" w:color="000000"/>
              <w:bottom w:val="single" w:sz="4" w:space="0" w:color="000000"/>
              <w:right w:val="single" w:sz="4" w:space="0" w:color="000000"/>
            </w:tcBorders>
          </w:tcPr>
          <w:p w14:paraId="584B6A3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 4.2, RT6</w:t>
            </w:r>
          </w:p>
        </w:tc>
      </w:tr>
      <w:tr w:rsidR="00F50D70" w:rsidRPr="00BE4F47" w14:paraId="4C1DF4F9" w14:textId="77777777">
        <w:trPr>
          <w:cantSplit/>
          <w:trHeight w:val="256"/>
        </w:trPr>
        <w:tc>
          <w:tcPr>
            <w:tcW w:w="1778" w:type="dxa"/>
            <w:tcBorders>
              <w:top w:val="single" w:sz="4" w:space="0" w:color="000000"/>
              <w:left w:val="single" w:sz="4" w:space="0" w:color="000000"/>
              <w:bottom w:val="single" w:sz="4" w:space="0" w:color="000000"/>
              <w:right w:val="single" w:sz="4" w:space="0" w:color="000000"/>
            </w:tcBorders>
          </w:tcPr>
          <w:p w14:paraId="275F19F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434" w:type="dxa"/>
            <w:tcBorders>
              <w:top w:val="single" w:sz="4" w:space="0" w:color="000000"/>
              <w:left w:val="single" w:sz="4" w:space="0" w:color="000000"/>
              <w:bottom w:val="single" w:sz="4" w:space="0" w:color="000000"/>
              <w:right w:val="single" w:sz="4" w:space="0" w:color="000000"/>
            </w:tcBorders>
          </w:tcPr>
          <w:p w14:paraId="0674E99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Cybersécurité</w:t>
            </w:r>
          </w:p>
        </w:tc>
        <w:tc>
          <w:tcPr>
            <w:tcW w:w="3052" w:type="dxa"/>
            <w:tcBorders>
              <w:top w:val="single" w:sz="4" w:space="0" w:color="000000"/>
              <w:left w:val="single" w:sz="4" w:space="0" w:color="000000"/>
              <w:bottom w:val="single" w:sz="4" w:space="0" w:color="000000"/>
              <w:right w:val="single" w:sz="4" w:space="0" w:color="000000"/>
            </w:tcBorders>
          </w:tcPr>
          <w:p w14:paraId="4E32D25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Accès non autorisé ; altération des données</w:t>
            </w:r>
          </w:p>
        </w:tc>
        <w:tc>
          <w:tcPr>
            <w:tcW w:w="1497" w:type="dxa"/>
            <w:tcBorders>
              <w:top w:val="single" w:sz="4" w:space="0" w:color="000000"/>
              <w:left w:val="single" w:sz="4" w:space="0" w:color="000000"/>
              <w:bottom w:val="single" w:sz="4" w:space="0" w:color="000000"/>
              <w:right w:val="single" w:sz="4" w:space="0" w:color="000000"/>
            </w:tcBorders>
          </w:tcPr>
          <w:p w14:paraId="0EBB8D0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RT7, RT8</w:t>
            </w:r>
          </w:p>
        </w:tc>
      </w:tr>
      <w:tr w:rsidR="00F50D70" w:rsidRPr="00BE4F47" w14:paraId="18CF0DB0" w14:textId="77777777">
        <w:trPr>
          <w:cantSplit/>
          <w:trHeight w:val="266"/>
        </w:trPr>
        <w:tc>
          <w:tcPr>
            <w:tcW w:w="1778" w:type="dxa"/>
            <w:tcBorders>
              <w:top w:val="single" w:sz="4" w:space="0" w:color="000000"/>
              <w:left w:val="single" w:sz="4" w:space="0" w:color="000000"/>
              <w:bottom w:val="single" w:sz="4" w:space="0" w:color="000000"/>
              <w:right w:val="single" w:sz="4" w:space="0" w:color="000000"/>
            </w:tcBorders>
          </w:tcPr>
          <w:p w14:paraId="344BCD7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434" w:type="dxa"/>
            <w:tcBorders>
              <w:top w:val="single" w:sz="4" w:space="0" w:color="000000"/>
              <w:left w:val="single" w:sz="4" w:space="0" w:color="000000"/>
              <w:bottom w:val="single" w:sz="4" w:space="0" w:color="000000"/>
              <w:right w:val="single" w:sz="4" w:space="0" w:color="000000"/>
            </w:tcBorders>
          </w:tcPr>
          <w:p w14:paraId="5B166CB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Disponibilité</w:t>
            </w:r>
          </w:p>
        </w:tc>
        <w:tc>
          <w:tcPr>
            <w:tcW w:w="3052" w:type="dxa"/>
            <w:tcBorders>
              <w:top w:val="single" w:sz="4" w:space="0" w:color="000000"/>
              <w:left w:val="single" w:sz="4" w:space="0" w:color="000000"/>
              <w:bottom w:val="single" w:sz="4" w:space="0" w:color="000000"/>
              <w:right w:val="single" w:sz="4" w:space="0" w:color="000000"/>
            </w:tcBorders>
          </w:tcPr>
          <w:p w14:paraId="065515C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Indisponibilité du prototype</w:t>
            </w:r>
          </w:p>
        </w:tc>
        <w:tc>
          <w:tcPr>
            <w:tcW w:w="1497" w:type="dxa"/>
            <w:tcBorders>
              <w:top w:val="single" w:sz="4" w:space="0" w:color="000000"/>
              <w:left w:val="single" w:sz="4" w:space="0" w:color="000000"/>
              <w:bottom w:val="single" w:sz="4" w:space="0" w:color="000000"/>
              <w:right w:val="single" w:sz="4" w:space="0" w:color="000000"/>
            </w:tcBorders>
          </w:tcPr>
          <w:p w14:paraId="093030D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RT9</w:t>
            </w:r>
          </w:p>
        </w:tc>
      </w:tr>
      <w:tr w:rsidR="00F50D70" w:rsidRPr="00BE4F47" w14:paraId="3171668F" w14:textId="77777777">
        <w:trPr>
          <w:cantSplit/>
          <w:trHeight w:val="256"/>
        </w:trPr>
        <w:tc>
          <w:tcPr>
            <w:tcW w:w="1778" w:type="dxa"/>
            <w:tcBorders>
              <w:top w:val="single" w:sz="4" w:space="0" w:color="000000"/>
              <w:left w:val="single" w:sz="4" w:space="0" w:color="000000"/>
              <w:bottom w:val="single" w:sz="4" w:space="0" w:color="000000"/>
              <w:right w:val="single" w:sz="4" w:space="0" w:color="000000"/>
            </w:tcBorders>
          </w:tcPr>
          <w:p w14:paraId="5A4CE16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434" w:type="dxa"/>
            <w:tcBorders>
              <w:top w:val="single" w:sz="4" w:space="0" w:color="000000"/>
              <w:left w:val="single" w:sz="4" w:space="0" w:color="000000"/>
              <w:bottom w:val="single" w:sz="4" w:space="0" w:color="000000"/>
              <w:right w:val="single" w:sz="4" w:space="0" w:color="000000"/>
            </w:tcBorders>
          </w:tcPr>
          <w:p w14:paraId="526FABF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Facteurs humains</w:t>
            </w:r>
          </w:p>
        </w:tc>
        <w:tc>
          <w:tcPr>
            <w:tcW w:w="3052" w:type="dxa"/>
            <w:tcBorders>
              <w:top w:val="single" w:sz="4" w:space="0" w:color="000000"/>
              <w:left w:val="single" w:sz="4" w:space="0" w:color="000000"/>
              <w:bottom w:val="single" w:sz="4" w:space="0" w:color="000000"/>
              <w:right w:val="single" w:sz="4" w:space="0" w:color="000000"/>
            </w:tcBorders>
          </w:tcPr>
          <w:p w14:paraId="21251F7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Confiance excessive de l’opérateur</w:t>
            </w:r>
          </w:p>
        </w:tc>
        <w:tc>
          <w:tcPr>
            <w:tcW w:w="1497" w:type="dxa"/>
            <w:tcBorders>
              <w:top w:val="single" w:sz="4" w:space="0" w:color="000000"/>
              <w:left w:val="single" w:sz="4" w:space="0" w:color="000000"/>
              <w:bottom w:val="single" w:sz="4" w:space="0" w:color="000000"/>
              <w:right w:val="single" w:sz="4" w:space="0" w:color="000000"/>
            </w:tcBorders>
          </w:tcPr>
          <w:p w14:paraId="2835C27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RT10</w:t>
            </w:r>
          </w:p>
        </w:tc>
      </w:tr>
    </w:tbl>
    <w:p w14:paraId="667838F0" w14:textId="77777777" w:rsidR="00F50D70" w:rsidRPr="00BE4F47" w:rsidRDefault="00F50D70" w:rsidP="008E113B">
      <w:pPr>
        <w:spacing w:line="360" w:lineRule="auto"/>
        <w:ind w:left="0"/>
        <w:rPr>
          <w:rFonts w:ascii="Aptos" w:hAnsi="Aptos"/>
        </w:rPr>
      </w:pPr>
    </w:p>
    <w:p w14:paraId="2D2D49D9" w14:textId="77777777" w:rsidR="00F50D70" w:rsidRPr="00B36301" w:rsidRDefault="00000000" w:rsidP="008E113B">
      <w:pPr>
        <w:pStyle w:val="Titre2"/>
        <w:spacing w:line="360" w:lineRule="auto"/>
      </w:pPr>
      <w:bookmarkStart w:id="405" w:name="__RefHeading___Toc240715281"/>
      <w:bookmarkStart w:id="406" w:name="_Toc241083103"/>
      <w:bookmarkEnd w:id="405"/>
      <w:r w:rsidRPr="00B36301">
        <w:t>Registre des risques de projet</w:t>
      </w:r>
      <w:bookmarkEnd w:id="406"/>
    </w:p>
    <w:p w14:paraId="3D76CA92"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07" w:name="_Toc241083104"/>
      <w:r w:rsidRPr="00BE4F47">
        <w:rPr>
          <w:rFonts w:ascii="Aptos" w:eastAsia="Calibri" w:hAnsi="Aptos" w:cs="Calibri"/>
          <w:color w:val="1A1A19"/>
          <w:sz w:val="20"/>
          <w:szCs w:val="20"/>
        </w:rPr>
        <w:t>Évaluation datée du 18 septembre 2026. À réviser à chaque jalon. Les colonnes « Avant » et « Après » donnent la gravité, la probabilité et la classe de risque, avant puis après traitement.</w:t>
      </w:r>
      <w:bookmarkEnd w:id="407"/>
    </w:p>
    <w:p w14:paraId="11461A7C" w14:textId="77777777" w:rsidR="00F50D70" w:rsidRPr="00BE4F47" w:rsidRDefault="00000000" w:rsidP="008E113B">
      <w:pPr>
        <w:pStyle w:val="Lgende"/>
        <w:spacing w:line="360" w:lineRule="auto"/>
        <w:rPr>
          <w:rFonts w:ascii="Aptos" w:hAnsi="Aptos"/>
        </w:rPr>
      </w:pPr>
      <w:bookmarkStart w:id="408" w:name="_Toc241083105"/>
      <w:r w:rsidRPr="00BE4F47">
        <w:rPr>
          <w:rFonts w:ascii="Aptos" w:hAnsi="Aptos"/>
        </w:rPr>
        <w:lastRenderedPageBreak/>
        <w:t>Tableau 7-6. Registre des risques de projet</w:t>
      </w:r>
      <w:bookmarkEnd w:id="408"/>
    </w:p>
    <w:tbl>
      <w:tblPr>
        <w:tblW w:w="8400" w:type="dxa"/>
        <w:tblLayout w:type="fixed"/>
        <w:tblCellMar>
          <w:top w:w="55" w:type="dxa"/>
          <w:left w:w="85" w:type="dxa"/>
          <w:bottom w:w="55" w:type="dxa"/>
          <w:right w:w="85" w:type="dxa"/>
        </w:tblCellMar>
        <w:tblLook w:val="04A0" w:firstRow="1" w:lastRow="0" w:firstColumn="1" w:lastColumn="0" w:noHBand="0" w:noVBand="1"/>
      </w:tblPr>
      <w:tblGrid>
        <w:gridCol w:w="640"/>
        <w:gridCol w:w="2560"/>
        <w:gridCol w:w="760"/>
        <w:gridCol w:w="2560"/>
        <w:gridCol w:w="760"/>
        <w:gridCol w:w="1120"/>
      </w:tblGrid>
      <w:tr w:rsidR="00F50D70" w:rsidRPr="00BE4F47" w14:paraId="7F245D52" w14:textId="77777777">
        <w:trPr>
          <w:tblHeader/>
        </w:trPr>
        <w:tc>
          <w:tcPr>
            <w:tcW w:w="640" w:type="dxa"/>
            <w:tcBorders>
              <w:top w:val="single" w:sz="4" w:space="0" w:color="000000"/>
              <w:left w:val="single" w:sz="4" w:space="0" w:color="000000"/>
              <w:bottom w:val="single" w:sz="4" w:space="0" w:color="000000"/>
              <w:right w:val="single" w:sz="4" w:space="0" w:color="000000"/>
            </w:tcBorders>
            <w:shd w:val="clear" w:color="auto" w:fill="EFF4FB"/>
          </w:tcPr>
          <w:p w14:paraId="4972B98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Repère</w:t>
            </w:r>
          </w:p>
        </w:tc>
        <w:tc>
          <w:tcPr>
            <w:tcW w:w="2560" w:type="dxa"/>
            <w:tcBorders>
              <w:top w:val="single" w:sz="4" w:space="0" w:color="000000"/>
              <w:left w:val="single" w:sz="4" w:space="0" w:color="000000"/>
              <w:bottom w:val="single" w:sz="4" w:space="0" w:color="000000"/>
              <w:right w:val="single" w:sz="4" w:space="0" w:color="000000"/>
            </w:tcBorders>
            <w:shd w:val="clear" w:color="auto" w:fill="EFF4FB"/>
          </w:tcPr>
          <w:p w14:paraId="51451A0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et justification de la cotation</w:t>
            </w:r>
          </w:p>
        </w:tc>
        <w:tc>
          <w:tcPr>
            <w:tcW w:w="760" w:type="dxa"/>
            <w:tcBorders>
              <w:top w:val="single" w:sz="4" w:space="0" w:color="000000"/>
              <w:left w:val="single" w:sz="4" w:space="0" w:color="000000"/>
              <w:bottom w:val="single" w:sz="4" w:space="0" w:color="000000"/>
              <w:right w:val="single" w:sz="4" w:space="0" w:color="000000"/>
            </w:tcBorders>
            <w:shd w:val="clear" w:color="auto" w:fill="EFF4FB"/>
          </w:tcPr>
          <w:p w14:paraId="63048D8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Avant</w:t>
            </w:r>
          </w:p>
        </w:tc>
        <w:tc>
          <w:tcPr>
            <w:tcW w:w="2560" w:type="dxa"/>
            <w:tcBorders>
              <w:top w:val="single" w:sz="4" w:space="0" w:color="000000"/>
              <w:left w:val="single" w:sz="4" w:space="0" w:color="000000"/>
              <w:bottom w:val="single" w:sz="4" w:space="0" w:color="000000"/>
              <w:right w:val="single" w:sz="4" w:space="0" w:color="000000"/>
            </w:tcBorders>
            <w:shd w:val="clear" w:color="auto" w:fill="EFF4FB"/>
          </w:tcPr>
          <w:p w14:paraId="40B57D9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Traitement et mesure compensatoire</w:t>
            </w:r>
          </w:p>
        </w:tc>
        <w:tc>
          <w:tcPr>
            <w:tcW w:w="760" w:type="dxa"/>
            <w:tcBorders>
              <w:top w:val="single" w:sz="4" w:space="0" w:color="000000"/>
              <w:left w:val="single" w:sz="4" w:space="0" w:color="000000"/>
              <w:bottom w:val="single" w:sz="4" w:space="0" w:color="000000"/>
              <w:right w:val="single" w:sz="4" w:space="0" w:color="000000"/>
            </w:tcBorders>
            <w:shd w:val="clear" w:color="auto" w:fill="EFF4FB"/>
          </w:tcPr>
          <w:p w14:paraId="0D9F904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Après</w:t>
            </w:r>
          </w:p>
        </w:tc>
        <w:tc>
          <w:tcPr>
            <w:tcW w:w="1120" w:type="dxa"/>
            <w:tcBorders>
              <w:top w:val="single" w:sz="4" w:space="0" w:color="000000"/>
              <w:left w:val="single" w:sz="4" w:space="0" w:color="000000"/>
              <w:bottom w:val="single" w:sz="4" w:space="0" w:color="000000"/>
              <w:right w:val="single" w:sz="4" w:space="0" w:color="000000"/>
            </w:tcBorders>
            <w:shd w:val="clear" w:color="auto" w:fill="EFF4FB"/>
          </w:tcPr>
          <w:p w14:paraId="3D6FA54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Resp.</w:t>
            </w:r>
          </w:p>
        </w:tc>
      </w:tr>
      <w:tr w:rsidR="00F50D70" w:rsidRPr="00BE4F47" w14:paraId="4ED006A9"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311D0C6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1.1</w:t>
            </w:r>
          </w:p>
        </w:tc>
        <w:tc>
          <w:tcPr>
            <w:tcW w:w="2560" w:type="dxa"/>
            <w:tcBorders>
              <w:top w:val="single" w:sz="4" w:space="0" w:color="000000"/>
              <w:left w:val="single" w:sz="4" w:space="0" w:color="000000"/>
              <w:bottom w:val="single" w:sz="4" w:space="0" w:color="000000"/>
              <w:right w:val="single" w:sz="4" w:space="0" w:color="000000"/>
            </w:tcBorders>
          </w:tcPr>
          <w:p w14:paraId="4271776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RP1. Retard dans le développement, l’intégration ou les essais. Justification : mandat de 1 080 h réparti sur huit personnes menant six cours en parallèle ; un glissement partiel est plausible et observé dans des projets comparables.</w:t>
            </w:r>
          </w:p>
        </w:tc>
        <w:tc>
          <w:tcPr>
            <w:tcW w:w="760" w:type="dxa"/>
            <w:tcBorders>
              <w:top w:val="single" w:sz="4" w:space="0" w:color="000000"/>
              <w:left w:val="single" w:sz="4" w:space="0" w:color="000000"/>
              <w:bottom w:val="single" w:sz="4" w:space="0" w:color="000000"/>
              <w:right w:val="single" w:sz="4" w:space="0" w:color="000000"/>
            </w:tcBorders>
          </w:tcPr>
          <w:p w14:paraId="15FE75C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G3 · PC</w:t>
            </w:r>
          </w:p>
          <w:p w14:paraId="5DF9E29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III</w:t>
            </w:r>
          </w:p>
        </w:tc>
        <w:tc>
          <w:tcPr>
            <w:tcW w:w="2560" w:type="dxa"/>
            <w:tcBorders>
              <w:top w:val="single" w:sz="4" w:space="0" w:color="000000"/>
              <w:left w:val="single" w:sz="4" w:space="0" w:color="000000"/>
              <w:bottom w:val="single" w:sz="4" w:space="0" w:color="000000"/>
              <w:right w:val="single" w:sz="4" w:space="0" w:color="000000"/>
            </w:tcBorders>
          </w:tcPr>
          <w:p w14:paraId="567749C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Jalons intermédiaires J0 à J5, suivi de l’avancement et priorisation des fonctions essentielles. Réserve de quatre jours conservée pour absorber un glissement des phases P3 ou P4.</w:t>
            </w:r>
          </w:p>
        </w:tc>
        <w:tc>
          <w:tcPr>
            <w:tcW w:w="760" w:type="dxa"/>
            <w:tcBorders>
              <w:top w:val="single" w:sz="4" w:space="0" w:color="000000"/>
              <w:left w:val="single" w:sz="4" w:space="0" w:color="000000"/>
              <w:bottom w:val="single" w:sz="4" w:space="0" w:color="000000"/>
              <w:right w:val="single" w:sz="4" w:space="0" w:color="000000"/>
            </w:tcBorders>
          </w:tcPr>
          <w:p w14:paraId="3956E9C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G3 · PD</w:t>
            </w:r>
          </w:p>
          <w:p w14:paraId="5652785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w:t>
            </w:r>
          </w:p>
        </w:tc>
        <w:tc>
          <w:tcPr>
            <w:tcW w:w="1120" w:type="dxa"/>
            <w:tcBorders>
              <w:top w:val="single" w:sz="4" w:space="0" w:color="000000"/>
              <w:left w:val="single" w:sz="4" w:space="0" w:color="000000"/>
              <w:bottom w:val="single" w:sz="4" w:space="0" w:color="000000"/>
              <w:right w:val="single" w:sz="4" w:space="0" w:color="000000"/>
            </w:tcBorders>
          </w:tcPr>
          <w:p w14:paraId="34E06D2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p w14:paraId="20C8B4E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suivi aux jalons.</w:t>
            </w:r>
          </w:p>
        </w:tc>
      </w:tr>
      <w:tr w:rsidR="00F50D70" w:rsidRPr="00BE4F47" w14:paraId="1BA5C618"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1D9C62F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1.2</w:t>
            </w:r>
          </w:p>
        </w:tc>
        <w:tc>
          <w:tcPr>
            <w:tcW w:w="2560" w:type="dxa"/>
            <w:tcBorders>
              <w:top w:val="single" w:sz="4" w:space="0" w:color="000000"/>
              <w:left w:val="single" w:sz="4" w:space="0" w:color="000000"/>
              <w:bottom w:val="single" w:sz="4" w:space="0" w:color="000000"/>
              <w:right w:val="single" w:sz="4" w:space="0" w:color="000000"/>
            </w:tcBorders>
          </w:tcPr>
          <w:p w14:paraId="138CF12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RP2. Dépassement de l’enveloppe de 1 080 heures. Justification : l’enveloppe est une contrainte de mandat et non une estimation ; la gravité est critique car le dépassement remet en cause un livrable, sans remettre en cause le mandat.</w:t>
            </w:r>
          </w:p>
        </w:tc>
        <w:tc>
          <w:tcPr>
            <w:tcW w:w="760" w:type="dxa"/>
            <w:tcBorders>
              <w:top w:val="single" w:sz="4" w:space="0" w:color="000000"/>
              <w:left w:val="single" w:sz="4" w:space="0" w:color="000000"/>
              <w:bottom w:val="single" w:sz="4" w:space="0" w:color="000000"/>
              <w:right w:val="single" w:sz="4" w:space="0" w:color="000000"/>
            </w:tcBorders>
          </w:tcPr>
          <w:p w14:paraId="210C15B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G4 · PC</w:t>
            </w:r>
          </w:p>
          <w:p w14:paraId="67AA28A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IV</w:t>
            </w:r>
          </w:p>
        </w:tc>
        <w:tc>
          <w:tcPr>
            <w:tcW w:w="2560" w:type="dxa"/>
            <w:tcBorders>
              <w:top w:val="single" w:sz="4" w:space="0" w:color="000000"/>
              <w:left w:val="single" w:sz="4" w:space="0" w:color="000000"/>
              <w:bottom w:val="single" w:sz="4" w:space="0" w:color="000000"/>
              <w:right w:val="single" w:sz="4" w:space="0" w:color="000000"/>
            </w:tcBorders>
          </w:tcPr>
          <w:p w14:paraId="05E695B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Suivi périodique des heures consommées par lot. Réduction du contenu ajustable avant toute réduction des activités de vérification et de validation. Mesure compensatoire : liste du contenu ajustable arrêtée au jalon J1.</w:t>
            </w:r>
          </w:p>
        </w:tc>
        <w:tc>
          <w:tcPr>
            <w:tcW w:w="760" w:type="dxa"/>
            <w:tcBorders>
              <w:top w:val="single" w:sz="4" w:space="0" w:color="000000"/>
              <w:left w:val="single" w:sz="4" w:space="0" w:color="000000"/>
              <w:bottom w:val="single" w:sz="4" w:space="0" w:color="000000"/>
              <w:right w:val="single" w:sz="4" w:space="0" w:color="000000"/>
            </w:tcBorders>
          </w:tcPr>
          <w:p w14:paraId="7A0966E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G3 · PD</w:t>
            </w:r>
          </w:p>
          <w:p w14:paraId="55BE010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w:t>
            </w:r>
          </w:p>
        </w:tc>
        <w:tc>
          <w:tcPr>
            <w:tcW w:w="1120" w:type="dxa"/>
            <w:tcBorders>
              <w:top w:val="single" w:sz="4" w:space="0" w:color="000000"/>
              <w:left w:val="single" w:sz="4" w:space="0" w:color="000000"/>
              <w:bottom w:val="single" w:sz="4" w:space="0" w:color="000000"/>
              <w:right w:val="single" w:sz="4" w:space="0" w:color="000000"/>
            </w:tcBorders>
          </w:tcPr>
          <w:p w14:paraId="7539C06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p w14:paraId="43973A5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suivi périodique.</w:t>
            </w:r>
          </w:p>
        </w:tc>
      </w:tr>
      <w:tr w:rsidR="00F50D70" w:rsidRPr="00BE4F47" w14:paraId="2E9C7C2E"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41AD39D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1.3</w:t>
            </w:r>
          </w:p>
        </w:tc>
        <w:tc>
          <w:tcPr>
            <w:tcW w:w="2560" w:type="dxa"/>
            <w:tcBorders>
              <w:top w:val="single" w:sz="4" w:space="0" w:color="000000"/>
              <w:left w:val="single" w:sz="4" w:space="0" w:color="000000"/>
              <w:bottom w:val="single" w:sz="4" w:space="0" w:color="000000"/>
              <w:right w:val="single" w:sz="4" w:space="0" w:color="000000"/>
            </w:tcBorders>
          </w:tcPr>
          <w:p w14:paraId="2D90027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RP4. Absentéisme ou indisponibilité prolongée d’un membre. Justification : huit membres portent chacun un lot ; l’arrêt prolongé d’un seul retire de 8 à 13 % de la capacité et laisse une section sans rédacteur, sur un trimestre de quatorze semaines mené en parallèle de cinq autres cours.</w:t>
            </w:r>
          </w:p>
        </w:tc>
        <w:tc>
          <w:tcPr>
            <w:tcW w:w="760" w:type="dxa"/>
            <w:tcBorders>
              <w:top w:val="single" w:sz="4" w:space="0" w:color="000000"/>
              <w:left w:val="single" w:sz="4" w:space="0" w:color="000000"/>
              <w:bottom w:val="single" w:sz="4" w:space="0" w:color="000000"/>
              <w:right w:val="single" w:sz="4" w:space="0" w:color="000000"/>
            </w:tcBorders>
          </w:tcPr>
          <w:p w14:paraId="08BC16A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G4 · PC</w:t>
            </w:r>
          </w:p>
          <w:p w14:paraId="32BEDD9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IV</w:t>
            </w:r>
          </w:p>
        </w:tc>
        <w:tc>
          <w:tcPr>
            <w:tcW w:w="2560" w:type="dxa"/>
            <w:tcBorders>
              <w:top w:val="single" w:sz="4" w:space="0" w:color="000000"/>
              <w:left w:val="single" w:sz="4" w:space="0" w:color="000000"/>
              <w:bottom w:val="single" w:sz="4" w:space="0" w:color="000000"/>
              <w:right w:val="single" w:sz="4" w:space="0" w:color="000000"/>
            </w:tcBorders>
          </w:tcPr>
          <w:p w14:paraId="5F46BAA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Binôme de secours désigné pour chaque lot, de sorte qu’aucun lot ne repose sur une seule personne. Documentation au dépôt permettant la reprise par un tiers, selon la section 4. Réallocation de la charge à partir du tableau des lots. Mesure compensatoire : la relecture croisée fait qu’au moins deux membres connaissent chaque section.</w:t>
            </w:r>
          </w:p>
        </w:tc>
        <w:tc>
          <w:tcPr>
            <w:tcW w:w="760" w:type="dxa"/>
            <w:tcBorders>
              <w:top w:val="single" w:sz="4" w:space="0" w:color="000000"/>
              <w:left w:val="single" w:sz="4" w:space="0" w:color="000000"/>
              <w:bottom w:val="single" w:sz="4" w:space="0" w:color="000000"/>
              <w:right w:val="single" w:sz="4" w:space="0" w:color="000000"/>
            </w:tcBorders>
          </w:tcPr>
          <w:p w14:paraId="37743EC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G2 · PC</w:t>
            </w:r>
          </w:p>
          <w:p w14:paraId="0198965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w:t>
            </w:r>
          </w:p>
        </w:tc>
        <w:tc>
          <w:tcPr>
            <w:tcW w:w="1120" w:type="dxa"/>
            <w:tcBorders>
              <w:top w:val="single" w:sz="4" w:space="0" w:color="000000"/>
              <w:left w:val="single" w:sz="4" w:space="0" w:color="000000"/>
              <w:bottom w:val="single" w:sz="4" w:space="0" w:color="000000"/>
              <w:right w:val="single" w:sz="4" w:space="0" w:color="000000"/>
            </w:tcBorders>
          </w:tcPr>
          <w:p w14:paraId="55CD00E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p w14:paraId="34A810E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Binômes désignés à J1.</w:t>
            </w:r>
          </w:p>
        </w:tc>
      </w:tr>
      <w:tr w:rsidR="00F50D70" w:rsidRPr="00BE4F47" w14:paraId="7E8FF9DF"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4454AE8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2.1</w:t>
            </w:r>
          </w:p>
        </w:tc>
        <w:tc>
          <w:tcPr>
            <w:tcW w:w="2560" w:type="dxa"/>
            <w:tcBorders>
              <w:top w:val="single" w:sz="4" w:space="0" w:color="000000"/>
              <w:left w:val="single" w:sz="4" w:space="0" w:color="000000"/>
              <w:bottom w:val="single" w:sz="4" w:space="0" w:color="000000"/>
              <w:right w:val="single" w:sz="4" w:space="0" w:color="000000"/>
            </w:tcBorders>
          </w:tcPr>
          <w:p w14:paraId="7FB8454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RP3. Modification tardive du périmètre exigeant un banc thermohydraulique physique. Justification : probabilité faible car l’hypothèse d’un environnement simulé est posée au mandat ; gravité maximale car un tel ajout invaliderait la planification, le budget et l’échéancier.</w:t>
            </w:r>
          </w:p>
        </w:tc>
        <w:tc>
          <w:tcPr>
            <w:tcW w:w="760" w:type="dxa"/>
            <w:tcBorders>
              <w:top w:val="single" w:sz="4" w:space="0" w:color="000000"/>
              <w:left w:val="single" w:sz="4" w:space="0" w:color="000000"/>
              <w:bottom w:val="single" w:sz="4" w:space="0" w:color="000000"/>
              <w:right w:val="single" w:sz="4" w:space="0" w:color="000000"/>
            </w:tcBorders>
          </w:tcPr>
          <w:p w14:paraId="5B45FB7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G5 · PD</w:t>
            </w:r>
          </w:p>
          <w:p w14:paraId="26CD2C9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IV</w:t>
            </w:r>
          </w:p>
        </w:tc>
        <w:tc>
          <w:tcPr>
            <w:tcW w:w="2560" w:type="dxa"/>
            <w:tcBorders>
              <w:top w:val="single" w:sz="4" w:space="0" w:color="000000"/>
              <w:left w:val="single" w:sz="4" w:space="0" w:color="000000"/>
              <w:bottom w:val="single" w:sz="4" w:space="0" w:color="000000"/>
              <w:right w:val="single" w:sz="4" w:space="0" w:color="000000"/>
            </w:tcBorders>
          </w:tcPr>
          <w:p w14:paraId="2834A2A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Maintien explicite de l’hypothèse d’un environnement simulé (EX-C-02). Réévaluation immédiate de la portée, des ressources et du budget si elle devient invalide. Mesure compensatoire : point de décision formel au jalon J1.</w:t>
            </w:r>
          </w:p>
        </w:tc>
        <w:tc>
          <w:tcPr>
            <w:tcW w:w="760" w:type="dxa"/>
            <w:tcBorders>
              <w:top w:val="single" w:sz="4" w:space="0" w:color="000000"/>
              <w:left w:val="single" w:sz="4" w:space="0" w:color="000000"/>
              <w:bottom w:val="single" w:sz="4" w:space="0" w:color="000000"/>
              <w:right w:val="single" w:sz="4" w:space="0" w:color="000000"/>
            </w:tcBorders>
          </w:tcPr>
          <w:p w14:paraId="0651B06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G5 · PE</w:t>
            </w:r>
          </w:p>
          <w:p w14:paraId="06E9F67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III</w:t>
            </w:r>
          </w:p>
        </w:tc>
        <w:tc>
          <w:tcPr>
            <w:tcW w:w="1120" w:type="dxa"/>
            <w:tcBorders>
              <w:top w:val="single" w:sz="4" w:space="0" w:color="000000"/>
              <w:left w:val="single" w:sz="4" w:space="0" w:color="000000"/>
              <w:bottom w:val="single" w:sz="4" w:space="0" w:color="000000"/>
              <w:right w:val="single" w:sz="4" w:space="0" w:color="000000"/>
            </w:tcBorders>
          </w:tcPr>
          <w:p w14:paraId="58A0841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p w14:paraId="20F8A99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sous condition de revue du périmètre.</w:t>
            </w:r>
          </w:p>
        </w:tc>
      </w:tr>
    </w:tbl>
    <w:p w14:paraId="7471DA4B" w14:textId="77777777" w:rsidR="00F50D70" w:rsidRPr="00BE4F47" w:rsidRDefault="00F50D70" w:rsidP="008E113B">
      <w:pPr>
        <w:spacing w:line="360" w:lineRule="auto"/>
        <w:ind w:left="0"/>
        <w:rPr>
          <w:rFonts w:ascii="Aptos" w:hAnsi="Aptos"/>
          <w:lang w:val="fr-FR"/>
        </w:rPr>
      </w:pPr>
    </w:p>
    <w:p w14:paraId="4ED059DE" w14:textId="77777777" w:rsidR="00F50D70" w:rsidRPr="00B36301" w:rsidRDefault="00000000" w:rsidP="008E113B">
      <w:pPr>
        <w:pStyle w:val="Titre2"/>
        <w:spacing w:line="360" w:lineRule="auto"/>
      </w:pPr>
      <w:bookmarkStart w:id="409" w:name="__RefHeading___Toc240715283"/>
      <w:bookmarkStart w:id="410" w:name="_Toc241083106"/>
      <w:bookmarkEnd w:id="409"/>
      <w:r w:rsidRPr="00B36301">
        <w:t>Registre des risques du produit</w:t>
      </w:r>
      <w:bookmarkEnd w:id="410"/>
    </w:p>
    <w:p w14:paraId="2A1485C6" w14:textId="77777777" w:rsidR="00F50D70" w:rsidRPr="00BE4F47" w:rsidRDefault="00000000" w:rsidP="008E113B">
      <w:pPr>
        <w:spacing w:after="130" w:line="360" w:lineRule="auto"/>
        <w:ind w:left="425"/>
        <w:rPr>
          <w:rFonts w:ascii="Aptos" w:hAnsi="Aptos"/>
        </w:rPr>
      </w:pPr>
      <w:bookmarkStart w:id="411" w:name="_Toc241083107"/>
      <w:r w:rsidRPr="00BE4F47">
        <w:rPr>
          <w:rFonts w:ascii="Aptos" w:eastAsia="Calibri" w:hAnsi="Aptos" w:cs="Calibri"/>
          <w:color w:val="1A1A19"/>
          <w:sz w:val="20"/>
          <w:szCs w:val="20"/>
        </w:rPr>
        <w:t>Évaluation datée du 18 septembre 2026. Les renvois entre parenthèses désignent les exigences du registre des exigences et les états du GEMMA.</w:t>
      </w:r>
      <w:bookmarkEnd w:id="411"/>
    </w:p>
    <w:p w14:paraId="705CB486" w14:textId="77777777" w:rsidR="00F50D70" w:rsidRPr="00BE4F47" w:rsidRDefault="00000000" w:rsidP="008E113B">
      <w:pPr>
        <w:pStyle w:val="Lgende"/>
        <w:spacing w:line="360" w:lineRule="auto"/>
        <w:rPr>
          <w:rFonts w:ascii="Aptos" w:hAnsi="Aptos"/>
        </w:rPr>
      </w:pPr>
      <w:bookmarkStart w:id="412" w:name="_Toc241083108"/>
      <w:r w:rsidRPr="00BE4F47">
        <w:rPr>
          <w:rFonts w:ascii="Aptos" w:hAnsi="Aptos"/>
        </w:rPr>
        <w:t>Tableau 7-7. Registre des risques du produit</w:t>
      </w:r>
      <w:bookmarkEnd w:id="412"/>
    </w:p>
    <w:tbl>
      <w:tblPr>
        <w:tblW w:w="8400" w:type="dxa"/>
        <w:tblLayout w:type="fixed"/>
        <w:tblCellMar>
          <w:top w:w="55" w:type="dxa"/>
          <w:left w:w="85" w:type="dxa"/>
          <w:bottom w:w="55" w:type="dxa"/>
          <w:right w:w="85" w:type="dxa"/>
        </w:tblCellMar>
        <w:tblLook w:val="04A0" w:firstRow="1" w:lastRow="0" w:firstColumn="1" w:lastColumn="0" w:noHBand="0" w:noVBand="1"/>
      </w:tblPr>
      <w:tblGrid>
        <w:gridCol w:w="640"/>
        <w:gridCol w:w="2560"/>
        <w:gridCol w:w="760"/>
        <w:gridCol w:w="2560"/>
        <w:gridCol w:w="760"/>
        <w:gridCol w:w="1120"/>
      </w:tblGrid>
      <w:tr w:rsidR="00F50D70" w:rsidRPr="00BE4F47" w14:paraId="5F05A882" w14:textId="77777777">
        <w:trPr>
          <w:tblHeader/>
        </w:trPr>
        <w:tc>
          <w:tcPr>
            <w:tcW w:w="640" w:type="dxa"/>
            <w:tcBorders>
              <w:top w:val="single" w:sz="4" w:space="0" w:color="000000"/>
              <w:left w:val="single" w:sz="4" w:space="0" w:color="000000"/>
              <w:bottom w:val="single" w:sz="4" w:space="0" w:color="000000"/>
              <w:right w:val="single" w:sz="4" w:space="0" w:color="000000"/>
            </w:tcBorders>
            <w:shd w:val="clear" w:color="auto" w:fill="EFF4FB"/>
          </w:tcPr>
          <w:p w14:paraId="2F86705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Repère</w:t>
            </w:r>
          </w:p>
        </w:tc>
        <w:tc>
          <w:tcPr>
            <w:tcW w:w="2560" w:type="dxa"/>
            <w:tcBorders>
              <w:top w:val="single" w:sz="4" w:space="0" w:color="000000"/>
              <w:left w:val="single" w:sz="4" w:space="0" w:color="000000"/>
              <w:bottom w:val="single" w:sz="4" w:space="0" w:color="000000"/>
              <w:right w:val="single" w:sz="4" w:space="0" w:color="000000"/>
            </w:tcBorders>
            <w:shd w:val="clear" w:color="auto" w:fill="EFF4FB"/>
          </w:tcPr>
          <w:p w14:paraId="5390969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et justification de la cotation</w:t>
            </w:r>
          </w:p>
        </w:tc>
        <w:tc>
          <w:tcPr>
            <w:tcW w:w="760" w:type="dxa"/>
            <w:tcBorders>
              <w:top w:val="single" w:sz="4" w:space="0" w:color="000000"/>
              <w:left w:val="single" w:sz="4" w:space="0" w:color="000000"/>
              <w:bottom w:val="single" w:sz="4" w:space="0" w:color="000000"/>
              <w:right w:val="single" w:sz="4" w:space="0" w:color="000000"/>
            </w:tcBorders>
            <w:shd w:val="clear" w:color="auto" w:fill="EFF4FB"/>
          </w:tcPr>
          <w:p w14:paraId="6CEE08A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Avant</w:t>
            </w:r>
          </w:p>
        </w:tc>
        <w:tc>
          <w:tcPr>
            <w:tcW w:w="2560" w:type="dxa"/>
            <w:tcBorders>
              <w:top w:val="single" w:sz="4" w:space="0" w:color="000000"/>
              <w:left w:val="single" w:sz="4" w:space="0" w:color="000000"/>
              <w:bottom w:val="single" w:sz="4" w:space="0" w:color="000000"/>
              <w:right w:val="single" w:sz="4" w:space="0" w:color="000000"/>
            </w:tcBorders>
            <w:shd w:val="clear" w:color="auto" w:fill="EFF4FB"/>
          </w:tcPr>
          <w:p w14:paraId="02CEDAC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Traitement et mesure compensatoire</w:t>
            </w:r>
          </w:p>
        </w:tc>
        <w:tc>
          <w:tcPr>
            <w:tcW w:w="760" w:type="dxa"/>
            <w:tcBorders>
              <w:top w:val="single" w:sz="4" w:space="0" w:color="000000"/>
              <w:left w:val="single" w:sz="4" w:space="0" w:color="000000"/>
              <w:bottom w:val="single" w:sz="4" w:space="0" w:color="000000"/>
              <w:right w:val="single" w:sz="4" w:space="0" w:color="000000"/>
            </w:tcBorders>
            <w:shd w:val="clear" w:color="auto" w:fill="EFF4FB"/>
          </w:tcPr>
          <w:p w14:paraId="54AC556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Après</w:t>
            </w:r>
          </w:p>
        </w:tc>
        <w:tc>
          <w:tcPr>
            <w:tcW w:w="1120" w:type="dxa"/>
            <w:tcBorders>
              <w:top w:val="single" w:sz="4" w:space="0" w:color="000000"/>
              <w:left w:val="single" w:sz="4" w:space="0" w:color="000000"/>
              <w:bottom w:val="single" w:sz="4" w:space="0" w:color="000000"/>
              <w:right w:val="single" w:sz="4" w:space="0" w:color="000000"/>
            </w:tcBorders>
            <w:shd w:val="clear" w:color="auto" w:fill="EFF4FB"/>
          </w:tcPr>
          <w:p w14:paraId="7255C22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Resp.</w:t>
            </w:r>
          </w:p>
        </w:tc>
      </w:tr>
      <w:tr w:rsidR="00F50D70" w:rsidRPr="00BE4F47" w14:paraId="20DE413F"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771E5D5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3.1</w:t>
            </w:r>
          </w:p>
        </w:tc>
        <w:tc>
          <w:tcPr>
            <w:tcW w:w="2560" w:type="dxa"/>
            <w:tcBorders>
              <w:top w:val="single" w:sz="4" w:space="0" w:color="000000"/>
              <w:left w:val="single" w:sz="4" w:space="0" w:color="000000"/>
              <w:bottom w:val="single" w:sz="4" w:space="0" w:color="000000"/>
              <w:right w:val="single" w:sz="4" w:space="0" w:color="000000"/>
            </w:tcBorders>
          </w:tcPr>
          <w:p w14:paraId="62F0A65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RT1. Mesure erronée de température, de pression ou de débit. Justification : une dérive de capteur est le mode de défaillance le plus courant d’une chaîne d’acquisition, et une mesure fausse non détectée fausse tout le diagnostic.</w:t>
            </w:r>
          </w:p>
        </w:tc>
        <w:tc>
          <w:tcPr>
            <w:tcW w:w="760" w:type="dxa"/>
            <w:tcBorders>
              <w:top w:val="single" w:sz="4" w:space="0" w:color="000000"/>
              <w:left w:val="single" w:sz="4" w:space="0" w:color="000000"/>
              <w:bottom w:val="single" w:sz="4" w:space="0" w:color="000000"/>
              <w:right w:val="single" w:sz="4" w:space="0" w:color="000000"/>
            </w:tcBorders>
          </w:tcPr>
          <w:p w14:paraId="4529D3E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G5 · PC</w:t>
            </w:r>
          </w:p>
          <w:p w14:paraId="70B4557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IV</w:t>
            </w:r>
          </w:p>
        </w:tc>
        <w:tc>
          <w:tcPr>
            <w:tcW w:w="2560" w:type="dxa"/>
            <w:tcBorders>
              <w:top w:val="single" w:sz="4" w:space="0" w:color="000000"/>
              <w:left w:val="single" w:sz="4" w:space="0" w:color="000000"/>
              <w:bottom w:val="single" w:sz="4" w:space="0" w:color="000000"/>
              <w:right w:val="single" w:sz="4" w:space="0" w:color="000000"/>
            </w:tcBorders>
          </w:tcPr>
          <w:p w14:paraId="514051D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Validation des entrées, plages admissibles et contrôle de cohérence entre capteurs (EX-Q-04). Une mesure détectée comme invalide est rejetée et journalisée, elle ne se propage pas au modèle.</w:t>
            </w:r>
          </w:p>
        </w:tc>
        <w:tc>
          <w:tcPr>
            <w:tcW w:w="760" w:type="dxa"/>
            <w:tcBorders>
              <w:top w:val="single" w:sz="4" w:space="0" w:color="000000"/>
              <w:left w:val="single" w:sz="4" w:space="0" w:color="000000"/>
              <w:bottom w:val="single" w:sz="4" w:space="0" w:color="000000"/>
              <w:right w:val="single" w:sz="4" w:space="0" w:color="000000"/>
            </w:tcBorders>
          </w:tcPr>
          <w:p w14:paraId="2B9045D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G3 · PC</w:t>
            </w:r>
          </w:p>
          <w:p w14:paraId="58D47E2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III</w:t>
            </w:r>
          </w:p>
        </w:tc>
        <w:tc>
          <w:tcPr>
            <w:tcW w:w="1120" w:type="dxa"/>
            <w:tcBorders>
              <w:top w:val="single" w:sz="4" w:space="0" w:color="000000"/>
              <w:left w:val="single" w:sz="4" w:space="0" w:color="000000"/>
              <w:bottom w:val="single" w:sz="4" w:space="0" w:color="000000"/>
              <w:right w:val="single" w:sz="4" w:space="0" w:color="000000"/>
            </w:tcBorders>
          </w:tcPr>
          <w:p w14:paraId="6AF7B23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Lot L6.</w:t>
            </w:r>
          </w:p>
          <w:p w14:paraId="3B7C0BD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suivi aux jalons.</w:t>
            </w:r>
          </w:p>
        </w:tc>
      </w:tr>
      <w:tr w:rsidR="00F50D70" w:rsidRPr="00BE4F47" w14:paraId="2AE72F12"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0979CC1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3.2</w:t>
            </w:r>
          </w:p>
        </w:tc>
        <w:tc>
          <w:tcPr>
            <w:tcW w:w="2560" w:type="dxa"/>
            <w:tcBorders>
              <w:top w:val="single" w:sz="4" w:space="0" w:color="000000"/>
              <w:left w:val="single" w:sz="4" w:space="0" w:color="000000"/>
              <w:bottom w:val="single" w:sz="4" w:space="0" w:color="000000"/>
              <w:right w:val="single" w:sz="4" w:space="0" w:color="000000"/>
            </w:tcBorders>
          </w:tcPr>
          <w:p w14:paraId="2096EBF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RT2. Perte ou indisponibilité d’une donnée. Justification : événement attendu au moins une fois en campagne d’essais ; la gravité chute fortement une fois la détection en place, puisque le système déclare l’état incertain au lieu de conclure.</w:t>
            </w:r>
          </w:p>
        </w:tc>
        <w:tc>
          <w:tcPr>
            <w:tcW w:w="760" w:type="dxa"/>
            <w:tcBorders>
              <w:top w:val="single" w:sz="4" w:space="0" w:color="000000"/>
              <w:left w:val="single" w:sz="4" w:space="0" w:color="000000"/>
              <w:bottom w:val="single" w:sz="4" w:space="0" w:color="000000"/>
              <w:right w:val="single" w:sz="4" w:space="0" w:color="000000"/>
            </w:tcBorders>
          </w:tcPr>
          <w:p w14:paraId="58E72E4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G4 · PC</w:t>
            </w:r>
          </w:p>
          <w:p w14:paraId="37E6776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IV</w:t>
            </w:r>
          </w:p>
        </w:tc>
        <w:tc>
          <w:tcPr>
            <w:tcW w:w="2560" w:type="dxa"/>
            <w:tcBorders>
              <w:top w:val="single" w:sz="4" w:space="0" w:color="000000"/>
              <w:left w:val="single" w:sz="4" w:space="0" w:color="000000"/>
              <w:bottom w:val="single" w:sz="4" w:space="0" w:color="000000"/>
              <w:right w:val="single" w:sz="4" w:space="0" w:color="000000"/>
            </w:tcBorders>
          </w:tcPr>
          <w:p w14:paraId="1F7FE46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Détection des données manquantes au-delà de N cycles et affichage de l’état « incertain » (EX-F-06, état D2 du GEMMA).</w:t>
            </w:r>
          </w:p>
        </w:tc>
        <w:tc>
          <w:tcPr>
            <w:tcW w:w="760" w:type="dxa"/>
            <w:tcBorders>
              <w:top w:val="single" w:sz="4" w:space="0" w:color="000000"/>
              <w:left w:val="single" w:sz="4" w:space="0" w:color="000000"/>
              <w:bottom w:val="single" w:sz="4" w:space="0" w:color="000000"/>
              <w:right w:val="single" w:sz="4" w:space="0" w:color="000000"/>
            </w:tcBorders>
          </w:tcPr>
          <w:p w14:paraId="0869A3B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G2 · PC</w:t>
            </w:r>
          </w:p>
          <w:p w14:paraId="57BAD06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w:t>
            </w:r>
          </w:p>
        </w:tc>
        <w:tc>
          <w:tcPr>
            <w:tcW w:w="1120" w:type="dxa"/>
            <w:tcBorders>
              <w:top w:val="single" w:sz="4" w:space="0" w:color="000000"/>
              <w:left w:val="single" w:sz="4" w:space="0" w:color="000000"/>
              <w:bottom w:val="single" w:sz="4" w:space="0" w:color="000000"/>
              <w:right w:val="single" w:sz="4" w:space="0" w:color="000000"/>
            </w:tcBorders>
          </w:tcPr>
          <w:p w14:paraId="34DA550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Lot L7.</w:t>
            </w:r>
          </w:p>
          <w:p w14:paraId="36FD350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suivi aux jalons.</w:t>
            </w:r>
          </w:p>
        </w:tc>
      </w:tr>
      <w:tr w:rsidR="00F50D70" w:rsidRPr="00BE4F47" w14:paraId="2B3BCE27"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020598D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lastRenderedPageBreak/>
              <w:t>3.3</w:t>
            </w:r>
          </w:p>
        </w:tc>
        <w:tc>
          <w:tcPr>
            <w:tcW w:w="2560" w:type="dxa"/>
            <w:tcBorders>
              <w:top w:val="single" w:sz="4" w:space="0" w:color="000000"/>
              <w:left w:val="single" w:sz="4" w:space="0" w:color="000000"/>
              <w:bottom w:val="single" w:sz="4" w:space="0" w:color="000000"/>
              <w:right w:val="single" w:sz="4" w:space="0" w:color="000000"/>
            </w:tcBorders>
          </w:tcPr>
          <w:p w14:paraId="2BC6092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RT3. Désynchronisation entre le modèle de référence et le jumeau. Justification : risque propre aux systèmes comparant deux flux ; détectable par horodatage, donc probabilité réductible.</w:t>
            </w:r>
          </w:p>
        </w:tc>
        <w:tc>
          <w:tcPr>
            <w:tcW w:w="760" w:type="dxa"/>
            <w:tcBorders>
              <w:top w:val="single" w:sz="4" w:space="0" w:color="000000"/>
              <w:left w:val="single" w:sz="4" w:space="0" w:color="000000"/>
              <w:bottom w:val="single" w:sz="4" w:space="0" w:color="000000"/>
              <w:right w:val="single" w:sz="4" w:space="0" w:color="000000"/>
            </w:tcBorders>
          </w:tcPr>
          <w:p w14:paraId="675A508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G4 · PC</w:t>
            </w:r>
          </w:p>
          <w:p w14:paraId="0ED0F5D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IV</w:t>
            </w:r>
          </w:p>
        </w:tc>
        <w:tc>
          <w:tcPr>
            <w:tcW w:w="2560" w:type="dxa"/>
            <w:tcBorders>
              <w:top w:val="single" w:sz="4" w:space="0" w:color="000000"/>
              <w:left w:val="single" w:sz="4" w:space="0" w:color="000000"/>
              <w:bottom w:val="single" w:sz="4" w:space="0" w:color="000000"/>
              <w:right w:val="single" w:sz="4" w:space="0" w:color="000000"/>
            </w:tcBorders>
          </w:tcPr>
          <w:p w14:paraId="0174BB1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Horodatage de chaque acquisition, contrôle de synchronisation et surveillance de l’écart temporel (EX-F-10).</w:t>
            </w:r>
          </w:p>
        </w:tc>
        <w:tc>
          <w:tcPr>
            <w:tcW w:w="760" w:type="dxa"/>
            <w:tcBorders>
              <w:top w:val="single" w:sz="4" w:space="0" w:color="000000"/>
              <w:left w:val="single" w:sz="4" w:space="0" w:color="000000"/>
              <w:bottom w:val="single" w:sz="4" w:space="0" w:color="000000"/>
              <w:right w:val="single" w:sz="4" w:space="0" w:color="000000"/>
            </w:tcBorders>
          </w:tcPr>
          <w:p w14:paraId="7639FD6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G3 · PD</w:t>
            </w:r>
          </w:p>
          <w:p w14:paraId="29BA498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w:t>
            </w:r>
          </w:p>
        </w:tc>
        <w:tc>
          <w:tcPr>
            <w:tcW w:w="1120" w:type="dxa"/>
            <w:tcBorders>
              <w:top w:val="single" w:sz="4" w:space="0" w:color="000000"/>
              <w:left w:val="single" w:sz="4" w:space="0" w:color="000000"/>
              <w:bottom w:val="single" w:sz="4" w:space="0" w:color="000000"/>
              <w:right w:val="single" w:sz="4" w:space="0" w:color="000000"/>
            </w:tcBorders>
          </w:tcPr>
          <w:p w14:paraId="6AA3BCF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Lot L6.</w:t>
            </w:r>
          </w:p>
          <w:p w14:paraId="2694884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suivi aux jalons.</w:t>
            </w:r>
          </w:p>
        </w:tc>
      </w:tr>
      <w:tr w:rsidR="00F50D70" w:rsidRPr="00BE4F47" w14:paraId="5C1537E2"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30606BE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4.1</w:t>
            </w:r>
          </w:p>
        </w:tc>
        <w:tc>
          <w:tcPr>
            <w:tcW w:w="2560" w:type="dxa"/>
            <w:tcBorders>
              <w:top w:val="single" w:sz="4" w:space="0" w:color="000000"/>
              <w:left w:val="single" w:sz="4" w:space="0" w:color="000000"/>
              <w:bottom w:val="single" w:sz="4" w:space="0" w:color="000000"/>
              <w:right w:val="single" w:sz="4" w:space="0" w:color="000000"/>
            </w:tcBorders>
          </w:tcPr>
          <w:p w14:paraId="7E1896E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RT4. Modèle thermohydraulique insuffisamment représentatif. Justification : un modèle 0D et 1D à paramètres concentrés est par construction une approximation ; la gravité reste critique après traitement car elle conditionne la validité des résultats.</w:t>
            </w:r>
          </w:p>
        </w:tc>
        <w:tc>
          <w:tcPr>
            <w:tcW w:w="760" w:type="dxa"/>
            <w:tcBorders>
              <w:top w:val="single" w:sz="4" w:space="0" w:color="000000"/>
              <w:left w:val="single" w:sz="4" w:space="0" w:color="000000"/>
              <w:bottom w:val="single" w:sz="4" w:space="0" w:color="000000"/>
              <w:right w:val="single" w:sz="4" w:space="0" w:color="000000"/>
            </w:tcBorders>
          </w:tcPr>
          <w:p w14:paraId="1061B37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G5 · PC</w:t>
            </w:r>
          </w:p>
          <w:p w14:paraId="0F2DF7C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IV</w:t>
            </w:r>
          </w:p>
        </w:tc>
        <w:tc>
          <w:tcPr>
            <w:tcW w:w="2560" w:type="dxa"/>
            <w:tcBorders>
              <w:top w:val="single" w:sz="4" w:space="0" w:color="000000"/>
              <w:left w:val="single" w:sz="4" w:space="0" w:color="000000"/>
              <w:bottom w:val="single" w:sz="4" w:space="0" w:color="000000"/>
              <w:right w:val="single" w:sz="4" w:space="0" w:color="000000"/>
            </w:tcBorders>
          </w:tcPr>
          <w:p w14:paraId="71866AB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Vérification et validation, comparaison au modèle de référence et quantification de l’incertitude de validation selon ASME V&amp;V 20. Mesure compensatoire : domaine de validité documenté au rapport final (EX-C-01).</w:t>
            </w:r>
          </w:p>
        </w:tc>
        <w:tc>
          <w:tcPr>
            <w:tcW w:w="760" w:type="dxa"/>
            <w:tcBorders>
              <w:top w:val="single" w:sz="4" w:space="0" w:color="000000"/>
              <w:left w:val="single" w:sz="4" w:space="0" w:color="000000"/>
              <w:bottom w:val="single" w:sz="4" w:space="0" w:color="000000"/>
              <w:right w:val="single" w:sz="4" w:space="0" w:color="000000"/>
            </w:tcBorders>
          </w:tcPr>
          <w:p w14:paraId="4CB828B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G4 · PD</w:t>
            </w:r>
          </w:p>
          <w:p w14:paraId="4FFF170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III</w:t>
            </w:r>
          </w:p>
        </w:tc>
        <w:tc>
          <w:tcPr>
            <w:tcW w:w="1120" w:type="dxa"/>
            <w:tcBorders>
              <w:top w:val="single" w:sz="4" w:space="0" w:color="000000"/>
              <w:left w:val="single" w:sz="4" w:space="0" w:color="000000"/>
              <w:bottom w:val="single" w:sz="4" w:space="0" w:color="000000"/>
              <w:right w:val="single" w:sz="4" w:space="0" w:color="000000"/>
            </w:tcBorders>
          </w:tcPr>
          <w:p w14:paraId="0822340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Lot L4.</w:t>
            </w:r>
          </w:p>
          <w:p w14:paraId="23324F3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sous condition de documenter le domaine de validité.</w:t>
            </w:r>
          </w:p>
        </w:tc>
      </w:tr>
      <w:tr w:rsidR="00F50D70" w:rsidRPr="00BE4F47" w14:paraId="0E88C415"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350DC99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4.2</w:t>
            </w:r>
          </w:p>
        </w:tc>
        <w:tc>
          <w:tcPr>
            <w:tcW w:w="2560" w:type="dxa"/>
            <w:tcBorders>
              <w:top w:val="single" w:sz="4" w:space="0" w:color="000000"/>
              <w:left w:val="single" w:sz="4" w:space="0" w:color="000000"/>
              <w:bottom w:val="single" w:sz="4" w:space="0" w:color="000000"/>
              <w:right w:val="single" w:sz="4" w:space="0" w:color="000000"/>
            </w:tcBorders>
          </w:tcPr>
          <w:p w14:paraId="6CFAB22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4.2. Non-détection d’une anomalie réelle, soit un faux négatif. Justification : c’est la fonction même du prototype qui est en défaut. La probabilité est réductible par les essais. La gravité résiduelle descend de 5 à 4 parce que le système ne décide pas seul : la décision demeure celle de l’opérateur et le niveau de confiance est affiché, de sorte qu’un faux négatif ne se propage pas directement à une décision.</w:t>
            </w:r>
          </w:p>
        </w:tc>
        <w:tc>
          <w:tcPr>
            <w:tcW w:w="760" w:type="dxa"/>
            <w:tcBorders>
              <w:top w:val="single" w:sz="4" w:space="0" w:color="000000"/>
              <w:left w:val="single" w:sz="4" w:space="0" w:color="000000"/>
              <w:bottom w:val="single" w:sz="4" w:space="0" w:color="000000"/>
              <w:right w:val="single" w:sz="4" w:space="0" w:color="000000"/>
            </w:tcBorders>
          </w:tcPr>
          <w:p w14:paraId="6891E41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G5 · PC</w:t>
            </w:r>
          </w:p>
          <w:p w14:paraId="3FE79F9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IV</w:t>
            </w:r>
          </w:p>
        </w:tc>
        <w:tc>
          <w:tcPr>
            <w:tcW w:w="2560" w:type="dxa"/>
            <w:tcBorders>
              <w:top w:val="single" w:sz="4" w:space="0" w:color="000000"/>
              <w:left w:val="single" w:sz="4" w:space="0" w:color="000000"/>
              <w:bottom w:val="single" w:sz="4" w:space="0" w:color="000000"/>
              <w:right w:val="single" w:sz="4" w:space="0" w:color="000000"/>
            </w:tcBorders>
          </w:tcPr>
          <w:p w14:paraId="33E34DC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Campagne d’essais avec injection d’anomalies (état F6 du GEMMA), validation des seuils et analyse humaine. Mesure compensatoire : décision maintenue chez l’opérateur (EX-F-08) et affichage systématique du niveau de confiance (EX-F-07).</w:t>
            </w:r>
          </w:p>
        </w:tc>
        <w:tc>
          <w:tcPr>
            <w:tcW w:w="760" w:type="dxa"/>
            <w:tcBorders>
              <w:top w:val="single" w:sz="4" w:space="0" w:color="000000"/>
              <w:left w:val="single" w:sz="4" w:space="0" w:color="000000"/>
              <w:bottom w:val="single" w:sz="4" w:space="0" w:color="000000"/>
              <w:right w:val="single" w:sz="4" w:space="0" w:color="000000"/>
            </w:tcBorders>
          </w:tcPr>
          <w:p w14:paraId="322AF1C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G4 · PD</w:t>
            </w:r>
          </w:p>
          <w:p w14:paraId="348950A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III</w:t>
            </w:r>
          </w:p>
        </w:tc>
        <w:tc>
          <w:tcPr>
            <w:tcW w:w="1120" w:type="dxa"/>
            <w:tcBorders>
              <w:top w:val="single" w:sz="4" w:space="0" w:color="000000"/>
              <w:left w:val="single" w:sz="4" w:space="0" w:color="000000"/>
              <w:bottom w:val="single" w:sz="4" w:space="0" w:color="000000"/>
              <w:right w:val="single" w:sz="4" w:space="0" w:color="000000"/>
            </w:tcBorders>
          </w:tcPr>
          <w:p w14:paraId="12E7105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p w14:paraId="4569FFD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sous condition du maintien de la décision humaine.</w:t>
            </w:r>
          </w:p>
        </w:tc>
      </w:tr>
      <w:tr w:rsidR="00F50D70" w:rsidRPr="00BE4F47" w14:paraId="7A12EE67"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2FD71F7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4.3</w:t>
            </w:r>
          </w:p>
        </w:tc>
        <w:tc>
          <w:tcPr>
            <w:tcW w:w="2560" w:type="dxa"/>
            <w:tcBorders>
              <w:top w:val="single" w:sz="4" w:space="0" w:color="000000"/>
              <w:left w:val="single" w:sz="4" w:space="0" w:color="000000"/>
              <w:bottom w:val="single" w:sz="4" w:space="0" w:color="000000"/>
              <w:right w:val="single" w:sz="4" w:space="0" w:color="000000"/>
            </w:tcBorders>
          </w:tcPr>
          <w:p w14:paraId="6ADED6C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RT6. Détection incorrecte d’une anomalie, soit un faux positif. Justification : plus fréquent qu’un faux négatif mais moins grave ; le coût est l’usure de la confiance de l’opérateur, non la perte d’information.</w:t>
            </w:r>
          </w:p>
        </w:tc>
        <w:tc>
          <w:tcPr>
            <w:tcW w:w="760" w:type="dxa"/>
            <w:tcBorders>
              <w:top w:val="single" w:sz="4" w:space="0" w:color="000000"/>
              <w:left w:val="single" w:sz="4" w:space="0" w:color="000000"/>
              <w:bottom w:val="single" w:sz="4" w:space="0" w:color="000000"/>
              <w:right w:val="single" w:sz="4" w:space="0" w:color="000000"/>
            </w:tcBorders>
          </w:tcPr>
          <w:p w14:paraId="01E31D4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G3 · PC</w:t>
            </w:r>
          </w:p>
          <w:p w14:paraId="00E756F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III</w:t>
            </w:r>
          </w:p>
        </w:tc>
        <w:tc>
          <w:tcPr>
            <w:tcW w:w="2560" w:type="dxa"/>
            <w:tcBorders>
              <w:top w:val="single" w:sz="4" w:space="0" w:color="000000"/>
              <w:left w:val="single" w:sz="4" w:space="0" w:color="000000"/>
              <w:bottom w:val="single" w:sz="4" w:space="0" w:color="000000"/>
              <w:right w:val="single" w:sz="4" w:space="0" w:color="000000"/>
            </w:tcBorders>
          </w:tcPr>
          <w:p w14:paraId="45FFBBE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Validation des seuils et présentation des variables ayant contribué à la détection (EX-F-05), permettant à l’opérateur d’écarter rapidement une fausse alerte.</w:t>
            </w:r>
          </w:p>
        </w:tc>
        <w:tc>
          <w:tcPr>
            <w:tcW w:w="760" w:type="dxa"/>
            <w:tcBorders>
              <w:top w:val="single" w:sz="4" w:space="0" w:color="000000"/>
              <w:left w:val="single" w:sz="4" w:space="0" w:color="000000"/>
              <w:bottom w:val="single" w:sz="4" w:space="0" w:color="000000"/>
              <w:right w:val="single" w:sz="4" w:space="0" w:color="000000"/>
            </w:tcBorders>
          </w:tcPr>
          <w:p w14:paraId="7ED7DDD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G2 · PD</w:t>
            </w:r>
          </w:p>
          <w:p w14:paraId="3A6704F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w:t>
            </w:r>
          </w:p>
        </w:tc>
        <w:tc>
          <w:tcPr>
            <w:tcW w:w="1120" w:type="dxa"/>
            <w:tcBorders>
              <w:top w:val="single" w:sz="4" w:space="0" w:color="000000"/>
              <w:left w:val="single" w:sz="4" w:space="0" w:color="000000"/>
              <w:bottom w:val="single" w:sz="4" w:space="0" w:color="000000"/>
              <w:right w:val="single" w:sz="4" w:space="0" w:color="000000"/>
            </w:tcBorders>
          </w:tcPr>
          <w:p w14:paraId="1D36022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Lot L7.</w:t>
            </w:r>
          </w:p>
          <w:p w14:paraId="3BFD28C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sans condition.</w:t>
            </w:r>
          </w:p>
        </w:tc>
      </w:tr>
      <w:tr w:rsidR="00F50D70" w:rsidRPr="00BE4F47" w14:paraId="2469480D"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4350CC8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5.1</w:t>
            </w:r>
          </w:p>
        </w:tc>
        <w:tc>
          <w:tcPr>
            <w:tcW w:w="2560" w:type="dxa"/>
            <w:tcBorders>
              <w:top w:val="single" w:sz="4" w:space="0" w:color="000000"/>
              <w:left w:val="single" w:sz="4" w:space="0" w:color="000000"/>
              <w:bottom w:val="single" w:sz="4" w:space="0" w:color="000000"/>
              <w:right w:val="single" w:sz="4" w:space="0" w:color="000000"/>
            </w:tcBorders>
          </w:tcPr>
          <w:p w14:paraId="0DC2E1C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RT7. Accès non autorisé au prototype. Justification : gravité révisée de 5 à 3. Le prototype est entièrement simulé, ne contient aucune donnée réelle et ne commande aucun équipement ; la conséquence est la perte d’un travail universitaire, non une atteinte à une installation.</w:t>
            </w:r>
          </w:p>
        </w:tc>
        <w:tc>
          <w:tcPr>
            <w:tcW w:w="760" w:type="dxa"/>
            <w:tcBorders>
              <w:top w:val="single" w:sz="4" w:space="0" w:color="000000"/>
              <w:left w:val="single" w:sz="4" w:space="0" w:color="000000"/>
              <w:bottom w:val="single" w:sz="4" w:space="0" w:color="000000"/>
              <w:right w:val="single" w:sz="4" w:space="0" w:color="000000"/>
            </w:tcBorders>
          </w:tcPr>
          <w:p w14:paraId="085BA85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G3 · PD</w:t>
            </w:r>
          </w:p>
          <w:p w14:paraId="3F55FBC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w:t>
            </w:r>
          </w:p>
        </w:tc>
        <w:tc>
          <w:tcPr>
            <w:tcW w:w="2560" w:type="dxa"/>
            <w:tcBorders>
              <w:top w:val="single" w:sz="4" w:space="0" w:color="000000"/>
              <w:left w:val="single" w:sz="4" w:space="0" w:color="000000"/>
              <w:bottom w:val="single" w:sz="4" w:space="0" w:color="000000"/>
              <w:right w:val="single" w:sz="4" w:space="0" w:color="000000"/>
            </w:tcBorders>
          </w:tcPr>
          <w:p w14:paraId="60A8E9E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Contrôle d’accès fondé sur les rôles, moindre privilège et authentification multifacteur lorsque l’environnement le permet.</w:t>
            </w:r>
          </w:p>
        </w:tc>
        <w:tc>
          <w:tcPr>
            <w:tcW w:w="760" w:type="dxa"/>
            <w:tcBorders>
              <w:top w:val="single" w:sz="4" w:space="0" w:color="000000"/>
              <w:left w:val="single" w:sz="4" w:space="0" w:color="000000"/>
              <w:bottom w:val="single" w:sz="4" w:space="0" w:color="000000"/>
              <w:right w:val="single" w:sz="4" w:space="0" w:color="000000"/>
            </w:tcBorders>
          </w:tcPr>
          <w:p w14:paraId="4B21BF8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G3 · PE</w:t>
            </w:r>
          </w:p>
          <w:p w14:paraId="68BE310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w:t>
            </w:r>
          </w:p>
        </w:tc>
        <w:tc>
          <w:tcPr>
            <w:tcW w:w="1120" w:type="dxa"/>
            <w:tcBorders>
              <w:top w:val="single" w:sz="4" w:space="0" w:color="000000"/>
              <w:left w:val="single" w:sz="4" w:space="0" w:color="000000"/>
              <w:bottom w:val="single" w:sz="4" w:space="0" w:color="000000"/>
              <w:right w:val="single" w:sz="4" w:space="0" w:color="000000"/>
            </w:tcBorders>
          </w:tcPr>
          <w:p w14:paraId="636BCB3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Lot L5.</w:t>
            </w:r>
          </w:p>
          <w:p w14:paraId="395F9F2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sans condition.</w:t>
            </w:r>
          </w:p>
        </w:tc>
      </w:tr>
      <w:tr w:rsidR="00F50D70" w:rsidRPr="00BE4F47" w14:paraId="37DC3FE5"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75FDECF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5.2</w:t>
            </w:r>
          </w:p>
        </w:tc>
        <w:tc>
          <w:tcPr>
            <w:tcW w:w="2560" w:type="dxa"/>
            <w:tcBorders>
              <w:top w:val="single" w:sz="4" w:space="0" w:color="000000"/>
              <w:left w:val="single" w:sz="4" w:space="0" w:color="000000"/>
              <w:bottom w:val="single" w:sz="4" w:space="0" w:color="000000"/>
              <w:right w:val="single" w:sz="4" w:space="0" w:color="000000"/>
            </w:tcBorders>
          </w:tcPr>
          <w:p w14:paraId="2979B70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RT8. Altération volontaire ou accidentelle des données. Justification : gravité révisée de 5 à 4. Plus grave qu’un simple accès, car une donnée altérée non détectée invalide les résultats d’essais et donc la validation du prototype.</w:t>
            </w:r>
          </w:p>
        </w:tc>
        <w:tc>
          <w:tcPr>
            <w:tcW w:w="760" w:type="dxa"/>
            <w:tcBorders>
              <w:top w:val="single" w:sz="4" w:space="0" w:color="000000"/>
              <w:left w:val="single" w:sz="4" w:space="0" w:color="000000"/>
              <w:bottom w:val="single" w:sz="4" w:space="0" w:color="000000"/>
              <w:right w:val="single" w:sz="4" w:space="0" w:color="000000"/>
            </w:tcBorders>
          </w:tcPr>
          <w:p w14:paraId="3D701B0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G4 · PD</w:t>
            </w:r>
          </w:p>
          <w:p w14:paraId="10CABDC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III</w:t>
            </w:r>
          </w:p>
        </w:tc>
        <w:tc>
          <w:tcPr>
            <w:tcW w:w="2560" w:type="dxa"/>
            <w:tcBorders>
              <w:top w:val="single" w:sz="4" w:space="0" w:color="000000"/>
              <w:left w:val="single" w:sz="4" w:space="0" w:color="000000"/>
              <w:bottom w:val="single" w:sz="4" w:space="0" w:color="000000"/>
              <w:right w:val="single" w:sz="4" w:space="0" w:color="000000"/>
            </w:tcBorders>
          </w:tcPr>
          <w:p w14:paraId="4CE059E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Contrôles d’intégrité, journalisation horodatée et restriction des accès en écriture (EX-Q-04, EX-F-10).</w:t>
            </w:r>
          </w:p>
        </w:tc>
        <w:tc>
          <w:tcPr>
            <w:tcW w:w="760" w:type="dxa"/>
            <w:tcBorders>
              <w:top w:val="single" w:sz="4" w:space="0" w:color="000000"/>
              <w:left w:val="single" w:sz="4" w:space="0" w:color="000000"/>
              <w:bottom w:val="single" w:sz="4" w:space="0" w:color="000000"/>
              <w:right w:val="single" w:sz="4" w:space="0" w:color="000000"/>
            </w:tcBorders>
          </w:tcPr>
          <w:p w14:paraId="55E508F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G4 · PE</w:t>
            </w:r>
          </w:p>
          <w:p w14:paraId="4E95F21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III</w:t>
            </w:r>
          </w:p>
        </w:tc>
        <w:tc>
          <w:tcPr>
            <w:tcW w:w="1120" w:type="dxa"/>
            <w:tcBorders>
              <w:top w:val="single" w:sz="4" w:space="0" w:color="000000"/>
              <w:left w:val="single" w:sz="4" w:space="0" w:color="000000"/>
              <w:bottom w:val="single" w:sz="4" w:space="0" w:color="000000"/>
              <w:right w:val="single" w:sz="4" w:space="0" w:color="000000"/>
            </w:tcBorders>
          </w:tcPr>
          <w:p w14:paraId="6974B6E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Lot L5.</w:t>
            </w:r>
          </w:p>
          <w:p w14:paraId="3D99299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Surveillance à chaque jalon.</w:t>
            </w:r>
          </w:p>
        </w:tc>
      </w:tr>
      <w:tr w:rsidR="00F50D70" w:rsidRPr="00BE4F47" w14:paraId="499FD069"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178C121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6.1</w:t>
            </w:r>
          </w:p>
        </w:tc>
        <w:tc>
          <w:tcPr>
            <w:tcW w:w="2560" w:type="dxa"/>
            <w:tcBorders>
              <w:top w:val="single" w:sz="4" w:space="0" w:color="000000"/>
              <w:left w:val="single" w:sz="4" w:space="0" w:color="000000"/>
              <w:bottom w:val="single" w:sz="4" w:space="0" w:color="000000"/>
              <w:right w:val="single" w:sz="4" w:space="0" w:color="000000"/>
            </w:tcBorders>
          </w:tcPr>
          <w:p w14:paraId="739E539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RT9. Indisponibilité du prototype. Justification : gravité révisée de 4 à 3. Le coût d’une indisponibilité est un retard de travaux, absorbable par la réserve de l’échéancier.</w:t>
            </w:r>
          </w:p>
        </w:tc>
        <w:tc>
          <w:tcPr>
            <w:tcW w:w="760" w:type="dxa"/>
            <w:tcBorders>
              <w:top w:val="single" w:sz="4" w:space="0" w:color="000000"/>
              <w:left w:val="single" w:sz="4" w:space="0" w:color="000000"/>
              <w:bottom w:val="single" w:sz="4" w:space="0" w:color="000000"/>
              <w:right w:val="single" w:sz="4" w:space="0" w:color="000000"/>
            </w:tcBorders>
          </w:tcPr>
          <w:p w14:paraId="1BF9CF4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G3 · PD</w:t>
            </w:r>
          </w:p>
          <w:p w14:paraId="5990ACC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w:t>
            </w:r>
          </w:p>
        </w:tc>
        <w:tc>
          <w:tcPr>
            <w:tcW w:w="2560" w:type="dxa"/>
            <w:tcBorders>
              <w:top w:val="single" w:sz="4" w:space="0" w:color="000000"/>
              <w:left w:val="single" w:sz="4" w:space="0" w:color="000000"/>
              <w:bottom w:val="single" w:sz="4" w:space="0" w:color="000000"/>
              <w:right w:val="single" w:sz="4" w:space="0" w:color="000000"/>
            </w:tcBorders>
          </w:tcPr>
          <w:p w14:paraId="1E41490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Sauvegarde régulière, procédure de récupération et surveillance de l’environnement d’essai. Restauration à blanc planifiée avant le jalon J2.</w:t>
            </w:r>
          </w:p>
        </w:tc>
        <w:tc>
          <w:tcPr>
            <w:tcW w:w="760" w:type="dxa"/>
            <w:tcBorders>
              <w:top w:val="single" w:sz="4" w:space="0" w:color="000000"/>
              <w:left w:val="single" w:sz="4" w:space="0" w:color="000000"/>
              <w:bottom w:val="single" w:sz="4" w:space="0" w:color="000000"/>
              <w:right w:val="single" w:sz="4" w:space="0" w:color="000000"/>
            </w:tcBorders>
          </w:tcPr>
          <w:p w14:paraId="499B594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G2 · PD</w:t>
            </w:r>
          </w:p>
          <w:p w14:paraId="67BBBF9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w:t>
            </w:r>
          </w:p>
        </w:tc>
        <w:tc>
          <w:tcPr>
            <w:tcW w:w="1120" w:type="dxa"/>
            <w:tcBorders>
              <w:top w:val="single" w:sz="4" w:space="0" w:color="000000"/>
              <w:left w:val="single" w:sz="4" w:space="0" w:color="000000"/>
              <w:bottom w:val="single" w:sz="4" w:space="0" w:color="000000"/>
              <w:right w:val="single" w:sz="4" w:space="0" w:color="000000"/>
            </w:tcBorders>
          </w:tcPr>
          <w:p w14:paraId="28B11D4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Lot L6.</w:t>
            </w:r>
          </w:p>
          <w:p w14:paraId="2DBD137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sans condition.</w:t>
            </w:r>
          </w:p>
        </w:tc>
      </w:tr>
      <w:tr w:rsidR="00F50D70" w:rsidRPr="00BE4F47" w14:paraId="06D11039" w14:textId="77777777">
        <w:trPr>
          <w:cantSplit/>
        </w:trPr>
        <w:tc>
          <w:tcPr>
            <w:tcW w:w="640" w:type="dxa"/>
            <w:tcBorders>
              <w:top w:val="single" w:sz="4" w:space="0" w:color="000000"/>
              <w:left w:val="single" w:sz="4" w:space="0" w:color="000000"/>
              <w:bottom w:val="single" w:sz="4" w:space="0" w:color="000000"/>
              <w:right w:val="single" w:sz="4" w:space="0" w:color="000000"/>
            </w:tcBorders>
          </w:tcPr>
          <w:p w14:paraId="130B176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7.1</w:t>
            </w:r>
          </w:p>
        </w:tc>
        <w:tc>
          <w:tcPr>
            <w:tcW w:w="2560" w:type="dxa"/>
            <w:tcBorders>
              <w:top w:val="single" w:sz="4" w:space="0" w:color="000000"/>
              <w:left w:val="single" w:sz="4" w:space="0" w:color="000000"/>
              <w:bottom w:val="single" w:sz="4" w:space="0" w:color="000000"/>
              <w:right w:val="single" w:sz="4" w:space="0" w:color="000000"/>
            </w:tcBorders>
          </w:tcPr>
          <w:p w14:paraId="2B8C7F7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RT10. Confiance excessive de l’opérateur envers le diagnostic, soit un biais d’automatisation. Justification : risque comportemental, peu réductible par des moyens techniques seuls ; la gravité demeure critique après traitement.</w:t>
            </w:r>
          </w:p>
        </w:tc>
        <w:tc>
          <w:tcPr>
            <w:tcW w:w="760" w:type="dxa"/>
            <w:tcBorders>
              <w:top w:val="single" w:sz="4" w:space="0" w:color="000000"/>
              <w:left w:val="single" w:sz="4" w:space="0" w:color="000000"/>
              <w:bottom w:val="single" w:sz="4" w:space="0" w:color="000000"/>
              <w:right w:val="single" w:sz="4" w:space="0" w:color="000000"/>
            </w:tcBorders>
          </w:tcPr>
          <w:p w14:paraId="4801C30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G5 · PC</w:t>
            </w:r>
          </w:p>
          <w:p w14:paraId="06A4C1F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IV</w:t>
            </w:r>
          </w:p>
        </w:tc>
        <w:tc>
          <w:tcPr>
            <w:tcW w:w="2560" w:type="dxa"/>
            <w:tcBorders>
              <w:top w:val="single" w:sz="4" w:space="0" w:color="000000"/>
              <w:left w:val="single" w:sz="4" w:space="0" w:color="000000"/>
              <w:bottom w:val="single" w:sz="4" w:space="0" w:color="000000"/>
              <w:right w:val="single" w:sz="4" w:space="0" w:color="000000"/>
            </w:tcBorders>
          </w:tcPr>
          <w:p w14:paraId="79B2A87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Affichage du niveau de confiance (EX-F-07), explication du diagnostic par les variables contributives (EX-F-05) et maintien de la décision humaine (EX-F-08). Mesure compensatoire : essai d’utilisabilité avec un opérateur n’ayant pas participé au développement (EX-Q-03).</w:t>
            </w:r>
          </w:p>
        </w:tc>
        <w:tc>
          <w:tcPr>
            <w:tcW w:w="760" w:type="dxa"/>
            <w:tcBorders>
              <w:top w:val="single" w:sz="4" w:space="0" w:color="000000"/>
              <w:left w:val="single" w:sz="4" w:space="0" w:color="000000"/>
              <w:bottom w:val="single" w:sz="4" w:space="0" w:color="000000"/>
              <w:right w:val="single" w:sz="4" w:space="0" w:color="000000"/>
            </w:tcBorders>
          </w:tcPr>
          <w:p w14:paraId="55F6388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G4 · PD</w:t>
            </w:r>
          </w:p>
          <w:p w14:paraId="61E41FC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III</w:t>
            </w:r>
          </w:p>
        </w:tc>
        <w:tc>
          <w:tcPr>
            <w:tcW w:w="1120" w:type="dxa"/>
            <w:tcBorders>
              <w:top w:val="single" w:sz="4" w:space="0" w:color="000000"/>
              <w:left w:val="single" w:sz="4" w:space="0" w:color="000000"/>
              <w:bottom w:val="single" w:sz="4" w:space="0" w:color="000000"/>
              <w:right w:val="single" w:sz="4" w:space="0" w:color="000000"/>
            </w:tcBorders>
          </w:tcPr>
          <w:p w14:paraId="07A536F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Lot L8.</w:t>
            </w:r>
          </w:p>
          <w:p w14:paraId="6839A73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sous condition de l’essai d’utilisabilité.</w:t>
            </w:r>
          </w:p>
        </w:tc>
      </w:tr>
    </w:tbl>
    <w:p w14:paraId="1D681E5F" w14:textId="77777777" w:rsidR="00F50D70" w:rsidRPr="00BE4F47" w:rsidRDefault="00F50D70" w:rsidP="008E113B">
      <w:pPr>
        <w:spacing w:line="360" w:lineRule="auto"/>
        <w:ind w:left="0"/>
        <w:rPr>
          <w:rFonts w:ascii="Aptos" w:hAnsi="Aptos"/>
          <w:lang w:val="fr-FR"/>
        </w:rPr>
      </w:pPr>
    </w:p>
    <w:p w14:paraId="3E61D6D0" w14:textId="77777777" w:rsidR="00246F82" w:rsidRDefault="00000000">
      <w:pPr>
        <w:pStyle w:val="Titre2"/>
      </w:pPr>
      <w:r>
        <w:lastRenderedPageBreak/>
        <w:t>Profil de risque avant et après mitigation</w:t>
      </w:r>
    </w:p>
    <w:p w14:paraId="4A7ABB29" w14:textId="57F7B40D" w:rsidR="00246F82" w:rsidRDefault="005A1D5D">
      <w:pPr>
        <w:spacing w:after="130" w:line="360" w:lineRule="auto"/>
        <w:ind w:left="360"/>
        <w:rPr>
          <w:rFonts w:ascii="Aptos" w:hAnsi="Aptos"/>
        </w:rPr>
      </w:pPr>
      <w:r>
        <w:rPr>
          <w:noProof/>
        </w:rPr>
        <w:drawing>
          <wp:anchor distT="0" distB="0" distL="114300" distR="114300" simplePos="0" relativeHeight="251659776" behindDoc="0" locked="0" layoutInCell="1" allowOverlap="1" wp14:anchorId="6F4F278A" wp14:editId="54C334E8">
            <wp:simplePos x="0" y="0"/>
            <wp:positionH relativeFrom="column">
              <wp:posOffset>337185</wp:posOffset>
            </wp:positionH>
            <wp:positionV relativeFrom="paragraph">
              <wp:posOffset>777240</wp:posOffset>
            </wp:positionV>
            <wp:extent cx="5577840" cy="2163817"/>
            <wp:effectExtent l="0" t="0" r="3810" b="8255"/>
            <wp:wrapTopAndBottom/>
            <wp:docPr id="1266838011" name="Picture 1266838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_risques.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7840" cy="2163817"/>
                    </a:xfrm>
                    <a:prstGeom prst="rect">
                      <a:avLst/>
                    </a:prstGeom>
                  </pic:spPr>
                </pic:pic>
              </a:graphicData>
            </a:graphic>
          </wp:anchor>
        </w:drawing>
      </w:r>
      <w:r w:rsidR="00000000">
        <w:rPr>
          <w:rFonts w:ascii="Aptos" w:eastAsia="Calibri" w:hAnsi="Aptos" w:cs="Calibri"/>
          <w:color w:val="1A1A19"/>
          <w:sz w:val="20"/>
          <w:szCs w:val="20"/>
        </w:rPr>
        <w:t>Les quatorze risques des deux registres ont été portés dans la grille d’analyse de risque du cours. Le profil ci-dessous place chacun dans la matrice, avant puis après traitement. Le premier chiffre est le secteur d’analyse, le second le rang du risque dans ce secteur.</w:t>
      </w:r>
    </w:p>
    <w:p w14:paraId="616AE650" w14:textId="46F59F93" w:rsidR="00246F82" w:rsidRDefault="00246F82">
      <w:pPr>
        <w:jc w:val="center"/>
      </w:pPr>
    </w:p>
    <w:p w14:paraId="5D1283C5" w14:textId="77777777" w:rsidR="00246F82" w:rsidRDefault="00000000">
      <w:r>
        <w:t>Figure 7-2. Profil de risque avant et après mitigation, grille d’analyse de risque</w:t>
      </w:r>
    </w:p>
    <w:p w14:paraId="2A560E4F" w14:textId="77777777" w:rsidR="00246F82" w:rsidRDefault="00000000">
      <w:pPr>
        <w:spacing w:after="130" w:line="360" w:lineRule="auto"/>
        <w:ind w:left="360"/>
        <w:rPr>
          <w:rFonts w:ascii="Aptos" w:hAnsi="Aptos"/>
        </w:rPr>
      </w:pPr>
      <w:r>
        <w:rPr>
          <w:rFonts w:ascii="Aptos" w:eastAsia="Calibri" w:hAnsi="Aptos" w:cs="Calibri"/>
          <w:color w:val="1A1A19"/>
          <w:sz w:val="20"/>
          <w:szCs w:val="20"/>
        </w:rPr>
        <w:t>Trois résultats se lisent directement sur ce profil.</w:t>
      </w:r>
    </w:p>
    <w:p w14:paraId="426FBC33" w14:textId="77777777" w:rsidR="00246F82" w:rsidRDefault="00000000">
      <w:pPr>
        <w:spacing w:after="130" w:line="360" w:lineRule="auto"/>
        <w:ind w:left="360"/>
        <w:rPr>
          <w:rFonts w:ascii="Aptos" w:hAnsi="Aptos"/>
        </w:rPr>
      </w:pPr>
      <w:r>
        <w:rPr>
          <w:rFonts w:ascii="Aptos" w:eastAsia="Calibri" w:hAnsi="Aptos" w:cs="Calibri"/>
          <w:color w:val="1A1A19"/>
          <w:sz w:val="20"/>
          <w:szCs w:val="20"/>
        </w:rPr>
        <w:t>Aucun risque ne demeure en classe IV après traitement. C’est le seuil d’acceptation fixé plus haut, et il est atteint. Les huit risques initialement rouges se répartissent après traitement entre les classes III, II et I.</w:t>
      </w:r>
    </w:p>
    <w:p w14:paraId="5393BFA7" w14:textId="77777777" w:rsidR="00246F82" w:rsidRDefault="00000000">
      <w:pPr>
        <w:spacing w:after="130" w:line="360" w:lineRule="auto"/>
        <w:ind w:left="360"/>
        <w:rPr>
          <w:rFonts w:ascii="Aptos" w:hAnsi="Aptos"/>
        </w:rPr>
      </w:pPr>
      <w:r>
        <w:rPr>
          <w:rFonts w:ascii="Aptos" w:eastAsia="Calibri" w:hAnsi="Aptos" w:cs="Calibri"/>
          <w:color w:val="1A1A19"/>
          <w:sz w:val="20"/>
          <w:szCs w:val="20"/>
        </w:rPr>
        <w:t>Quatre risques demeurent en classe III et exigent donc une mesure compensatoire nommée et une acceptation écrite : 2.1 la modification du périmètre, 4.1 la représentativité du modèle, 4.2 le faux négatif et 7.1 le biais d’automatisation. Ce sont les quatre risques dont la gravité ne se réduit pas par des moyens techniques, seulement leur probabilité. Chacun porte sa mesure compensatoire au registre.</w:t>
      </w:r>
    </w:p>
    <w:p w14:paraId="662C3C50" w14:textId="77777777" w:rsidR="00246F82" w:rsidRDefault="00000000">
      <w:pPr>
        <w:spacing w:after="130" w:line="360" w:lineRule="auto"/>
        <w:ind w:left="360"/>
        <w:rPr>
          <w:rFonts w:ascii="Aptos" w:hAnsi="Aptos"/>
        </w:rPr>
      </w:pPr>
      <w:r>
        <w:rPr>
          <w:rFonts w:ascii="Aptos" w:eastAsia="Calibri" w:hAnsi="Aptos" w:cs="Calibri"/>
          <w:color w:val="1A1A19"/>
          <w:sz w:val="20"/>
          <w:szCs w:val="20"/>
        </w:rPr>
        <w:t>Le déplacement se fait surtout vers le bas, c’est à dire par réduction de la probabilité, et peu vers la gauche. Cela dit quelque chose du projet : les mesures retenues rendent les défaillances moins fréquentes ou détectables, elles n’en changent pas la portée. C’est attendu pour un prototype d’aide à la décision, dont la gravité tient à l’usage qui en est fait plutôt qu’à sa mécanique interne.</w:t>
      </w:r>
    </w:p>
    <w:p w14:paraId="4A12B050" w14:textId="77777777" w:rsidR="00F50D70" w:rsidRPr="00B36301" w:rsidRDefault="00000000" w:rsidP="008E113B">
      <w:pPr>
        <w:pStyle w:val="Titre2"/>
        <w:spacing w:line="360" w:lineRule="auto"/>
      </w:pPr>
      <w:bookmarkStart w:id="413" w:name="__RefHeading___Toc240715285"/>
      <w:bookmarkStart w:id="414" w:name="_Toc241083109"/>
      <w:bookmarkEnd w:id="413"/>
      <w:r w:rsidRPr="00B36301">
        <w:t>Matrice de couverture des contraintes du mandat</w:t>
      </w:r>
      <w:bookmarkEnd w:id="414"/>
    </w:p>
    <w:p w14:paraId="4A02D271" w14:textId="77777777" w:rsidR="00F50D70" w:rsidRPr="00BE4F47" w:rsidRDefault="00000000" w:rsidP="008E113B">
      <w:pPr>
        <w:spacing w:line="360" w:lineRule="auto"/>
        <w:ind w:left="425"/>
        <w:rPr>
          <w:rFonts w:ascii="Aptos" w:eastAsia="Calibri" w:hAnsi="Aptos" w:cs="Calibri"/>
          <w:color w:val="1A1A19"/>
          <w:sz w:val="20"/>
          <w:szCs w:val="20"/>
        </w:rPr>
      </w:pPr>
      <w:bookmarkStart w:id="415" w:name="_Toc241083110"/>
      <w:r w:rsidRPr="00BE4F47">
        <w:rPr>
          <w:rFonts w:ascii="Aptos" w:eastAsia="Calibri" w:hAnsi="Aptos" w:cs="Calibri"/>
          <w:color w:val="1A1A19"/>
          <w:sz w:val="20"/>
          <w:szCs w:val="20"/>
        </w:rPr>
        <w:t>La matrice relie chaque contrainte du mandat aux choix de conception qui la prennent en charge, aux risques correspondants et au moyen de vérification. Elle constitue la grille permettant de vérifier qu’aucune contrainte n’est restée sans traitement.</w:t>
      </w:r>
      <w:bookmarkEnd w:id="415"/>
    </w:p>
    <w:p w14:paraId="695009AC" w14:textId="77777777" w:rsidR="00F50D70" w:rsidRPr="00BE4F47" w:rsidRDefault="00F50D70" w:rsidP="008E113B">
      <w:pPr>
        <w:spacing w:line="360" w:lineRule="auto"/>
        <w:ind w:left="425"/>
        <w:rPr>
          <w:rFonts w:ascii="Aptos" w:eastAsia="Calibri" w:hAnsi="Aptos" w:cs="Calibri"/>
          <w:color w:val="1A1A19"/>
          <w:sz w:val="20"/>
          <w:szCs w:val="20"/>
        </w:rPr>
      </w:pPr>
    </w:p>
    <w:p w14:paraId="3E8FF668" w14:textId="77777777" w:rsidR="00F50D70" w:rsidRPr="00BE4F47" w:rsidRDefault="00000000" w:rsidP="008E113B">
      <w:pPr>
        <w:pStyle w:val="Lgende"/>
        <w:spacing w:line="360" w:lineRule="auto"/>
        <w:rPr>
          <w:rFonts w:ascii="Aptos" w:hAnsi="Aptos"/>
        </w:rPr>
      </w:pPr>
      <w:bookmarkStart w:id="416" w:name="_Toc241083111"/>
      <w:r w:rsidRPr="00BE4F47">
        <w:rPr>
          <w:rFonts w:ascii="Aptos" w:hAnsi="Aptos"/>
        </w:rPr>
        <w:t>Tableau 7-8. Matrice de couverture des contraintes du mandat</w:t>
      </w:r>
      <w:bookmarkEnd w:id="416"/>
    </w:p>
    <w:tbl>
      <w:tblPr>
        <w:tblW w:w="8732" w:type="dxa"/>
        <w:tblLayout w:type="fixed"/>
        <w:tblCellMar>
          <w:top w:w="55" w:type="dxa"/>
          <w:left w:w="85" w:type="dxa"/>
          <w:bottom w:w="55" w:type="dxa"/>
          <w:right w:w="85" w:type="dxa"/>
        </w:tblCellMar>
        <w:tblLook w:val="04A0" w:firstRow="1" w:lastRow="0" w:firstColumn="1" w:lastColumn="0" w:noHBand="0" w:noVBand="1"/>
      </w:tblPr>
      <w:tblGrid>
        <w:gridCol w:w="2200"/>
        <w:gridCol w:w="2380"/>
        <w:gridCol w:w="1500"/>
        <w:gridCol w:w="1480"/>
        <w:gridCol w:w="1172"/>
      </w:tblGrid>
      <w:tr w:rsidR="00F50D70" w:rsidRPr="00BE4F47" w14:paraId="18CE0092"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EFF4FB"/>
          </w:tcPr>
          <w:p w14:paraId="33ECD55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lastRenderedPageBreak/>
              <w:t>Contrainte du mandat</w:t>
            </w:r>
          </w:p>
        </w:tc>
        <w:tc>
          <w:tcPr>
            <w:tcW w:w="2380" w:type="dxa"/>
            <w:tcBorders>
              <w:top w:val="single" w:sz="4" w:space="0" w:color="000000"/>
              <w:left w:val="single" w:sz="4" w:space="0" w:color="000000"/>
              <w:bottom w:val="single" w:sz="4" w:space="0" w:color="000000"/>
              <w:right w:val="single" w:sz="4" w:space="0" w:color="000000"/>
            </w:tcBorders>
            <w:shd w:val="clear" w:color="auto" w:fill="EFF4FB"/>
          </w:tcPr>
          <w:p w14:paraId="1FC1311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Prise en compte</w:t>
            </w:r>
          </w:p>
        </w:tc>
        <w:tc>
          <w:tcPr>
            <w:tcW w:w="1500" w:type="dxa"/>
            <w:tcBorders>
              <w:top w:val="single" w:sz="4" w:space="0" w:color="000000"/>
              <w:left w:val="single" w:sz="4" w:space="0" w:color="000000"/>
              <w:bottom w:val="single" w:sz="4" w:space="0" w:color="000000"/>
              <w:right w:val="single" w:sz="4" w:space="0" w:color="000000"/>
            </w:tcBorders>
            <w:shd w:val="clear" w:color="auto" w:fill="EFF4FB"/>
          </w:tcPr>
          <w:p w14:paraId="5185FC7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Exigence</w:t>
            </w:r>
          </w:p>
        </w:tc>
        <w:tc>
          <w:tcPr>
            <w:tcW w:w="1480" w:type="dxa"/>
            <w:tcBorders>
              <w:top w:val="single" w:sz="4" w:space="0" w:color="000000"/>
              <w:left w:val="single" w:sz="4" w:space="0" w:color="000000"/>
              <w:bottom w:val="single" w:sz="4" w:space="0" w:color="000000"/>
              <w:right w:val="single" w:sz="4" w:space="0" w:color="000000"/>
            </w:tcBorders>
            <w:shd w:val="clear" w:color="auto" w:fill="EFF4FB"/>
          </w:tcPr>
          <w:p w14:paraId="1C32BC9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associé</w:t>
            </w:r>
          </w:p>
        </w:tc>
        <w:tc>
          <w:tcPr>
            <w:tcW w:w="1172" w:type="dxa"/>
            <w:tcBorders>
              <w:top w:val="single" w:sz="4" w:space="0" w:color="000000"/>
              <w:left w:val="single" w:sz="4" w:space="0" w:color="000000"/>
              <w:bottom w:val="single" w:sz="4" w:space="0" w:color="000000"/>
              <w:right w:val="single" w:sz="4" w:space="0" w:color="000000"/>
            </w:tcBorders>
            <w:shd w:val="clear" w:color="auto" w:fill="EFF4FB"/>
          </w:tcPr>
          <w:p w14:paraId="6179CD8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Moyen de vérification</w:t>
            </w:r>
          </w:p>
        </w:tc>
      </w:tr>
      <w:tr w:rsidR="00F50D70" w:rsidRPr="00BE4F47" w14:paraId="76D3BFE1"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31F89CA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 xml:space="preserve">Prototype limité à une boucle </w:t>
            </w:r>
            <w:proofErr w:type="spellStart"/>
            <w:r w:rsidRPr="00BE4F47">
              <w:rPr>
                <w:rFonts w:ascii="Aptos" w:eastAsia="Calibri" w:hAnsi="Aptos" w:cs="Calibri"/>
                <w:color w:val="1A1A19"/>
                <w:sz w:val="15"/>
                <w:szCs w:val="15"/>
                <w:lang w:val="fr-FR"/>
              </w:rPr>
              <w:t>thermohydraulique</w:t>
            </w:r>
            <w:proofErr w:type="spellEnd"/>
            <w:r w:rsidRPr="00BE4F47">
              <w:rPr>
                <w:rFonts w:ascii="Aptos" w:eastAsia="Calibri" w:hAnsi="Aptos" w:cs="Calibri"/>
                <w:color w:val="1A1A19"/>
                <w:sz w:val="15"/>
                <w:szCs w:val="15"/>
                <w:lang w:val="fr-FR"/>
              </w:rPr>
              <w:t xml:space="preserve"> simplifiée</w:t>
            </w:r>
          </w:p>
        </w:tc>
        <w:tc>
          <w:tcPr>
            <w:tcW w:w="2380" w:type="dxa"/>
            <w:tcBorders>
              <w:top w:val="single" w:sz="4" w:space="0" w:color="000000"/>
              <w:left w:val="single" w:sz="4" w:space="0" w:color="000000"/>
              <w:bottom w:val="single" w:sz="4" w:space="0" w:color="000000"/>
              <w:right w:val="single" w:sz="4" w:space="0" w:color="000000"/>
            </w:tcBorders>
          </w:tcPr>
          <w:p w14:paraId="299FAF8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Périmètre limité à la température, la pression et le débit</w:t>
            </w:r>
          </w:p>
        </w:tc>
        <w:tc>
          <w:tcPr>
            <w:tcW w:w="1500" w:type="dxa"/>
            <w:tcBorders>
              <w:top w:val="single" w:sz="4" w:space="0" w:color="000000"/>
              <w:left w:val="single" w:sz="4" w:space="0" w:color="000000"/>
              <w:bottom w:val="single" w:sz="4" w:space="0" w:color="000000"/>
              <w:right w:val="single" w:sz="4" w:space="0" w:color="000000"/>
            </w:tcBorders>
          </w:tcPr>
          <w:p w14:paraId="6E1DB29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EX-F-01</w:t>
            </w:r>
          </w:p>
        </w:tc>
        <w:tc>
          <w:tcPr>
            <w:tcW w:w="1480" w:type="dxa"/>
            <w:tcBorders>
              <w:top w:val="single" w:sz="4" w:space="0" w:color="000000"/>
              <w:left w:val="single" w:sz="4" w:space="0" w:color="000000"/>
              <w:bottom w:val="single" w:sz="4" w:space="0" w:color="000000"/>
              <w:right w:val="single" w:sz="4" w:space="0" w:color="000000"/>
            </w:tcBorders>
          </w:tcPr>
          <w:p w14:paraId="0459684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RP3</w:t>
            </w:r>
          </w:p>
        </w:tc>
        <w:tc>
          <w:tcPr>
            <w:tcW w:w="1172" w:type="dxa"/>
            <w:tcBorders>
              <w:top w:val="single" w:sz="4" w:space="0" w:color="000000"/>
              <w:left w:val="single" w:sz="4" w:space="0" w:color="000000"/>
              <w:bottom w:val="single" w:sz="4" w:space="0" w:color="000000"/>
              <w:right w:val="single" w:sz="4" w:space="0" w:color="000000"/>
            </w:tcBorders>
          </w:tcPr>
          <w:p w14:paraId="75025DC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des exigences et de l’architecture</w:t>
            </w:r>
          </w:p>
        </w:tc>
      </w:tr>
      <w:tr w:rsidR="00F50D70" w:rsidRPr="00BE4F47" w14:paraId="59F53A4D"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347503D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Environnement numérique simulé</w:t>
            </w:r>
          </w:p>
        </w:tc>
        <w:tc>
          <w:tcPr>
            <w:tcW w:w="2380" w:type="dxa"/>
            <w:tcBorders>
              <w:top w:val="single" w:sz="4" w:space="0" w:color="000000"/>
              <w:left w:val="single" w:sz="4" w:space="0" w:color="000000"/>
              <w:bottom w:val="single" w:sz="4" w:space="0" w:color="000000"/>
              <w:right w:val="single" w:sz="4" w:space="0" w:color="000000"/>
            </w:tcBorders>
          </w:tcPr>
          <w:p w14:paraId="0822092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Emploi d’un modèle de référence numérique</w:t>
            </w:r>
          </w:p>
        </w:tc>
        <w:tc>
          <w:tcPr>
            <w:tcW w:w="1500" w:type="dxa"/>
            <w:tcBorders>
              <w:top w:val="single" w:sz="4" w:space="0" w:color="000000"/>
              <w:left w:val="single" w:sz="4" w:space="0" w:color="000000"/>
              <w:bottom w:val="single" w:sz="4" w:space="0" w:color="000000"/>
              <w:right w:val="single" w:sz="4" w:space="0" w:color="000000"/>
            </w:tcBorders>
          </w:tcPr>
          <w:p w14:paraId="1CC51AA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EX-C-02</w:t>
            </w:r>
          </w:p>
        </w:tc>
        <w:tc>
          <w:tcPr>
            <w:tcW w:w="1480" w:type="dxa"/>
            <w:tcBorders>
              <w:top w:val="single" w:sz="4" w:space="0" w:color="000000"/>
              <w:left w:val="single" w:sz="4" w:space="0" w:color="000000"/>
              <w:bottom w:val="single" w:sz="4" w:space="0" w:color="000000"/>
              <w:right w:val="single" w:sz="4" w:space="0" w:color="000000"/>
            </w:tcBorders>
          </w:tcPr>
          <w:p w14:paraId="509BF5B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RP3</w:t>
            </w:r>
          </w:p>
        </w:tc>
        <w:tc>
          <w:tcPr>
            <w:tcW w:w="1172" w:type="dxa"/>
            <w:tcBorders>
              <w:top w:val="single" w:sz="4" w:space="0" w:color="000000"/>
              <w:left w:val="single" w:sz="4" w:space="0" w:color="000000"/>
              <w:bottom w:val="single" w:sz="4" w:space="0" w:color="000000"/>
              <w:right w:val="single" w:sz="4" w:space="0" w:color="000000"/>
            </w:tcBorders>
          </w:tcPr>
          <w:p w14:paraId="0A2F770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de conception</w:t>
            </w:r>
          </w:p>
        </w:tc>
      </w:tr>
      <w:tr w:rsidR="00F50D70" w:rsidRPr="00BE4F47" w14:paraId="21EB0E79"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2FCA8D1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 xml:space="preserve">Absence de banc </w:t>
            </w:r>
            <w:proofErr w:type="spellStart"/>
            <w:r w:rsidRPr="00BE4F47">
              <w:rPr>
                <w:rFonts w:ascii="Aptos" w:eastAsia="Calibri" w:hAnsi="Aptos" w:cs="Calibri"/>
                <w:color w:val="1A1A19"/>
                <w:sz w:val="15"/>
                <w:szCs w:val="15"/>
                <w:lang w:val="fr-FR"/>
              </w:rPr>
              <w:t>thermohydraulique</w:t>
            </w:r>
            <w:proofErr w:type="spellEnd"/>
            <w:r w:rsidRPr="00BE4F47">
              <w:rPr>
                <w:rFonts w:ascii="Aptos" w:eastAsia="Calibri" w:hAnsi="Aptos" w:cs="Calibri"/>
                <w:color w:val="1A1A19"/>
                <w:sz w:val="15"/>
                <w:szCs w:val="15"/>
                <w:lang w:val="fr-FR"/>
              </w:rPr>
              <w:t xml:space="preserve"> physique</w:t>
            </w:r>
          </w:p>
        </w:tc>
        <w:tc>
          <w:tcPr>
            <w:tcW w:w="2380" w:type="dxa"/>
            <w:tcBorders>
              <w:top w:val="single" w:sz="4" w:space="0" w:color="000000"/>
              <w:left w:val="single" w:sz="4" w:space="0" w:color="000000"/>
              <w:bottom w:val="single" w:sz="4" w:space="0" w:color="000000"/>
              <w:right w:val="single" w:sz="4" w:space="0" w:color="000000"/>
            </w:tcBorders>
          </w:tcPr>
          <w:p w14:paraId="0894760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Aucun achat ni développement de banc prévu</w:t>
            </w:r>
          </w:p>
        </w:tc>
        <w:tc>
          <w:tcPr>
            <w:tcW w:w="1500" w:type="dxa"/>
            <w:tcBorders>
              <w:top w:val="single" w:sz="4" w:space="0" w:color="000000"/>
              <w:left w:val="single" w:sz="4" w:space="0" w:color="000000"/>
              <w:bottom w:val="single" w:sz="4" w:space="0" w:color="000000"/>
              <w:right w:val="single" w:sz="4" w:space="0" w:color="000000"/>
            </w:tcBorders>
          </w:tcPr>
          <w:p w14:paraId="4280412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EX-C-02</w:t>
            </w:r>
          </w:p>
        </w:tc>
        <w:tc>
          <w:tcPr>
            <w:tcW w:w="1480" w:type="dxa"/>
            <w:tcBorders>
              <w:top w:val="single" w:sz="4" w:space="0" w:color="000000"/>
              <w:left w:val="single" w:sz="4" w:space="0" w:color="000000"/>
              <w:bottom w:val="single" w:sz="4" w:space="0" w:color="000000"/>
              <w:right w:val="single" w:sz="4" w:space="0" w:color="000000"/>
            </w:tcBorders>
          </w:tcPr>
          <w:p w14:paraId="4D5177B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RP3</w:t>
            </w:r>
          </w:p>
        </w:tc>
        <w:tc>
          <w:tcPr>
            <w:tcW w:w="1172" w:type="dxa"/>
            <w:tcBorders>
              <w:top w:val="single" w:sz="4" w:space="0" w:color="000000"/>
              <w:left w:val="single" w:sz="4" w:space="0" w:color="000000"/>
              <w:bottom w:val="single" w:sz="4" w:space="0" w:color="000000"/>
              <w:right w:val="single" w:sz="4" w:space="0" w:color="000000"/>
            </w:tcBorders>
          </w:tcPr>
          <w:p w14:paraId="496AD14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du périmètre au jalon J1</w:t>
            </w:r>
          </w:p>
        </w:tc>
      </w:tr>
      <w:tr w:rsidR="00F50D70" w:rsidRPr="00BE4F47" w14:paraId="62EAD415"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5196F99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Enveloppe maximale de 1 080 h</w:t>
            </w:r>
          </w:p>
        </w:tc>
        <w:tc>
          <w:tcPr>
            <w:tcW w:w="2380" w:type="dxa"/>
            <w:tcBorders>
              <w:top w:val="single" w:sz="4" w:space="0" w:color="000000"/>
              <w:left w:val="single" w:sz="4" w:space="0" w:color="000000"/>
              <w:bottom w:val="single" w:sz="4" w:space="0" w:color="000000"/>
              <w:right w:val="single" w:sz="4" w:space="0" w:color="000000"/>
            </w:tcBorders>
          </w:tcPr>
          <w:p w14:paraId="27F21A8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Planification et suivi des heures par lot</w:t>
            </w:r>
          </w:p>
        </w:tc>
        <w:tc>
          <w:tcPr>
            <w:tcW w:w="1500" w:type="dxa"/>
            <w:tcBorders>
              <w:top w:val="single" w:sz="4" w:space="0" w:color="000000"/>
              <w:left w:val="single" w:sz="4" w:space="0" w:color="000000"/>
              <w:bottom w:val="single" w:sz="4" w:space="0" w:color="000000"/>
              <w:right w:val="single" w:sz="4" w:space="0" w:color="000000"/>
            </w:tcBorders>
          </w:tcPr>
          <w:p w14:paraId="0DF1875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w:t>
            </w:r>
          </w:p>
        </w:tc>
        <w:tc>
          <w:tcPr>
            <w:tcW w:w="1480" w:type="dxa"/>
            <w:tcBorders>
              <w:top w:val="single" w:sz="4" w:space="0" w:color="000000"/>
              <w:left w:val="single" w:sz="4" w:space="0" w:color="000000"/>
              <w:bottom w:val="single" w:sz="4" w:space="0" w:color="000000"/>
              <w:right w:val="single" w:sz="4" w:space="0" w:color="000000"/>
            </w:tcBorders>
          </w:tcPr>
          <w:p w14:paraId="05E2C31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RP2</w:t>
            </w:r>
          </w:p>
        </w:tc>
        <w:tc>
          <w:tcPr>
            <w:tcW w:w="1172" w:type="dxa"/>
            <w:tcBorders>
              <w:top w:val="single" w:sz="4" w:space="0" w:color="000000"/>
              <w:left w:val="single" w:sz="4" w:space="0" w:color="000000"/>
              <w:bottom w:val="single" w:sz="4" w:space="0" w:color="000000"/>
              <w:right w:val="single" w:sz="4" w:space="0" w:color="000000"/>
            </w:tcBorders>
          </w:tcPr>
          <w:p w14:paraId="67632E0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Suivi périodique de la consommation</w:t>
            </w:r>
          </w:p>
        </w:tc>
      </w:tr>
      <w:tr w:rsidR="00F50D70" w:rsidRPr="00BE4F47" w14:paraId="0BCF705D"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65D7134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Maintien des activités de V&amp;V</w:t>
            </w:r>
          </w:p>
        </w:tc>
        <w:tc>
          <w:tcPr>
            <w:tcW w:w="2380" w:type="dxa"/>
            <w:tcBorders>
              <w:top w:val="single" w:sz="4" w:space="0" w:color="000000"/>
              <w:left w:val="single" w:sz="4" w:space="0" w:color="000000"/>
              <w:bottom w:val="single" w:sz="4" w:space="0" w:color="000000"/>
              <w:right w:val="single" w:sz="4" w:space="0" w:color="000000"/>
            </w:tcBorders>
          </w:tcPr>
          <w:p w14:paraId="070B68F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Réduction prioritaire du contenu ajustable si les ressources deviennent insuffisantes</w:t>
            </w:r>
          </w:p>
        </w:tc>
        <w:tc>
          <w:tcPr>
            <w:tcW w:w="1500" w:type="dxa"/>
            <w:tcBorders>
              <w:top w:val="single" w:sz="4" w:space="0" w:color="000000"/>
              <w:left w:val="single" w:sz="4" w:space="0" w:color="000000"/>
              <w:bottom w:val="single" w:sz="4" w:space="0" w:color="000000"/>
              <w:right w:val="single" w:sz="4" w:space="0" w:color="000000"/>
            </w:tcBorders>
          </w:tcPr>
          <w:p w14:paraId="5BC7250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w:t>
            </w:r>
          </w:p>
        </w:tc>
        <w:tc>
          <w:tcPr>
            <w:tcW w:w="1480" w:type="dxa"/>
            <w:tcBorders>
              <w:top w:val="single" w:sz="4" w:space="0" w:color="000000"/>
              <w:left w:val="single" w:sz="4" w:space="0" w:color="000000"/>
              <w:bottom w:val="single" w:sz="4" w:space="0" w:color="000000"/>
              <w:right w:val="single" w:sz="4" w:space="0" w:color="000000"/>
            </w:tcBorders>
          </w:tcPr>
          <w:p w14:paraId="01E427B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RP1, RP2</w:t>
            </w:r>
          </w:p>
        </w:tc>
        <w:tc>
          <w:tcPr>
            <w:tcW w:w="1172" w:type="dxa"/>
            <w:tcBorders>
              <w:top w:val="single" w:sz="4" w:space="0" w:color="000000"/>
              <w:left w:val="single" w:sz="4" w:space="0" w:color="000000"/>
              <w:bottom w:val="single" w:sz="4" w:space="0" w:color="000000"/>
              <w:right w:val="single" w:sz="4" w:space="0" w:color="000000"/>
            </w:tcBorders>
          </w:tcPr>
          <w:p w14:paraId="28D4EE8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Plan et rapport de V&amp;V</w:t>
            </w:r>
          </w:p>
        </w:tc>
      </w:tr>
      <w:tr w:rsidR="00F50D70" w:rsidRPr="00BE4F47" w14:paraId="5349BDEA"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3016568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Surveillance de la température, de la pression et du débit</w:t>
            </w:r>
          </w:p>
        </w:tc>
        <w:tc>
          <w:tcPr>
            <w:tcW w:w="2380" w:type="dxa"/>
            <w:tcBorders>
              <w:top w:val="single" w:sz="4" w:space="0" w:color="000000"/>
              <w:left w:val="single" w:sz="4" w:space="0" w:color="000000"/>
              <w:bottom w:val="single" w:sz="4" w:space="0" w:color="000000"/>
              <w:right w:val="single" w:sz="4" w:space="0" w:color="000000"/>
            </w:tcBorders>
          </w:tcPr>
          <w:p w14:paraId="64037D5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Variables intégrées au modèle et aux scénarios d’essais</w:t>
            </w:r>
          </w:p>
        </w:tc>
        <w:tc>
          <w:tcPr>
            <w:tcW w:w="1500" w:type="dxa"/>
            <w:tcBorders>
              <w:top w:val="single" w:sz="4" w:space="0" w:color="000000"/>
              <w:left w:val="single" w:sz="4" w:space="0" w:color="000000"/>
              <w:bottom w:val="single" w:sz="4" w:space="0" w:color="000000"/>
              <w:right w:val="single" w:sz="4" w:space="0" w:color="000000"/>
            </w:tcBorders>
          </w:tcPr>
          <w:p w14:paraId="74EB96A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EX-F-01, EX-F-03</w:t>
            </w:r>
          </w:p>
        </w:tc>
        <w:tc>
          <w:tcPr>
            <w:tcW w:w="1480" w:type="dxa"/>
            <w:tcBorders>
              <w:top w:val="single" w:sz="4" w:space="0" w:color="000000"/>
              <w:left w:val="single" w:sz="4" w:space="0" w:color="000000"/>
              <w:bottom w:val="single" w:sz="4" w:space="0" w:color="000000"/>
              <w:right w:val="single" w:sz="4" w:space="0" w:color="000000"/>
            </w:tcBorders>
          </w:tcPr>
          <w:p w14:paraId="0CFFFCD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RT1 à RT3</w:t>
            </w:r>
          </w:p>
        </w:tc>
        <w:tc>
          <w:tcPr>
            <w:tcW w:w="1172" w:type="dxa"/>
            <w:tcBorders>
              <w:top w:val="single" w:sz="4" w:space="0" w:color="000000"/>
              <w:left w:val="single" w:sz="4" w:space="0" w:color="000000"/>
              <w:bottom w:val="single" w:sz="4" w:space="0" w:color="000000"/>
              <w:right w:val="single" w:sz="4" w:space="0" w:color="000000"/>
            </w:tcBorders>
          </w:tcPr>
          <w:p w14:paraId="539341A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Campagne d’essais</w:t>
            </w:r>
          </w:p>
        </w:tc>
      </w:tr>
      <w:tr w:rsidR="00F50D70" w:rsidRPr="00BE4F47" w14:paraId="30A008E3"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4F07A09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Détection des anomalies</w:t>
            </w:r>
          </w:p>
        </w:tc>
        <w:tc>
          <w:tcPr>
            <w:tcW w:w="2380" w:type="dxa"/>
            <w:tcBorders>
              <w:top w:val="single" w:sz="4" w:space="0" w:color="000000"/>
              <w:left w:val="single" w:sz="4" w:space="0" w:color="000000"/>
              <w:bottom w:val="single" w:sz="4" w:space="0" w:color="000000"/>
              <w:right w:val="single" w:sz="4" w:space="0" w:color="000000"/>
            </w:tcBorders>
          </w:tcPr>
          <w:p w14:paraId="72A8678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Comparaison entre comportement observé et comportement attendu</w:t>
            </w:r>
          </w:p>
        </w:tc>
        <w:tc>
          <w:tcPr>
            <w:tcW w:w="1500" w:type="dxa"/>
            <w:tcBorders>
              <w:top w:val="single" w:sz="4" w:space="0" w:color="000000"/>
              <w:left w:val="single" w:sz="4" w:space="0" w:color="000000"/>
              <w:bottom w:val="single" w:sz="4" w:space="0" w:color="000000"/>
              <w:right w:val="single" w:sz="4" w:space="0" w:color="000000"/>
            </w:tcBorders>
          </w:tcPr>
          <w:p w14:paraId="419828A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EX-F-03, EX-F-05</w:t>
            </w:r>
          </w:p>
        </w:tc>
        <w:tc>
          <w:tcPr>
            <w:tcW w:w="1480" w:type="dxa"/>
            <w:tcBorders>
              <w:top w:val="single" w:sz="4" w:space="0" w:color="000000"/>
              <w:left w:val="single" w:sz="4" w:space="0" w:color="000000"/>
              <w:bottom w:val="single" w:sz="4" w:space="0" w:color="000000"/>
              <w:right w:val="single" w:sz="4" w:space="0" w:color="000000"/>
            </w:tcBorders>
          </w:tcPr>
          <w:p w14:paraId="055CE96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RT4 à RT6</w:t>
            </w:r>
          </w:p>
        </w:tc>
        <w:tc>
          <w:tcPr>
            <w:tcW w:w="1172" w:type="dxa"/>
            <w:tcBorders>
              <w:top w:val="single" w:sz="4" w:space="0" w:color="000000"/>
              <w:left w:val="single" w:sz="4" w:space="0" w:color="000000"/>
              <w:bottom w:val="single" w:sz="4" w:space="0" w:color="000000"/>
              <w:right w:val="single" w:sz="4" w:space="0" w:color="000000"/>
            </w:tcBorders>
          </w:tcPr>
          <w:p w14:paraId="5872367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Essais en conditions normales et anormales</w:t>
            </w:r>
          </w:p>
        </w:tc>
      </w:tr>
      <w:tr w:rsidR="00F50D70" w:rsidRPr="00BE4F47" w14:paraId="08B02273"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0681B2E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Gestion des données incorrectes ou indisponibles</w:t>
            </w:r>
          </w:p>
        </w:tc>
        <w:tc>
          <w:tcPr>
            <w:tcW w:w="2380" w:type="dxa"/>
            <w:tcBorders>
              <w:top w:val="single" w:sz="4" w:space="0" w:color="000000"/>
              <w:left w:val="single" w:sz="4" w:space="0" w:color="000000"/>
              <w:bottom w:val="single" w:sz="4" w:space="0" w:color="000000"/>
              <w:right w:val="single" w:sz="4" w:space="0" w:color="000000"/>
            </w:tcBorders>
          </w:tcPr>
          <w:p w14:paraId="38B8F18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Détection des incohérences et signalement de l’incertitude</w:t>
            </w:r>
          </w:p>
        </w:tc>
        <w:tc>
          <w:tcPr>
            <w:tcW w:w="1500" w:type="dxa"/>
            <w:tcBorders>
              <w:top w:val="single" w:sz="4" w:space="0" w:color="000000"/>
              <w:left w:val="single" w:sz="4" w:space="0" w:color="000000"/>
              <w:bottom w:val="single" w:sz="4" w:space="0" w:color="000000"/>
              <w:right w:val="single" w:sz="4" w:space="0" w:color="000000"/>
            </w:tcBorders>
          </w:tcPr>
          <w:p w14:paraId="2A15B47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EX-F-06</w:t>
            </w:r>
          </w:p>
        </w:tc>
        <w:tc>
          <w:tcPr>
            <w:tcW w:w="1480" w:type="dxa"/>
            <w:tcBorders>
              <w:top w:val="single" w:sz="4" w:space="0" w:color="000000"/>
              <w:left w:val="single" w:sz="4" w:space="0" w:color="000000"/>
              <w:bottom w:val="single" w:sz="4" w:space="0" w:color="000000"/>
              <w:right w:val="single" w:sz="4" w:space="0" w:color="000000"/>
            </w:tcBorders>
          </w:tcPr>
          <w:p w14:paraId="1DB7E69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RT1, RT2</w:t>
            </w:r>
          </w:p>
        </w:tc>
        <w:tc>
          <w:tcPr>
            <w:tcW w:w="1172" w:type="dxa"/>
            <w:tcBorders>
              <w:top w:val="single" w:sz="4" w:space="0" w:color="000000"/>
              <w:left w:val="single" w:sz="4" w:space="0" w:color="000000"/>
              <w:bottom w:val="single" w:sz="4" w:space="0" w:color="000000"/>
              <w:right w:val="single" w:sz="4" w:space="0" w:color="000000"/>
            </w:tcBorders>
          </w:tcPr>
          <w:p w14:paraId="3316B1C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Injection de données erronées ou manquantes</w:t>
            </w:r>
          </w:p>
        </w:tc>
      </w:tr>
      <w:tr w:rsidR="00F50D70" w:rsidRPr="00BE4F47" w14:paraId="77A16173"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68265DD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Cybersécurité du prototype</w:t>
            </w:r>
          </w:p>
        </w:tc>
        <w:tc>
          <w:tcPr>
            <w:tcW w:w="2380" w:type="dxa"/>
            <w:tcBorders>
              <w:top w:val="single" w:sz="4" w:space="0" w:color="000000"/>
              <w:left w:val="single" w:sz="4" w:space="0" w:color="000000"/>
              <w:bottom w:val="single" w:sz="4" w:space="0" w:color="000000"/>
              <w:right w:val="single" w:sz="4" w:space="0" w:color="000000"/>
            </w:tcBorders>
          </w:tcPr>
          <w:p w14:paraId="22EB90B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Contrôle d’accès, intégrité, journalisation et moindre privilège</w:t>
            </w:r>
          </w:p>
        </w:tc>
        <w:tc>
          <w:tcPr>
            <w:tcW w:w="1500" w:type="dxa"/>
            <w:tcBorders>
              <w:top w:val="single" w:sz="4" w:space="0" w:color="000000"/>
              <w:left w:val="single" w:sz="4" w:space="0" w:color="000000"/>
              <w:bottom w:val="single" w:sz="4" w:space="0" w:color="000000"/>
              <w:right w:val="single" w:sz="4" w:space="0" w:color="000000"/>
            </w:tcBorders>
          </w:tcPr>
          <w:p w14:paraId="421BCDD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EX-Q-04</w:t>
            </w:r>
          </w:p>
        </w:tc>
        <w:tc>
          <w:tcPr>
            <w:tcW w:w="1480" w:type="dxa"/>
            <w:tcBorders>
              <w:top w:val="single" w:sz="4" w:space="0" w:color="000000"/>
              <w:left w:val="single" w:sz="4" w:space="0" w:color="000000"/>
              <w:bottom w:val="single" w:sz="4" w:space="0" w:color="000000"/>
              <w:right w:val="single" w:sz="4" w:space="0" w:color="000000"/>
            </w:tcBorders>
          </w:tcPr>
          <w:p w14:paraId="3FB499A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RT7, RT8</w:t>
            </w:r>
          </w:p>
        </w:tc>
        <w:tc>
          <w:tcPr>
            <w:tcW w:w="1172" w:type="dxa"/>
            <w:tcBorders>
              <w:top w:val="single" w:sz="4" w:space="0" w:color="000000"/>
              <w:left w:val="single" w:sz="4" w:space="0" w:color="000000"/>
              <w:bottom w:val="single" w:sz="4" w:space="0" w:color="000000"/>
              <w:right w:val="single" w:sz="4" w:space="0" w:color="000000"/>
            </w:tcBorders>
          </w:tcPr>
          <w:p w14:paraId="0E769E3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et essais de sécurité</w:t>
            </w:r>
          </w:p>
        </w:tc>
      </w:tr>
      <w:tr w:rsidR="00F50D70" w:rsidRPr="00BE4F47" w14:paraId="171446FF"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05246A1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Résilience et disponibilité</w:t>
            </w:r>
          </w:p>
        </w:tc>
        <w:tc>
          <w:tcPr>
            <w:tcW w:w="2380" w:type="dxa"/>
            <w:tcBorders>
              <w:top w:val="single" w:sz="4" w:space="0" w:color="000000"/>
              <w:left w:val="single" w:sz="4" w:space="0" w:color="000000"/>
              <w:bottom w:val="single" w:sz="4" w:space="0" w:color="000000"/>
              <w:right w:val="single" w:sz="4" w:space="0" w:color="000000"/>
            </w:tcBorders>
          </w:tcPr>
          <w:p w14:paraId="6106009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Sauvegarde, récupération et surveillance</w:t>
            </w:r>
          </w:p>
        </w:tc>
        <w:tc>
          <w:tcPr>
            <w:tcW w:w="1500" w:type="dxa"/>
            <w:tcBorders>
              <w:top w:val="single" w:sz="4" w:space="0" w:color="000000"/>
              <w:left w:val="single" w:sz="4" w:space="0" w:color="000000"/>
              <w:bottom w:val="single" w:sz="4" w:space="0" w:color="000000"/>
              <w:right w:val="single" w:sz="4" w:space="0" w:color="000000"/>
            </w:tcBorders>
          </w:tcPr>
          <w:p w14:paraId="3E5188B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EX-Q-02</w:t>
            </w:r>
          </w:p>
        </w:tc>
        <w:tc>
          <w:tcPr>
            <w:tcW w:w="1480" w:type="dxa"/>
            <w:tcBorders>
              <w:top w:val="single" w:sz="4" w:space="0" w:color="000000"/>
              <w:left w:val="single" w:sz="4" w:space="0" w:color="000000"/>
              <w:bottom w:val="single" w:sz="4" w:space="0" w:color="000000"/>
              <w:right w:val="single" w:sz="4" w:space="0" w:color="000000"/>
            </w:tcBorders>
          </w:tcPr>
          <w:p w14:paraId="58F6582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RT9</w:t>
            </w:r>
          </w:p>
        </w:tc>
        <w:tc>
          <w:tcPr>
            <w:tcW w:w="1172" w:type="dxa"/>
            <w:tcBorders>
              <w:top w:val="single" w:sz="4" w:space="0" w:color="000000"/>
              <w:left w:val="single" w:sz="4" w:space="0" w:color="000000"/>
              <w:bottom w:val="single" w:sz="4" w:space="0" w:color="000000"/>
              <w:right w:val="single" w:sz="4" w:space="0" w:color="000000"/>
            </w:tcBorders>
          </w:tcPr>
          <w:p w14:paraId="7DA0A62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Essais de défaillance et de récupération</w:t>
            </w:r>
          </w:p>
        </w:tc>
      </w:tr>
      <w:tr w:rsidR="00F50D70" w:rsidRPr="00BE4F47" w14:paraId="6A742DCD"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7FF46A1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Interface d’aide à la décision compréhensible</w:t>
            </w:r>
          </w:p>
        </w:tc>
        <w:tc>
          <w:tcPr>
            <w:tcW w:w="2380" w:type="dxa"/>
            <w:tcBorders>
              <w:top w:val="single" w:sz="4" w:space="0" w:color="000000"/>
              <w:left w:val="single" w:sz="4" w:space="0" w:color="000000"/>
              <w:bottom w:val="single" w:sz="4" w:space="0" w:color="000000"/>
              <w:right w:val="single" w:sz="4" w:space="0" w:color="000000"/>
            </w:tcBorders>
          </w:tcPr>
          <w:p w14:paraId="5E97032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Présentation des variables contributives et du niveau de confiance</w:t>
            </w:r>
          </w:p>
        </w:tc>
        <w:tc>
          <w:tcPr>
            <w:tcW w:w="1500" w:type="dxa"/>
            <w:tcBorders>
              <w:top w:val="single" w:sz="4" w:space="0" w:color="000000"/>
              <w:left w:val="single" w:sz="4" w:space="0" w:color="000000"/>
              <w:bottom w:val="single" w:sz="4" w:space="0" w:color="000000"/>
              <w:right w:val="single" w:sz="4" w:space="0" w:color="000000"/>
            </w:tcBorders>
          </w:tcPr>
          <w:p w14:paraId="62616A8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EX-F-04, EX-F-05, EX-F-07</w:t>
            </w:r>
          </w:p>
        </w:tc>
        <w:tc>
          <w:tcPr>
            <w:tcW w:w="1480" w:type="dxa"/>
            <w:tcBorders>
              <w:top w:val="single" w:sz="4" w:space="0" w:color="000000"/>
              <w:left w:val="single" w:sz="4" w:space="0" w:color="000000"/>
              <w:bottom w:val="single" w:sz="4" w:space="0" w:color="000000"/>
              <w:right w:val="single" w:sz="4" w:space="0" w:color="000000"/>
            </w:tcBorders>
          </w:tcPr>
          <w:p w14:paraId="4E418C9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RT10</w:t>
            </w:r>
          </w:p>
        </w:tc>
        <w:tc>
          <w:tcPr>
            <w:tcW w:w="1172" w:type="dxa"/>
            <w:tcBorders>
              <w:top w:val="single" w:sz="4" w:space="0" w:color="000000"/>
              <w:left w:val="single" w:sz="4" w:space="0" w:color="000000"/>
              <w:bottom w:val="single" w:sz="4" w:space="0" w:color="000000"/>
              <w:right w:val="single" w:sz="4" w:space="0" w:color="000000"/>
            </w:tcBorders>
          </w:tcPr>
          <w:p w14:paraId="43BAA5B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Essai d’utilisabilité (EX-Q-03)</w:t>
            </w:r>
          </w:p>
        </w:tc>
      </w:tr>
      <w:tr w:rsidR="00F50D70" w:rsidRPr="00BE4F47" w14:paraId="046DBBA4"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060E06E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Décision finale sous responsabilité humaine</w:t>
            </w:r>
          </w:p>
        </w:tc>
        <w:tc>
          <w:tcPr>
            <w:tcW w:w="2380" w:type="dxa"/>
            <w:tcBorders>
              <w:top w:val="single" w:sz="4" w:space="0" w:color="000000"/>
              <w:left w:val="single" w:sz="4" w:space="0" w:color="000000"/>
              <w:bottom w:val="single" w:sz="4" w:space="0" w:color="000000"/>
              <w:right w:val="single" w:sz="4" w:space="0" w:color="000000"/>
            </w:tcBorders>
          </w:tcPr>
          <w:p w14:paraId="632AFE2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Aucune commande automatique ; confirmation explicite pour le mode dégradé</w:t>
            </w:r>
          </w:p>
        </w:tc>
        <w:tc>
          <w:tcPr>
            <w:tcW w:w="1500" w:type="dxa"/>
            <w:tcBorders>
              <w:top w:val="single" w:sz="4" w:space="0" w:color="000000"/>
              <w:left w:val="single" w:sz="4" w:space="0" w:color="000000"/>
              <w:bottom w:val="single" w:sz="4" w:space="0" w:color="000000"/>
              <w:right w:val="single" w:sz="4" w:space="0" w:color="000000"/>
            </w:tcBorders>
          </w:tcPr>
          <w:p w14:paraId="0364967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EX-F-08, EX-F-09</w:t>
            </w:r>
          </w:p>
        </w:tc>
        <w:tc>
          <w:tcPr>
            <w:tcW w:w="1480" w:type="dxa"/>
            <w:tcBorders>
              <w:top w:val="single" w:sz="4" w:space="0" w:color="000000"/>
              <w:left w:val="single" w:sz="4" w:space="0" w:color="000000"/>
              <w:bottom w:val="single" w:sz="4" w:space="0" w:color="000000"/>
              <w:right w:val="single" w:sz="4" w:space="0" w:color="000000"/>
            </w:tcBorders>
          </w:tcPr>
          <w:p w14:paraId="44EC9EC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4.2, RT10</w:t>
            </w:r>
          </w:p>
        </w:tc>
        <w:tc>
          <w:tcPr>
            <w:tcW w:w="1172" w:type="dxa"/>
            <w:tcBorders>
              <w:top w:val="single" w:sz="4" w:space="0" w:color="000000"/>
              <w:left w:val="single" w:sz="4" w:space="0" w:color="000000"/>
              <w:bottom w:val="single" w:sz="4" w:space="0" w:color="000000"/>
              <w:right w:val="single" w:sz="4" w:space="0" w:color="000000"/>
            </w:tcBorders>
          </w:tcPr>
          <w:p w14:paraId="449432C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de code et inspection des sorties</w:t>
            </w:r>
          </w:p>
        </w:tc>
      </w:tr>
      <w:tr w:rsidR="00F50D70" w:rsidRPr="00BE4F47" w14:paraId="212B0065"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00C43BE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Traçabilité des événements</w:t>
            </w:r>
          </w:p>
        </w:tc>
        <w:tc>
          <w:tcPr>
            <w:tcW w:w="2380" w:type="dxa"/>
            <w:tcBorders>
              <w:top w:val="single" w:sz="4" w:space="0" w:color="000000"/>
              <w:left w:val="single" w:sz="4" w:space="0" w:color="000000"/>
              <w:bottom w:val="single" w:sz="4" w:space="0" w:color="000000"/>
              <w:right w:val="single" w:sz="4" w:space="0" w:color="000000"/>
            </w:tcBorders>
          </w:tcPr>
          <w:p w14:paraId="033ABEA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Journalisation horodatée des événements significatifs</w:t>
            </w:r>
          </w:p>
        </w:tc>
        <w:tc>
          <w:tcPr>
            <w:tcW w:w="1500" w:type="dxa"/>
            <w:tcBorders>
              <w:top w:val="single" w:sz="4" w:space="0" w:color="000000"/>
              <w:left w:val="single" w:sz="4" w:space="0" w:color="000000"/>
              <w:bottom w:val="single" w:sz="4" w:space="0" w:color="000000"/>
              <w:right w:val="single" w:sz="4" w:space="0" w:color="000000"/>
            </w:tcBorders>
          </w:tcPr>
          <w:p w14:paraId="7FB1975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EX-F-10</w:t>
            </w:r>
          </w:p>
        </w:tc>
        <w:tc>
          <w:tcPr>
            <w:tcW w:w="1480" w:type="dxa"/>
            <w:tcBorders>
              <w:top w:val="single" w:sz="4" w:space="0" w:color="000000"/>
              <w:left w:val="single" w:sz="4" w:space="0" w:color="000000"/>
              <w:bottom w:val="single" w:sz="4" w:space="0" w:color="000000"/>
              <w:right w:val="single" w:sz="4" w:space="0" w:color="000000"/>
            </w:tcBorders>
          </w:tcPr>
          <w:p w14:paraId="5B07B53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RT7, RT8</w:t>
            </w:r>
          </w:p>
        </w:tc>
        <w:tc>
          <w:tcPr>
            <w:tcW w:w="1172" w:type="dxa"/>
            <w:tcBorders>
              <w:top w:val="single" w:sz="4" w:space="0" w:color="000000"/>
              <w:left w:val="single" w:sz="4" w:space="0" w:color="000000"/>
              <w:bottom w:val="single" w:sz="4" w:space="0" w:color="000000"/>
              <w:right w:val="single" w:sz="4" w:space="0" w:color="000000"/>
            </w:tcBorders>
          </w:tcPr>
          <w:p w14:paraId="51BED62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Inspection des journaux lors des essais</w:t>
            </w:r>
          </w:p>
        </w:tc>
      </w:tr>
      <w:tr w:rsidR="00F50D70" w:rsidRPr="00BE4F47" w14:paraId="26360215"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09BAF53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Risques santé, sécurité et publics</w:t>
            </w:r>
          </w:p>
        </w:tc>
        <w:tc>
          <w:tcPr>
            <w:tcW w:w="2380" w:type="dxa"/>
            <w:tcBorders>
              <w:top w:val="single" w:sz="4" w:space="0" w:color="000000"/>
              <w:left w:val="single" w:sz="4" w:space="0" w:color="000000"/>
              <w:bottom w:val="single" w:sz="4" w:space="0" w:color="000000"/>
              <w:right w:val="single" w:sz="4" w:space="0" w:color="000000"/>
            </w:tcBorders>
          </w:tcPr>
          <w:p w14:paraId="645D0BC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Analyse de la chaîne menant du dysfonctionnement à la décision humaine</w:t>
            </w:r>
          </w:p>
        </w:tc>
        <w:tc>
          <w:tcPr>
            <w:tcW w:w="1500" w:type="dxa"/>
            <w:tcBorders>
              <w:top w:val="single" w:sz="4" w:space="0" w:color="000000"/>
              <w:left w:val="single" w:sz="4" w:space="0" w:color="000000"/>
              <w:bottom w:val="single" w:sz="4" w:space="0" w:color="000000"/>
              <w:right w:val="single" w:sz="4" w:space="0" w:color="000000"/>
            </w:tcBorders>
          </w:tcPr>
          <w:p w14:paraId="6098B25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EX-C-03</w:t>
            </w:r>
          </w:p>
        </w:tc>
        <w:tc>
          <w:tcPr>
            <w:tcW w:w="1480" w:type="dxa"/>
            <w:tcBorders>
              <w:top w:val="single" w:sz="4" w:space="0" w:color="000000"/>
              <w:left w:val="single" w:sz="4" w:space="0" w:color="000000"/>
              <w:bottom w:val="single" w:sz="4" w:space="0" w:color="000000"/>
              <w:right w:val="single" w:sz="4" w:space="0" w:color="000000"/>
            </w:tcBorders>
          </w:tcPr>
          <w:p w14:paraId="5CFFB66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4.2</w:t>
            </w:r>
          </w:p>
        </w:tc>
        <w:tc>
          <w:tcPr>
            <w:tcW w:w="1172" w:type="dxa"/>
            <w:tcBorders>
              <w:top w:val="single" w:sz="4" w:space="0" w:color="000000"/>
              <w:left w:val="single" w:sz="4" w:space="0" w:color="000000"/>
              <w:bottom w:val="single" w:sz="4" w:space="0" w:color="000000"/>
              <w:right w:val="single" w:sz="4" w:space="0" w:color="000000"/>
            </w:tcBorders>
          </w:tcPr>
          <w:p w14:paraId="5904BF9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de la section 7.4 au jalon J5</w:t>
            </w:r>
          </w:p>
        </w:tc>
      </w:tr>
      <w:tr w:rsidR="00F50D70" w:rsidRPr="00BE4F47" w14:paraId="716C5832"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00FAA26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Cadre législatif et normatif</w:t>
            </w:r>
          </w:p>
        </w:tc>
        <w:tc>
          <w:tcPr>
            <w:tcW w:w="2380" w:type="dxa"/>
            <w:tcBorders>
              <w:top w:val="single" w:sz="4" w:space="0" w:color="000000"/>
              <w:left w:val="single" w:sz="4" w:space="0" w:color="000000"/>
              <w:bottom w:val="single" w:sz="4" w:space="0" w:color="000000"/>
              <w:right w:val="single" w:sz="4" w:space="0" w:color="000000"/>
            </w:tcBorders>
          </w:tcPr>
          <w:p w14:paraId="2A34AA1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Rattachement aux lois, règlements et normes retenus</w:t>
            </w:r>
          </w:p>
        </w:tc>
        <w:tc>
          <w:tcPr>
            <w:tcW w:w="1500" w:type="dxa"/>
            <w:tcBorders>
              <w:top w:val="single" w:sz="4" w:space="0" w:color="000000"/>
              <w:left w:val="single" w:sz="4" w:space="0" w:color="000000"/>
              <w:bottom w:val="single" w:sz="4" w:space="0" w:color="000000"/>
              <w:right w:val="single" w:sz="4" w:space="0" w:color="000000"/>
            </w:tcBorders>
          </w:tcPr>
          <w:p w14:paraId="416E5DC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EX-C-01</w:t>
            </w:r>
          </w:p>
        </w:tc>
        <w:tc>
          <w:tcPr>
            <w:tcW w:w="1480" w:type="dxa"/>
            <w:tcBorders>
              <w:top w:val="single" w:sz="4" w:space="0" w:color="000000"/>
              <w:left w:val="single" w:sz="4" w:space="0" w:color="000000"/>
              <w:bottom w:val="single" w:sz="4" w:space="0" w:color="000000"/>
              <w:right w:val="single" w:sz="4" w:space="0" w:color="000000"/>
            </w:tcBorders>
          </w:tcPr>
          <w:p w14:paraId="421027F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RT4</w:t>
            </w:r>
          </w:p>
        </w:tc>
        <w:tc>
          <w:tcPr>
            <w:tcW w:w="1172" w:type="dxa"/>
            <w:tcBorders>
              <w:top w:val="single" w:sz="4" w:space="0" w:color="000000"/>
              <w:left w:val="single" w:sz="4" w:space="0" w:color="000000"/>
              <w:bottom w:val="single" w:sz="4" w:space="0" w:color="000000"/>
              <w:right w:val="single" w:sz="4" w:space="0" w:color="000000"/>
            </w:tcBorders>
          </w:tcPr>
          <w:p w14:paraId="00DB202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croisée avec la section des normes</w:t>
            </w:r>
          </w:p>
        </w:tc>
      </w:tr>
    </w:tbl>
    <w:p w14:paraId="64805792" w14:textId="77777777" w:rsidR="00F50D70" w:rsidRPr="00BE4F47" w:rsidRDefault="00F50D70" w:rsidP="008E113B">
      <w:pPr>
        <w:spacing w:line="360" w:lineRule="auto"/>
        <w:ind w:left="0"/>
        <w:rPr>
          <w:rFonts w:ascii="Aptos" w:hAnsi="Aptos"/>
          <w:lang w:val="fr-FR"/>
        </w:rPr>
      </w:pPr>
    </w:p>
    <w:p w14:paraId="2AAC6684" w14:textId="77777777" w:rsidR="00F50D70" w:rsidRPr="00B36301" w:rsidRDefault="00000000" w:rsidP="008E113B">
      <w:pPr>
        <w:pStyle w:val="Titre1"/>
        <w:spacing w:line="360" w:lineRule="auto"/>
      </w:pPr>
      <w:bookmarkStart w:id="417" w:name="_Toc241083112"/>
      <w:r w:rsidRPr="00B36301">
        <w:t>Estimation des ressources nécessaires au projet</w:t>
      </w:r>
      <w:bookmarkEnd w:id="417"/>
    </w:p>
    <w:p w14:paraId="32E58DB3" w14:textId="77777777" w:rsidR="00F50D70" w:rsidRPr="00BE4F47" w:rsidRDefault="00000000" w:rsidP="008E113B">
      <w:pPr>
        <w:spacing w:after="130" w:line="360" w:lineRule="auto"/>
        <w:ind w:left="360"/>
        <w:rPr>
          <w:rFonts w:ascii="Aptos" w:hAnsi="Aptos"/>
        </w:rPr>
      </w:pPr>
      <w:bookmarkStart w:id="418" w:name="_Toc241083113"/>
      <w:r w:rsidRPr="00BE4F47">
        <w:rPr>
          <w:rFonts w:ascii="Aptos" w:eastAsia="Calibri" w:hAnsi="Aptos" w:cs="Calibri"/>
          <w:color w:val="1A1A19"/>
          <w:sz w:val="20"/>
          <w:szCs w:val="20"/>
        </w:rPr>
        <w:t>Les sections précédentes ont défini le travail, son cadre et ses risques. Celle-ci le convertit en ressources. Elle fixe les hypothèses de l’estimation, découpe l’effort en neuf lots de travail, puis recense les ressources matérielles, logicielles et normatives nécessaires.</w:t>
      </w:r>
      <w:bookmarkEnd w:id="418"/>
    </w:p>
    <w:p w14:paraId="2B79EB43" w14:textId="77777777" w:rsidR="00F50D70" w:rsidRPr="00B36301" w:rsidRDefault="00000000" w:rsidP="008E113B">
      <w:pPr>
        <w:pStyle w:val="Titre2"/>
        <w:spacing w:line="360" w:lineRule="auto"/>
      </w:pPr>
      <w:bookmarkStart w:id="419" w:name="_Toc241083114"/>
      <w:r w:rsidRPr="00B36301">
        <w:lastRenderedPageBreak/>
        <w:t>Méthode d’estimation et classe de l’estimation</w:t>
      </w:r>
      <w:bookmarkEnd w:id="419"/>
    </w:p>
    <w:p w14:paraId="7F433E01"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20" w:name="_Toc241083115"/>
      <w:r w:rsidRPr="00BE4F47">
        <w:rPr>
          <w:rFonts w:ascii="Aptos" w:eastAsia="Calibri" w:hAnsi="Aptos" w:cs="Calibri"/>
          <w:color w:val="1A1A19"/>
          <w:sz w:val="20"/>
          <w:szCs w:val="20"/>
        </w:rPr>
        <w:t>L’estimation est ascendante. L’effort est évalué lot de travail par lot de travail, à partir de la structure de découpage du projet. Le total est ensuite rapproché de l’enveloppe imposée au mandat.</w:t>
      </w:r>
      <w:bookmarkEnd w:id="420"/>
    </w:p>
    <w:p w14:paraId="51AEB64E"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21" w:name="_Toc241083116"/>
      <w:r w:rsidRPr="00BE4F47">
        <w:rPr>
          <w:rFonts w:ascii="Aptos" w:eastAsia="Calibri" w:hAnsi="Aptos" w:cs="Calibri"/>
          <w:color w:val="1A1A19"/>
          <w:sz w:val="20"/>
          <w:szCs w:val="20"/>
        </w:rPr>
        <w:t>Cette enveloppe est une contrainte du mandat. Elle n’est pas un objectif à atteindre. Elle est fixée par l’ampleur du projet, soit 135 heures par membre.</w:t>
      </w:r>
      <w:bookmarkEnd w:id="421"/>
    </w:p>
    <w:p w14:paraId="3694B79C" w14:textId="77777777" w:rsidR="00F50D70" w:rsidRPr="00BE4F47" w:rsidRDefault="00000000" w:rsidP="008E113B">
      <w:pPr>
        <w:spacing w:after="130" w:line="360" w:lineRule="auto"/>
        <w:ind w:left="425"/>
        <w:rPr>
          <w:rFonts w:ascii="Aptos" w:hAnsi="Aptos"/>
        </w:rPr>
      </w:pPr>
      <w:bookmarkStart w:id="422" w:name="_Toc241083117"/>
      <w:r w:rsidRPr="00BE4F47">
        <w:rPr>
          <w:rFonts w:ascii="Aptos" w:eastAsia="Calibri" w:hAnsi="Aptos" w:cs="Calibri"/>
          <w:color w:val="1A1A19"/>
          <w:sz w:val="20"/>
          <w:szCs w:val="20"/>
        </w:rPr>
        <w:t>Au stade du plan de projet, le contenu technique n’est défini qu’à quelques pour cent. Selon la classification de l’AACE International, l’estimation appartient donc à la classe 5 : niveau de définition de 0 à 2 %, exactitude de −20 % à −50 % du côté bas et de +30 % à +100 % du côté haut [42]. Les chiffres ci-dessous servent à cadrer le mandat et à préparer le bordereau de prix. Ils n’engagent pas l’équipe sur un montant final.</w:t>
      </w:r>
      <w:bookmarkEnd w:id="422"/>
    </w:p>
    <w:p w14:paraId="0254BD62"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23" w:name="_Toc241083118"/>
      <w:r w:rsidRPr="00BE4F47">
        <w:rPr>
          <w:rFonts w:ascii="Aptos" w:eastAsia="Calibri" w:hAnsi="Aptos" w:cs="Calibri"/>
          <w:color w:val="1A1A19"/>
          <w:sz w:val="20"/>
          <w:szCs w:val="20"/>
        </w:rPr>
        <w:t>L’estimation devra être reclassée en classe 4 après l’approbation du cahier des charges, au jalon J1 de la section 10.</w:t>
      </w:r>
      <w:bookmarkEnd w:id="423"/>
    </w:p>
    <w:p w14:paraId="07F206B0"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24" w:name="_Toc241083119"/>
      <w:r w:rsidRPr="00BE4F47">
        <w:rPr>
          <w:rFonts w:ascii="Aptos" w:eastAsia="Calibri" w:hAnsi="Aptos" w:cs="Calibri"/>
          <w:color w:val="1A1A19"/>
          <w:sz w:val="20"/>
          <w:szCs w:val="20"/>
        </w:rPr>
        <w:t>L’estimation repose sur les hypothèses de la section 8.2. Chacune a un effet direct sur le résultat. Elles doivent être présentées au client et au conseiller. Si l’une d’elles est infirmée, la présente section et le registre des risques de la section 7 sont révisés.</w:t>
      </w:r>
      <w:bookmarkEnd w:id="424"/>
    </w:p>
    <w:p w14:paraId="6AF73640" w14:textId="77777777" w:rsidR="00F50D70" w:rsidRPr="00B36301" w:rsidRDefault="00000000" w:rsidP="008E113B">
      <w:pPr>
        <w:pStyle w:val="Titre2"/>
        <w:spacing w:line="360" w:lineRule="auto"/>
      </w:pPr>
      <w:bookmarkStart w:id="425" w:name="_Toc241083120"/>
      <w:r w:rsidRPr="00B36301">
        <w:t>Registre des hypothèses</w:t>
      </w:r>
      <w:bookmarkEnd w:id="425"/>
    </w:p>
    <w:p w14:paraId="28E91B72"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26" w:name="_Toc241083121"/>
      <w:r w:rsidRPr="00BE4F47">
        <w:rPr>
          <w:rFonts w:ascii="Aptos" w:eastAsia="Calibri" w:hAnsi="Aptos" w:cs="Calibri"/>
          <w:color w:val="1A1A19"/>
          <w:sz w:val="20"/>
          <w:szCs w:val="20"/>
        </w:rPr>
        <w:t>Ce registre est le registre unique du plan de projet. Les autres sections y renvoient et n’en définissent pas d’autre. Chaque hypothèse porte l’effet de son infirmation et le risque de la section 7 qui la surveille.</w:t>
      </w:r>
      <w:bookmarkEnd w:id="426"/>
    </w:p>
    <w:p w14:paraId="11CEA5D4" w14:textId="77777777" w:rsidR="00F50D70" w:rsidRPr="00BE4F47" w:rsidRDefault="00000000" w:rsidP="008E113B">
      <w:pPr>
        <w:pStyle w:val="Lgende"/>
        <w:spacing w:line="360" w:lineRule="auto"/>
        <w:rPr>
          <w:rFonts w:ascii="Aptos" w:hAnsi="Aptos"/>
        </w:rPr>
      </w:pPr>
      <w:bookmarkStart w:id="427" w:name="_Toc241083122"/>
      <w:r w:rsidRPr="00BE4F47">
        <w:rPr>
          <w:rFonts w:ascii="Aptos" w:hAnsi="Aptos"/>
        </w:rPr>
        <w:t>Tableau 8-1. Registre des hypothèses de l’estimation</w:t>
      </w:r>
      <w:bookmarkEnd w:id="427"/>
    </w:p>
    <w:tbl>
      <w:tblPr>
        <w:tblW w:w="9360" w:type="dxa"/>
        <w:tblLayout w:type="fixed"/>
        <w:tblCellMar>
          <w:top w:w="55" w:type="dxa"/>
          <w:left w:w="85" w:type="dxa"/>
          <w:bottom w:w="55" w:type="dxa"/>
          <w:right w:w="85" w:type="dxa"/>
        </w:tblCellMar>
        <w:tblLook w:val="04A0" w:firstRow="1" w:lastRow="0" w:firstColumn="1" w:lastColumn="0" w:noHBand="0" w:noVBand="1"/>
      </w:tblPr>
      <w:tblGrid>
        <w:gridCol w:w="620"/>
        <w:gridCol w:w="3600"/>
        <w:gridCol w:w="3540"/>
        <w:gridCol w:w="1600"/>
      </w:tblGrid>
      <w:tr w:rsidR="00F50D70" w:rsidRPr="00BE4F47" w14:paraId="4C6E9FAE" w14:textId="77777777">
        <w:trPr>
          <w:tblHeader/>
        </w:trPr>
        <w:tc>
          <w:tcPr>
            <w:tcW w:w="620" w:type="dxa"/>
            <w:tcBorders>
              <w:top w:val="single" w:sz="4" w:space="0" w:color="000000"/>
              <w:left w:val="single" w:sz="4" w:space="0" w:color="000000"/>
              <w:bottom w:val="single" w:sz="4" w:space="0" w:color="000000"/>
              <w:right w:val="single" w:sz="4" w:space="0" w:color="000000"/>
            </w:tcBorders>
            <w:shd w:val="clear" w:color="auto" w:fill="EFF4FB"/>
          </w:tcPr>
          <w:p w14:paraId="3FBC7F7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Réf.</w:t>
            </w:r>
          </w:p>
        </w:tc>
        <w:tc>
          <w:tcPr>
            <w:tcW w:w="3600" w:type="dxa"/>
            <w:tcBorders>
              <w:top w:val="single" w:sz="4" w:space="0" w:color="000000"/>
              <w:left w:val="single" w:sz="4" w:space="0" w:color="000000"/>
              <w:bottom w:val="single" w:sz="4" w:space="0" w:color="000000"/>
              <w:right w:val="single" w:sz="4" w:space="0" w:color="000000"/>
            </w:tcBorders>
            <w:shd w:val="clear" w:color="auto" w:fill="EFF4FB"/>
          </w:tcPr>
          <w:p w14:paraId="3D72128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Hypothèse</w:t>
            </w:r>
          </w:p>
        </w:tc>
        <w:tc>
          <w:tcPr>
            <w:tcW w:w="3540" w:type="dxa"/>
            <w:tcBorders>
              <w:top w:val="single" w:sz="4" w:space="0" w:color="000000"/>
              <w:left w:val="single" w:sz="4" w:space="0" w:color="000000"/>
              <w:bottom w:val="single" w:sz="4" w:space="0" w:color="000000"/>
              <w:right w:val="single" w:sz="4" w:space="0" w:color="000000"/>
            </w:tcBorders>
            <w:shd w:val="clear" w:color="auto" w:fill="EFF4FB"/>
          </w:tcPr>
          <w:p w14:paraId="5C3E98C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Effet si elle est infirmée</w:t>
            </w:r>
          </w:p>
        </w:tc>
        <w:tc>
          <w:tcPr>
            <w:tcW w:w="1600" w:type="dxa"/>
            <w:tcBorders>
              <w:top w:val="single" w:sz="4" w:space="0" w:color="000000"/>
              <w:left w:val="single" w:sz="4" w:space="0" w:color="000000"/>
              <w:bottom w:val="single" w:sz="4" w:space="0" w:color="000000"/>
              <w:right w:val="single" w:sz="4" w:space="0" w:color="000000"/>
            </w:tcBorders>
            <w:shd w:val="clear" w:color="auto" w:fill="EFF4FB"/>
          </w:tcPr>
          <w:p w14:paraId="6877867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associé</w:t>
            </w:r>
          </w:p>
        </w:tc>
      </w:tr>
      <w:tr w:rsidR="00F50D70" w:rsidRPr="00BE4F47" w14:paraId="6B3BAE7E"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4AF0BA3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H-01</w:t>
            </w:r>
          </w:p>
        </w:tc>
        <w:tc>
          <w:tcPr>
            <w:tcW w:w="3600" w:type="dxa"/>
            <w:tcBorders>
              <w:top w:val="single" w:sz="4" w:space="0" w:color="000000"/>
              <w:left w:val="single" w:sz="4" w:space="0" w:color="000000"/>
              <w:bottom w:val="single" w:sz="4" w:space="0" w:color="000000"/>
              <w:right w:val="single" w:sz="4" w:space="0" w:color="000000"/>
            </w:tcBorders>
          </w:tcPr>
          <w:p w14:paraId="1025A2C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L’équipe compte 8 membres. Chaque membre consacre 135 heures au mandat, soit 1 080 heures au total. Ces 135 heures couvrent l’ensemble de l’effort porté au mandat, y compris les ateliers et la formation continue.</w:t>
            </w:r>
          </w:p>
        </w:tc>
        <w:tc>
          <w:tcPr>
            <w:tcW w:w="3540" w:type="dxa"/>
            <w:tcBorders>
              <w:top w:val="single" w:sz="4" w:space="0" w:color="000000"/>
              <w:left w:val="single" w:sz="4" w:space="0" w:color="000000"/>
              <w:bottom w:val="single" w:sz="4" w:space="0" w:color="000000"/>
              <w:right w:val="single" w:sz="4" w:space="0" w:color="000000"/>
            </w:tcBorders>
          </w:tcPr>
          <w:p w14:paraId="0EE3A13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Toute l’estimation est proportionnelle à ce nombre.</w:t>
            </w:r>
          </w:p>
        </w:tc>
        <w:tc>
          <w:tcPr>
            <w:tcW w:w="1600" w:type="dxa"/>
            <w:tcBorders>
              <w:top w:val="single" w:sz="4" w:space="0" w:color="000000"/>
              <w:left w:val="single" w:sz="4" w:space="0" w:color="000000"/>
              <w:bottom w:val="single" w:sz="4" w:space="0" w:color="000000"/>
              <w:right w:val="single" w:sz="4" w:space="0" w:color="000000"/>
            </w:tcBorders>
          </w:tcPr>
          <w:p w14:paraId="4DAC6F6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2F1EADFA"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6BA2085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H-02</w:t>
            </w:r>
          </w:p>
        </w:tc>
        <w:tc>
          <w:tcPr>
            <w:tcW w:w="3600" w:type="dxa"/>
            <w:tcBorders>
              <w:top w:val="single" w:sz="4" w:space="0" w:color="000000"/>
              <w:left w:val="single" w:sz="4" w:space="0" w:color="000000"/>
              <w:bottom w:val="single" w:sz="4" w:space="0" w:color="000000"/>
              <w:right w:val="single" w:sz="4" w:space="0" w:color="000000"/>
            </w:tcBorders>
          </w:tcPr>
          <w:p w14:paraId="4225DEA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Aucune boucle </w:t>
            </w:r>
            <w:proofErr w:type="spellStart"/>
            <w:r w:rsidRPr="00BE4F47">
              <w:rPr>
                <w:rFonts w:ascii="Aptos" w:eastAsia="Calibri" w:hAnsi="Aptos" w:cs="Calibri"/>
                <w:color w:val="1A1A19"/>
                <w:sz w:val="16"/>
                <w:szCs w:val="16"/>
                <w:lang w:val="fr-FR"/>
              </w:rPr>
              <w:t>thermohydraulique</w:t>
            </w:r>
            <w:proofErr w:type="spellEnd"/>
            <w:r w:rsidRPr="00BE4F47">
              <w:rPr>
                <w:rFonts w:ascii="Aptos" w:eastAsia="Calibri" w:hAnsi="Aptos" w:cs="Calibri"/>
                <w:color w:val="1A1A19"/>
                <w:sz w:val="16"/>
                <w:szCs w:val="16"/>
                <w:lang w:val="fr-FR"/>
              </w:rPr>
              <w:t xml:space="preserve"> physique n’est mise à la disposition de l’équipe. Le système de référence auquel le jumeau numérique est comparé est un second modèle numérique, de fidélité supérieure et développé indépendamment. Ce second modèle joue le rôle de banc d’essai.</w:t>
            </w:r>
          </w:p>
        </w:tc>
        <w:tc>
          <w:tcPr>
            <w:tcW w:w="3540" w:type="dxa"/>
            <w:tcBorders>
              <w:top w:val="single" w:sz="4" w:space="0" w:color="000000"/>
              <w:left w:val="single" w:sz="4" w:space="0" w:color="000000"/>
              <w:bottom w:val="single" w:sz="4" w:space="0" w:color="000000"/>
              <w:right w:val="single" w:sz="4" w:space="0" w:color="000000"/>
            </w:tcBorders>
          </w:tcPr>
          <w:p w14:paraId="41DC3ED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Majeur. Un banc physique ferait basculer le projet dans une autre classe de budget, avec achat, instrumentation et sécurité. L’enveloppe de 1 080 heures deviendrait intenable.</w:t>
            </w:r>
          </w:p>
        </w:tc>
        <w:tc>
          <w:tcPr>
            <w:tcW w:w="1600" w:type="dxa"/>
            <w:tcBorders>
              <w:top w:val="single" w:sz="4" w:space="0" w:color="000000"/>
              <w:left w:val="single" w:sz="4" w:space="0" w:color="000000"/>
              <w:bottom w:val="single" w:sz="4" w:space="0" w:color="000000"/>
              <w:right w:val="single" w:sz="4" w:space="0" w:color="000000"/>
            </w:tcBorders>
          </w:tcPr>
          <w:p w14:paraId="39633CC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r>
      <w:tr w:rsidR="00F50D70" w:rsidRPr="00BE4F47" w14:paraId="5D1602E7"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47051EF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H-03</w:t>
            </w:r>
          </w:p>
        </w:tc>
        <w:tc>
          <w:tcPr>
            <w:tcW w:w="3600" w:type="dxa"/>
            <w:tcBorders>
              <w:top w:val="single" w:sz="4" w:space="0" w:color="000000"/>
              <w:left w:val="single" w:sz="4" w:space="0" w:color="000000"/>
              <w:bottom w:val="single" w:sz="4" w:space="0" w:color="000000"/>
              <w:right w:val="single" w:sz="4" w:space="0" w:color="000000"/>
            </w:tcBorders>
          </w:tcPr>
          <w:p w14:paraId="2A80FC9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Aucune donnée d’exploitation réelle de Gentilly-2 n’est accessible. Les jeux de données d’essai sont synthétiques. Ils sont générés par le modèle de référence, puis bruités et dégradés pour reproduire les défauts de capteurs étudiés.</w:t>
            </w:r>
          </w:p>
        </w:tc>
        <w:tc>
          <w:tcPr>
            <w:tcW w:w="3540" w:type="dxa"/>
            <w:tcBorders>
              <w:top w:val="single" w:sz="4" w:space="0" w:color="000000"/>
              <w:left w:val="single" w:sz="4" w:space="0" w:color="000000"/>
              <w:bottom w:val="single" w:sz="4" w:space="0" w:color="000000"/>
              <w:right w:val="single" w:sz="4" w:space="0" w:color="000000"/>
            </w:tcBorders>
          </w:tcPr>
          <w:p w14:paraId="3165E13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campagne d’essais et la portée des conclusions devraient être redéfinies.</w:t>
            </w:r>
          </w:p>
        </w:tc>
        <w:tc>
          <w:tcPr>
            <w:tcW w:w="1600" w:type="dxa"/>
            <w:tcBorders>
              <w:top w:val="single" w:sz="4" w:space="0" w:color="000000"/>
              <w:left w:val="single" w:sz="4" w:space="0" w:color="000000"/>
              <w:bottom w:val="single" w:sz="4" w:space="0" w:color="000000"/>
              <w:right w:val="single" w:sz="4" w:space="0" w:color="000000"/>
            </w:tcBorders>
          </w:tcPr>
          <w:p w14:paraId="2C7D46E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w:t>
            </w:r>
          </w:p>
        </w:tc>
      </w:tr>
      <w:tr w:rsidR="00F50D70" w:rsidRPr="00BE4F47" w14:paraId="0E9BCC37"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307A42D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lastRenderedPageBreak/>
              <w:t>H-04</w:t>
            </w:r>
          </w:p>
        </w:tc>
        <w:tc>
          <w:tcPr>
            <w:tcW w:w="3600" w:type="dxa"/>
            <w:tcBorders>
              <w:top w:val="single" w:sz="4" w:space="0" w:color="000000"/>
              <w:left w:val="single" w:sz="4" w:space="0" w:color="000000"/>
              <w:bottom w:val="single" w:sz="4" w:space="0" w:color="000000"/>
              <w:right w:val="single" w:sz="4" w:space="0" w:color="000000"/>
            </w:tcBorders>
          </w:tcPr>
          <w:p w14:paraId="5D6313A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Le prototype vise un niveau de maturité technologique TRL 3 à 4. La modélisation est de type 0D/1D à paramètres concentrés, en écoulement monophasique. La </w:t>
            </w:r>
            <w:proofErr w:type="spellStart"/>
            <w:r w:rsidRPr="00BE4F47">
              <w:rPr>
                <w:rFonts w:ascii="Aptos" w:eastAsia="Calibri" w:hAnsi="Aptos" w:cs="Calibri"/>
                <w:color w:val="1A1A19"/>
                <w:sz w:val="16"/>
                <w:szCs w:val="16"/>
                <w:lang w:val="fr-FR"/>
              </w:rPr>
              <w:t>thermohydraulique</w:t>
            </w:r>
            <w:proofErr w:type="spellEnd"/>
            <w:r w:rsidRPr="00BE4F47">
              <w:rPr>
                <w:rFonts w:ascii="Aptos" w:eastAsia="Calibri" w:hAnsi="Aptos" w:cs="Calibri"/>
                <w:color w:val="1A1A19"/>
                <w:sz w:val="16"/>
                <w:szCs w:val="16"/>
                <w:lang w:val="fr-FR"/>
              </w:rPr>
              <w:t xml:space="preserve"> diphasique et la mécanique des fluides numérique tridimensionnelle sont exclues.</w:t>
            </w:r>
          </w:p>
        </w:tc>
        <w:tc>
          <w:tcPr>
            <w:tcW w:w="3540" w:type="dxa"/>
            <w:tcBorders>
              <w:top w:val="single" w:sz="4" w:space="0" w:color="000000"/>
              <w:left w:val="single" w:sz="4" w:space="0" w:color="000000"/>
              <w:bottom w:val="single" w:sz="4" w:space="0" w:color="000000"/>
              <w:right w:val="single" w:sz="4" w:space="0" w:color="000000"/>
            </w:tcBorders>
          </w:tcPr>
          <w:p w14:paraId="3CF6274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Un modèle diphasique ou tridimensionnel multiplierait l’effort de modélisation et de validation.</w:t>
            </w:r>
          </w:p>
        </w:tc>
        <w:tc>
          <w:tcPr>
            <w:tcW w:w="1600" w:type="dxa"/>
            <w:tcBorders>
              <w:top w:val="single" w:sz="4" w:space="0" w:color="000000"/>
              <w:left w:val="single" w:sz="4" w:space="0" w:color="000000"/>
              <w:bottom w:val="single" w:sz="4" w:space="0" w:color="000000"/>
              <w:right w:val="single" w:sz="4" w:space="0" w:color="000000"/>
            </w:tcBorders>
          </w:tcPr>
          <w:p w14:paraId="4A4D329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w:t>
            </w:r>
          </w:p>
        </w:tc>
      </w:tr>
      <w:tr w:rsidR="00F50D70" w:rsidRPr="00BE4F47" w14:paraId="7DEBECCB"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09F6144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H-05</w:t>
            </w:r>
          </w:p>
        </w:tc>
        <w:tc>
          <w:tcPr>
            <w:tcW w:w="3600" w:type="dxa"/>
            <w:tcBorders>
              <w:top w:val="single" w:sz="4" w:space="0" w:color="000000"/>
              <w:left w:val="single" w:sz="4" w:space="0" w:color="000000"/>
              <w:bottom w:val="single" w:sz="4" w:space="0" w:color="000000"/>
              <w:right w:val="single" w:sz="4" w:space="0" w:color="000000"/>
            </w:tcBorders>
          </w:tcPr>
          <w:p w14:paraId="4074A76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logiciels utilisés sont libres ou couverts par les licences académiques de l’UQAC. Le coût de licence imputé au mandat est donc nul. Ce point doit être déclaré au client, car un déploiement industriel ne bénéficierait pas de cet avantage.</w:t>
            </w:r>
          </w:p>
        </w:tc>
        <w:tc>
          <w:tcPr>
            <w:tcW w:w="3540" w:type="dxa"/>
            <w:tcBorders>
              <w:top w:val="single" w:sz="4" w:space="0" w:color="000000"/>
              <w:left w:val="single" w:sz="4" w:space="0" w:color="000000"/>
              <w:bottom w:val="single" w:sz="4" w:space="0" w:color="000000"/>
              <w:right w:val="single" w:sz="4" w:space="0" w:color="000000"/>
            </w:tcBorders>
          </w:tcPr>
          <w:p w14:paraId="564722C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Ajout de coûts de licence au bordereau de la section 9.</w:t>
            </w:r>
          </w:p>
        </w:tc>
        <w:tc>
          <w:tcPr>
            <w:tcW w:w="1600" w:type="dxa"/>
            <w:tcBorders>
              <w:top w:val="single" w:sz="4" w:space="0" w:color="000000"/>
              <w:left w:val="single" w:sz="4" w:space="0" w:color="000000"/>
              <w:bottom w:val="single" w:sz="4" w:space="0" w:color="000000"/>
              <w:right w:val="single" w:sz="4" w:space="0" w:color="000000"/>
            </w:tcBorders>
          </w:tcPr>
          <w:p w14:paraId="020E695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0FAD3C52"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5EE81EC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H-06</w:t>
            </w:r>
          </w:p>
        </w:tc>
        <w:tc>
          <w:tcPr>
            <w:tcW w:w="3600" w:type="dxa"/>
            <w:tcBorders>
              <w:top w:val="single" w:sz="4" w:space="0" w:color="000000"/>
              <w:left w:val="single" w:sz="4" w:space="0" w:color="000000"/>
              <w:bottom w:val="single" w:sz="4" w:space="0" w:color="000000"/>
              <w:right w:val="single" w:sz="4" w:space="0" w:color="000000"/>
            </w:tcBorders>
          </w:tcPr>
          <w:p w14:paraId="09F2CDB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locaux, le réseau et la puissance de calcul nécessaires sont fournis par l’UQAC.</w:t>
            </w:r>
          </w:p>
        </w:tc>
        <w:tc>
          <w:tcPr>
            <w:tcW w:w="3540" w:type="dxa"/>
            <w:tcBorders>
              <w:top w:val="single" w:sz="4" w:space="0" w:color="000000"/>
              <w:left w:val="single" w:sz="4" w:space="0" w:color="000000"/>
              <w:bottom w:val="single" w:sz="4" w:space="0" w:color="000000"/>
              <w:right w:val="single" w:sz="4" w:space="0" w:color="000000"/>
            </w:tcBorders>
          </w:tcPr>
          <w:p w14:paraId="42CB534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Ajout d’un poste d’infrastructure infonuagique.</w:t>
            </w:r>
          </w:p>
        </w:tc>
        <w:tc>
          <w:tcPr>
            <w:tcW w:w="1600" w:type="dxa"/>
            <w:tcBorders>
              <w:top w:val="single" w:sz="4" w:space="0" w:color="000000"/>
              <w:left w:val="single" w:sz="4" w:space="0" w:color="000000"/>
              <w:bottom w:val="single" w:sz="4" w:space="0" w:color="000000"/>
              <w:right w:val="single" w:sz="4" w:space="0" w:color="000000"/>
            </w:tcBorders>
          </w:tcPr>
          <w:p w14:paraId="0D479F0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468B4043"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03EFC8A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H-07</w:t>
            </w:r>
          </w:p>
        </w:tc>
        <w:tc>
          <w:tcPr>
            <w:tcW w:w="3600" w:type="dxa"/>
            <w:tcBorders>
              <w:top w:val="single" w:sz="4" w:space="0" w:color="000000"/>
              <w:left w:val="single" w:sz="4" w:space="0" w:color="000000"/>
              <w:bottom w:val="single" w:sz="4" w:space="0" w:color="000000"/>
              <w:right w:val="single" w:sz="4" w:space="0" w:color="000000"/>
            </w:tcBorders>
          </w:tcPr>
          <w:p w14:paraId="20F2086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L’accès aux normes CSA, ISO, IEC et ASME se fait par l’abonnement institutionnel de la bibliothèque de l’UQAC.</w:t>
            </w:r>
          </w:p>
        </w:tc>
        <w:tc>
          <w:tcPr>
            <w:tcW w:w="3540" w:type="dxa"/>
            <w:tcBorders>
              <w:top w:val="single" w:sz="4" w:space="0" w:color="000000"/>
              <w:left w:val="single" w:sz="4" w:space="0" w:color="000000"/>
              <w:bottom w:val="single" w:sz="4" w:space="0" w:color="000000"/>
              <w:right w:val="single" w:sz="4" w:space="0" w:color="000000"/>
            </w:tcBorders>
          </w:tcPr>
          <w:p w14:paraId="0039782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Achat unitaire des normes, soit plusieurs centaines de dollars à porter au budget. Les normes non consultées en texte intégral devraient alors être déclarées comme telles à la section 6.</w:t>
            </w:r>
          </w:p>
        </w:tc>
        <w:tc>
          <w:tcPr>
            <w:tcW w:w="1600" w:type="dxa"/>
            <w:tcBorders>
              <w:top w:val="single" w:sz="4" w:space="0" w:color="000000"/>
              <w:left w:val="single" w:sz="4" w:space="0" w:color="000000"/>
              <w:bottom w:val="single" w:sz="4" w:space="0" w:color="000000"/>
              <w:right w:val="single" w:sz="4" w:space="0" w:color="000000"/>
            </w:tcBorders>
          </w:tcPr>
          <w:p w14:paraId="37C2C84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10631DED"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672D301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H-08</w:t>
            </w:r>
          </w:p>
        </w:tc>
        <w:tc>
          <w:tcPr>
            <w:tcW w:w="3600" w:type="dxa"/>
            <w:tcBorders>
              <w:top w:val="single" w:sz="4" w:space="0" w:color="000000"/>
              <w:left w:val="single" w:sz="4" w:space="0" w:color="000000"/>
              <w:bottom w:val="single" w:sz="4" w:space="0" w:color="000000"/>
              <w:right w:val="single" w:sz="4" w:space="0" w:color="000000"/>
            </w:tcBorders>
          </w:tcPr>
          <w:p w14:paraId="4B9AD5D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temps du conseiller et du coordonnateur n’est pas facturable au mandat, conformément aux règles du cours.</w:t>
            </w:r>
          </w:p>
        </w:tc>
        <w:tc>
          <w:tcPr>
            <w:tcW w:w="3540" w:type="dxa"/>
            <w:tcBorders>
              <w:top w:val="single" w:sz="4" w:space="0" w:color="000000"/>
              <w:left w:val="single" w:sz="4" w:space="0" w:color="000000"/>
              <w:bottom w:val="single" w:sz="4" w:space="0" w:color="000000"/>
              <w:right w:val="single" w:sz="4" w:space="0" w:color="000000"/>
            </w:tcBorders>
          </w:tcPr>
          <w:p w14:paraId="0E09AF9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Sans effet sur les heures. À rappeler dans les limites du mandat.</w:t>
            </w:r>
          </w:p>
        </w:tc>
        <w:tc>
          <w:tcPr>
            <w:tcW w:w="1600" w:type="dxa"/>
            <w:tcBorders>
              <w:top w:val="single" w:sz="4" w:space="0" w:color="000000"/>
              <w:left w:val="single" w:sz="4" w:space="0" w:color="000000"/>
              <w:bottom w:val="single" w:sz="4" w:space="0" w:color="000000"/>
              <w:right w:val="single" w:sz="4" w:space="0" w:color="000000"/>
            </w:tcBorders>
          </w:tcPr>
          <w:p w14:paraId="24A2B0B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w:t>
            </w:r>
          </w:p>
        </w:tc>
      </w:tr>
      <w:tr w:rsidR="00F50D70" w:rsidRPr="00BE4F47" w14:paraId="10A24EBB"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457FC9B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H-09</w:t>
            </w:r>
          </w:p>
        </w:tc>
        <w:tc>
          <w:tcPr>
            <w:tcW w:w="3600" w:type="dxa"/>
            <w:tcBorders>
              <w:top w:val="single" w:sz="4" w:space="0" w:color="000000"/>
              <w:left w:val="single" w:sz="4" w:space="0" w:color="000000"/>
              <w:bottom w:val="single" w:sz="4" w:space="0" w:color="000000"/>
              <w:right w:val="single" w:sz="4" w:space="0" w:color="000000"/>
            </w:tcBorders>
          </w:tcPr>
          <w:p w14:paraId="526A494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température, la pression et le débit suffisent à caractériser l’état de la boucle pour les scénarios étudiés (exigence EX-F-01).</w:t>
            </w:r>
          </w:p>
        </w:tc>
        <w:tc>
          <w:tcPr>
            <w:tcW w:w="3540" w:type="dxa"/>
            <w:tcBorders>
              <w:top w:val="single" w:sz="4" w:space="0" w:color="000000"/>
              <w:left w:val="single" w:sz="4" w:space="0" w:color="000000"/>
              <w:bottom w:val="single" w:sz="4" w:space="0" w:color="000000"/>
              <w:right w:val="single" w:sz="4" w:space="0" w:color="000000"/>
            </w:tcBorders>
          </w:tcPr>
          <w:p w14:paraId="528ABDF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détection manquerait certains modes de défaillance. Une quatrième variable imposerait une reprise du modèle et de la chaîne d’acquisition.</w:t>
            </w:r>
          </w:p>
        </w:tc>
        <w:tc>
          <w:tcPr>
            <w:tcW w:w="1600" w:type="dxa"/>
            <w:tcBorders>
              <w:top w:val="single" w:sz="4" w:space="0" w:color="000000"/>
              <w:left w:val="single" w:sz="4" w:space="0" w:color="000000"/>
              <w:bottom w:val="single" w:sz="4" w:space="0" w:color="000000"/>
              <w:right w:val="single" w:sz="4" w:space="0" w:color="000000"/>
            </w:tcBorders>
          </w:tcPr>
          <w:p w14:paraId="2FA60F3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4.2</w:t>
            </w:r>
          </w:p>
        </w:tc>
      </w:tr>
      <w:tr w:rsidR="00F50D70" w:rsidRPr="00BE4F47" w14:paraId="7E271673"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3DB313A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H-10</w:t>
            </w:r>
          </w:p>
        </w:tc>
        <w:tc>
          <w:tcPr>
            <w:tcW w:w="3600" w:type="dxa"/>
            <w:tcBorders>
              <w:top w:val="single" w:sz="4" w:space="0" w:color="000000"/>
              <w:left w:val="single" w:sz="4" w:space="0" w:color="000000"/>
              <w:bottom w:val="single" w:sz="4" w:space="0" w:color="000000"/>
              <w:right w:val="single" w:sz="4" w:space="0" w:color="000000"/>
            </w:tcBorders>
          </w:tcPr>
          <w:p w14:paraId="1A06D97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seuils de dérive et les critères de criticité sont fixés par l’analyse de risques et par les essais, et non posés a priori.</w:t>
            </w:r>
          </w:p>
        </w:tc>
        <w:tc>
          <w:tcPr>
            <w:tcW w:w="3540" w:type="dxa"/>
            <w:tcBorders>
              <w:top w:val="single" w:sz="4" w:space="0" w:color="000000"/>
              <w:left w:val="single" w:sz="4" w:space="0" w:color="000000"/>
              <w:bottom w:val="single" w:sz="4" w:space="0" w:color="000000"/>
              <w:right w:val="single" w:sz="4" w:space="0" w:color="000000"/>
            </w:tcBorders>
          </w:tcPr>
          <w:p w14:paraId="13D0BF1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critères d’alarme resteraient arbitraires. La décision est à prendre au jalon J2, avec sa justification consignée.</w:t>
            </w:r>
          </w:p>
        </w:tc>
        <w:tc>
          <w:tcPr>
            <w:tcW w:w="1600" w:type="dxa"/>
            <w:tcBorders>
              <w:top w:val="single" w:sz="4" w:space="0" w:color="000000"/>
              <w:left w:val="single" w:sz="4" w:space="0" w:color="000000"/>
              <w:bottom w:val="single" w:sz="4" w:space="0" w:color="000000"/>
              <w:right w:val="single" w:sz="4" w:space="0" w:color="000000"/>
            </w:tcBorders>
          </w:tcPr>
          <w:p w14:paraId="4A3F6C3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4.2, RT6</w:t>
            </w:r>
          </w:p>
        </w:tc>
      </w:tr>
    </w:tbl>
    <w:p w14:paraId="3C953AE1" w14:textId="77777777" w:rsidR="00F50D70" w:rsidRPr="00BE4F47" w:rsidRDefault="00F50D70" w:rsidP="008E113B">
      <w:pPr>
        <w:spacing w:line="360" w:lineRule="auto"/>
        <w:ind w:left="0"/>
        <w:rPr>
          <w:rFonts w:ascii="Aptos" w:hAnsi="Aptos"/>
        </w:rPr>
      </w:pPr>
    </w:p>
    <w:p w14:paraId="4400A261" w14:textId="77777777" w:rsidR="00F50D70" w:rsidRPr="00B36301" w:rsidRDefault="00000000" w:rsidP="008E113B">
      <w:pPr>
        <w:pStyle w:val="Titre2"/>
        <w:spacing w:line="360" w:lineRule="auto"/>
      </w:pPr>
      <w:bookmarkStart w:id="428" w:name="_Toc241083123"/>
      <w:r w:rsidRPr="00B36301">
        <w:t>Ressources humaines</w:t>
      </w:r>
      <w:bookmarkEnd w:id="428"/>
    </w:p>
    <w:p w14:paraId="67623881" w14:textId="77777777" w:rsidR="00F50D70" w:rsidRPr="00BE4F47" w:rsidRDefault="00000000" w:rsidP="008E113B">
      <w:pPr>
        <w:pStyle w:val="Titre3"/>
        <w:spacing w:line="360" w:lineRule="auto"/>
        <w:rPr>
          <w:rFonts w:ascii="Aptos" w:hAnsi="Aptos"/>
        </w:rPr>
      </w:pPr>
      <w:bookmarkStart w:id="429" w:name="_Toc241083124"/>
      <w:r w:rsidRPr="00BE4F47">
        <w:rPr>
          <w:rFonts w:ascii="Aptos" w:hAnsi="Aptos"/>
        </w:rPr>
        <w:t>Répartition de l’effort par lot de travail</w:t>
      </w:r>
      <w:bookmarkEnd w:id="429"/>
    </w:p>
    <w:p w14:paraId="3E1EA1D4"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430" w:name="_Toc241083125"/>
      <w:r w:rsidRPr="00BE4F47">
        <w:rPr>
          <w:rFonts w:ascii="Aptos" w:eastAsia="Calibri" w:hAnsi="Aptos" w:cs="Calibri"/>
          <w:color w:val="1A1A19"/>
          <w:sz w:val="20"/>
          <w:szCs w:val="20"/>
        </w:rPr>
        <w:t>Les 1 080 heures d’ingénierie sont réparties entre neuf lots de travail. Ce tableau est la définition de référence des lots L1 à L9. Les sections 1, 5 et 7 y renvoient pour rattacher leurs exigences, leurs sources et leurs risques.</w:t>
      </w:r>
      <w:bookmarkEnd w:id="430"/>
    </w:p>
    <w:p w14:paraId="38330A3F" w14:textId="77777777" w:rsidR="00F50D70" w:rsidRPr="00BE4F47" w:rsidRDefault="00000000" w:rsidP="008E113B">
      <w:pPr>
        <w:spacing w:after="130" w:line="360" w:lineRule="auto"/>
        <w:ind w:left="992"/>
        <w:rPr>
          <w:rFonts w:ascii="Aptos" w:eastAsia="Calibri" w:hAnsi="Aptos" w:cs="Calibri"/>
          <w:color w:val="1A1A19"/>
          <w:sz w:val="20"/>
          <w:szCs w:val="20"/>
        </w:rPr>
      </w:pPr>
      <w:bookmarkStart w:id="431" w:name="_Toc241083126"/>
      <w:r w:rsidRPr="00BE4F47">
        <w:rPr>
          <w:rFonts w:ascii="Aptos" w:eastAsia="Calibri" w:hAnsi="Aptos" w:cs="Calibri"/>
          <w:color w:val="1A1A19"/>
          <w:sz w:val="20"/>
          <w:szCs w:val="20"/>
        </w:rPr>
        <w:t>La répartition suit une priorité. Le modèle de référence, le noyau de simulation et la campagne d’essais reçoivent 42 % de l’effort. Ce sont les trois lots qui portent la valeur du livrable. L’interface d’aide à la décision reçoit 8 %. Un outil d’aide à la décision se juge sur la justesse de ce qu’il affiche, pas sur son apparence.</w:t>
      </w:r>
      <w:bookmarkEnd w:id="431"/>
    </w:p>
    <w:p w14:paraId="191CF0A0" w14:textId="77777777" w:rsidR="00F50D70" w:rsidRPr="00BE4F47" w:rsidRDefault="00000000" w:rsidP="008E113B">
      <w:pPr>
        <w:pStyle w:val="Lgende"/>
        <w:spacing w:line="360" w:lineRule="auto"/>
        <w:rPr>
          <w:rFonts w:ascii="Aptos" w:hAnsi="Aptos"/>
        </w:rPr>
      </w:pPr>
      <w:bookmarkStart w:id="432" w:name="_Toc241083127"/>
      <w:r w:rsidRPr="00BE4F47">
        <w:rPr>
          <w:rFonts w:ascii="Aptos" w:hAnsi="Aptos"/>
        </w:rPr>
        <w:t>Tableau 8-2. Répartition de l’effort par lot de travail</w:t>
      </w:r>
      <w:bookmarkEnd w:id="432"/>
    </w:p>
    <w:tbl>
      <w:tblPr>
        <w:tblW w:w="9360" w:type="dxa"/>
        <w:tblLayout w:type="fixed"/>
        <w:tblCellMar>
          <w:top w:w="55" w:type="dxa"/>
          <w:left w:w="85" w:type="dxa"/>
          <w:bottom w:w="55" w:type="dxa"/>
          <w:right w:w="85" w:type="dxa"/>
        </w:tblCellMar>
        <w:tblLook w:val="04A0" w:firstRow="1" w:lastRow="0" w:firstColumn="1" w:lastColumn="0" w:noHBand="0" w:noVBand="1"/>
      </w:tblPr>
      <w:tblGrid>
        <w:gridCol w:w="620"/>
        <w:gridCol w:w="3300"/>
        <w:gridCol w:w="900"/>
        <w:gridCol w:w="700"/>
        <w:gridCol w:w="3840"/>
      </w:tblGrid>
      <w:tr w:rsidR="00F50D70" w:rsidRPr="00BE4F47" w14:paraId="54D92E50" w14:textId="77777777">
        <w:trPr>
          <w:tblHeader/>
        </w:trPr>
        <w:tc>
          <w:tcPr>
            <w:tcW w:w="620" w:type="dxa"/>
            <w:tcBorders>
              <w:top w:val="single" w:sz="4" w:space="0" w:color="000000"/>
              <w:left w:val="single" w:sz="4" w:space="0" w:color="000000"/>
              <w:bottom w:val="single" w:sz="4" w:space="0" w:color="000000"/>
              <w:right w:val="single" w:sz="4" w:space="0" w:color="000000"/>
            </w:tcBorders>
            <w:shd w:val="clear" w:color="auto" w:fill="EFF4FB"/>
          </w:tcPr>
          <w:p w14:paraId="0647E68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Lot</w:t>
            </w:r>
          </w:p>
        </w:tc>
        <w:tc>
          <w:tcPr>
            <w:tcW w:w="3300" w:type="dxa"/>
            <w:tcBorders>
              <w:top w:val="single" w:sz="4" w:space="0" w:color="000000"/>
              <w:left w:val="single" w:sz="4" w:space="0" w:color="000000"/>
              <w:bottom w:val="single" w:sz="4" w:space="0" w:color="000000"/>
              <w:right w:val="single" w:sz="4" w:space="0" w:color="000000"/>
            </w:tcBorders>
            <w:shd w:val="clear" w:color="auto" w:fill="EFF4FB"/>
          </w:tcPr>
          <w:p w14:paraId="0F633F3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Intitulé</w:t>
            </w:r>
          </w:p>
        </w:tc>
        <w:tc>
          <w:tcPr>
            <w:tcW w:w="900" w:type="dxa"/>
            <w:tcBorders>
              <w:top w:val="single" w:sz="4" w:space="0" w:color="000000"/>
              <w:left w:val="single" w:sz="4" w:space="0" w:color="000000"/>
              <w:bottom w:val="single" w:sz="4" w:space="0" w:color="000000"/>
              <w:right w:val="single" w:sz="4" w:space="0" w:color="000000"/>
            </w:tcBorders>
            <w:shd w:val="clear" w:color="auto" w:fill="EFF4FB"/>
          </w:tcPr>
          <w:p w14:paraId="6D7D75C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Effort</w:t>
            </w:r>
          </w:p>
        </w:tc>
        <w:tc>
          <w:tcPr>
            <w:tcW w:w="700" w:type="dxa"/>
            <w:tcBorders>
              <w:top w:val="single" w:sz="4" w:space="0" w:color="000000"/>
              <w:left w:val="single" w:sz="4" w:space="0" w:color="000000"/>
              <w:bottom w:val="single" w:sz="4" w:space="0" w:color="000000"/>
              <w:right w:val="single" w:sz="4" w:space="0" w:color="000000"/>
            </w:tcBorders>
            <w:shd w:val="clear" w:color="auto" w:fill="EFF4FB"/>
          </w:tcPr>
          <w:p w14:paraId="011C27B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Part</w:t>
            </w:r>
          </w:p>
        </w:tc>
        <w:tc>
          <w:tcPr>
            <w:tcW w:w="3840" w:type="dxa"/>
            <w:tcBorders>
              <w:top w:val="single" w:sz="4" w:space="0" w:color="000000"/>
              <w:left w:val="single" w:sz="4" w:space="0" w:color="000000"/>
              <w:bottom w:val="single" w:sz="4" w:space="0" w:color="000000"/>
              <w:right w:val="single" w:sz="4" w:space="0" w:color="000000"/>
            </w:tcBorders>
            <w:shd w:val="clear" w:color="auto" w:fill="EFF4FB"/>
          </w:tcPr>
          <w:p w14:paraId="302D4C6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Compétences dominantes</w:t>
            </w:r>
          </w:p>
        </w:tc>
      </w:tr>
      <w:tr w:rsidR="00F50D70" w:rsidRPr="00BE4F47" w14:paraId="0180D601"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2AD2940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L1</w:t>
            </w:r>
          </w:p>
        </w:tc>
        <w:tc>
          <w:tcPr>
            <w:tcW w:w="3300" w:type="dxa"/>
            <w:tcBorders>
              <w:top w:val="single" w:sz="4" w:space="0" w:color="000000"/>
              <w:left w:val="single" w:sz="4" w:space="0" w:color="000000"/>
              <w:bottom w:val="single" w:sz="4" w:space="0" w:color="000000"/>
              <w:right w:val="single" w:sz="4" w:space="0" w:color="000000"/>
            </w:tcBorders>
          </w:tcPr>
          <w:p w14:paraId="6B86CF4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 projet, assurance qualité et documentation</w:t>
            </w:r>
          </w:p>
        </w:tc>
        <w:tc>
          <w:tcPr>
            <w:tcW w:w="900" w:type="dxa"/>
            <w:tcBorders>
              <w:top w:val="single" w:sz="4" w:space="0" w:color="000000"/>
              <w:left w:val="single" w:sz="4" w:space="0" w:color="000000"/>
              <w:bottom w:val="single" w:sz="4" w:space="0" w:color="000000"/>
              <w:right w:val="single" w:sz="4" w:space="0" w:color="000000"/>
            </w:tcBorders>
          </w:tcPr>
          <w:p w14:paraId="2DCAA9B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108 h</w:t>
            </w:r>
          </w:p>
        </w:tc>
        <w:tc>
          <w:tcPr>
            <w:tcW w:w="700" w:type="dxa"/>
            <w:tcBorders>
              <w:top w:val="single" w:sz="4" w:space="0" w:color="000000"/>
              <w:left w:val="single" w:sz="4" w:space="0" w:color="000000"/>
              <w:bottom w:val="single" w:sz="4" w:space="0" w:color="000000"/>
              <w:right w:val="single" w:sz="4" w:space="0" w:color="000000"/>
            </w:tcBorders>
          </w:tcPr>
          <w:p w14:paraId="52DE947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w:t>
            </w:r>
          </w:p>
        </w:tc>
        <w:tc>
          <w:tcPr>
            <w:tcW w:w="3840" w:type="dxa"/>
            <w:tcBorders>
              <w:top w:val="single" w:sz="4" w:space="0" w:color="000000"/>
              <w:left w:val="single" w:sz="4" w:space="0" w:color="000000"/>
              <w:bottom w:val="single" w:sz="4" w:space="0" w:color="000000"/>
              <w:right w:val="single" w:sz="4" w:space="0" w:color="000000"/>
            </w:tcBorders>
          </w:tcPr>
          <w:p w14:paraId="3FF3A80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rédaction technique</w:t>
            </w:r>
          </w:p>
        </w:tc>
      </w:tr>
      <w:tr w:rsidR="00F50D70" w:rsidRPr="00BE4F47" w14:paraId="33681CF0"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469E9B3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L2</w:t>
            </w:r>
          </w:p>
        </w:tc>
        <w:tc>
          <w:tcPr>
            <w:tcW w:w="3300" w:type="dxa"/>
            <w:tcBorders>
              <w:top w:val="single" w:sz="4" w:space="0" w:color="000000"/>
              <w:left w:val="single" w:sz="4" w:space="0" w:color="000000"/>
              <w:bottom w:val="single" w:sz="4" w:space="0" w:color="000000"/>
              <w:right w:val="single" w:sz="4" w:space="0" w:color="000000"/>
            </w:tcBorders>
          </w:tcPr>
          <w:p w14:paraId="4DB53EF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Ingénierie des exigences et analyse fonctionnelle</w:t>
            </w:r>
          </w:p>
        </w:tc>
        <w:tc>
          <w:tcPr>
            <w:tcW w:w="900" w:type="dxa"/>
            <w:tcBorders>
              <w:top w:val="single" w:sz="4" w:space="0" w:color="000000"/>
              <w:left w:val="single" w:sz="4" w:space="0" w:color="000000"/>
              <w:bottom w:val="single" w:sz="4" w:space="0" w:color="000000"/>
              <w:right w:val="single" w:sz="4" w:space="0" w:color="000000"/>
            </w:tcBorders>
          </w:tcPr>
          <w:p w14:paraId="3D3D283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108 h</w:t>
            </w:r>
          </w:p>
        </w:tc>
        <w:tc>
          <w:tcPr>
            <w:tcW w:w="700" w:type="dxa"/>
            <w:tcBorders>
              <w:top w:val="single" w:sz="4" w:space="0" w:color="000000"/>
              <w:left w:val="single" w:sz="4" w:space="0" w:color="000000"/>
              <w:bottom w:val="single" w:sz="4" w:space="0" w:color="000000"/>
              <w:right w:val="single" w:sz="4" w:space="0" w:color="000000"/>
            </w:tcBorders>
          </w:tcPr>
          <w:p w14:paraId="6E3D102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w:t>
            </w:r>
          </w:p>
        </w:tc>
        <w:tc>
          <w:tcPr>
            <w:tcW w:w="3840" w:type="dxa"/>
            <w:tcBorders>
              <w:top w:val="single" w:sz="4" w:space="0" w:color="000000"/>
              <w:left w:val="single" w:sz="4" w:space="0" w:color="000000"/>
              <w:bottom w:val="single" w:sz="4" w:space="0" w:color="000000"/>
              <w:right w:val="single" w:sz="4" w:space="0" w:color="000000"/>
            </w:tcBorders>
          </w:tcPr>
          <w:p w14:paraId="37A0EB1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Analyse, modélisation </w:t>
            </w:r>
            <w:proofErr w:type="spellStart"/>
            <w:r w:rsidRPr="00BE4F47">
              <w:rPr>
                <w:rFonts w:ascii="Aptos" w:eastAsia="Calibri" w:hAnsi="Aptos" w:cs="Calibri"/>
                <w:color w:val="1A1A19"/>
                <w:sz w:val="16"/>
                <w:szCs w:val="16"/>
                <w:lang w:val="fr-FR"/>
              </w:rPr>
              <w:t>SysML</w:t>
            </w:r>
            <w:proofErr w:type="spellEnd"/>
            <w:r w:rsidRPr="00BE4F47">
              <w:rPr>
                <w:rFonts w:ascii="Aptos" w:eastAsia="Calibri" w:hAnsi="Aptos" w:cs="Calibri"/>
                <w:color w:val="1A1A19"/>
                <w:sz w:val="16"/>
                <w:szCs w:val="16"/>
                <w:lang w:val="fr-FR"/>
              </w:rPr>
              <w:t xml:space="preserve"> et UML</w:t>
            </w:r>
          </w:p>
        </w:tc>
      </w:tr>
      <w:tr w:rsidR="00F50D70" w:rsidRPr="00BE4F47" w14:paraId="0A10CA99"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3C2AEA8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lastRenderedPageBreak/>
              <w:t>L3</w:t>
            </w:r>
          </w:p>
        </w:tc>
        <w:tc>
          <w:tcPr>
            <w:tcW w:w="3300" w:type="dxa"/>
            <w:tcBorders>
              <w:top w:val="single" w:sz="4" w:space="0" w:color="000000"/>
              <w:left w:val="single" w:sz="4" w:space="0" w:color="000000"/>
              <w:bottom w:val="single" w:sz="4" w:space="0" w:color="000000"/>
              <w:right w:val="single" w:sz="4" w:space="0" w:color="000000"/>
            </w:tcBorders>
          </w:tcPr>
          <w:p w14:paraId="5573C72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État de l’art, normes, codes et cadre réglementaire</w:t>
            </w:r>
          </w:p>
        </w:tc>
        <w:tc>
          <w:tcPr>
            <w:tcW w:w="900" w:type="dxa"/>
            <w:tcBorders>
              <w:top w:val="single" w:sz="4" w:space="0" w:color="000000"/>
              <w:left w:val="single" w:sz="4" w:space="0" w:color="000000"/>
              <w:bottom w:val="single" w:sz="4" w:space="0" w:color="000000"/>
              <w:right w:val="single" w:sz="4" w:space="0" w:color="000000"/>
            </w:tcBorders>
          </w:tcPr>
          <w:p w14:paraId="55AC376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86 h</w:t>
            </w:r>
          </w:p>
        </w:tc>
        <w:tc>
          <w:tcPr>
            <w:tcW w:w="700" w:type="dxa"/>
            <w:tcBorders>
              <w:top w:val="single" w:sz="4" w:space="0" w:color="000000"/>
              <w:left w:val="single" w:sz="4" w:space="0" w:color="000000"/>
              <w:bottom w:val="single" w:sz="4" w:space="0" w:color="000000"/>
              <w:right w:val="single" w:sz="4" w:space="0" w:color="000000"/>
            </w:tcBorders>
          </w:tcPr>
          <w:p w14:paraId="4AD542A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8 %</w:t>
            </w:r>
          </w:p>
        </w:tc>
        <w:tc>
          <w:tcPr>
            <w:tcW w:w="3840" w:type="dxa"/>
            <w:tcBorders>
              <w:top w:val="single" w:sz="4" w:space="0" w:color="000000"/>
              <w:left w:val="single" w:sz="4" w:space="0" w:color="000000"/>
              <w:bottom w:val="single" w:sz="4" w:space="0" w:color="000000"/>
              <w:right w:val="single" w:sz="4" w:space="0" w:color="000000"/>
            </w:tcBorders>
          </w:tcPr>
          <w:p w14:paraId="726AE64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Recherche documentaire, veille normative</w:t>
            </w:r>
          </w:p>
        </w:tc>
      </w:tr>
      <w:tr w:rsidR="00F50D70" w:rsidRPr="00BE4F47" w14:paraId="1A2587E8"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413907D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L4</w:t>
            </w:r>
          </w:p>
        </w:tc>
        <w:tc>
          <w:tcPr>
            <w:tcW w:w="3300" w:type="dxa"/>
            <w:tcBorders>
              <w:top w:val="single" w:sz="4" w:space="0" w:color="000000"/>
              <w:left w:val="single" w:sz="4" w:space="0" w:color="000000"/>
              <w:bottom w:val="single" w:sz="4" w:space="0" w:color="000000"/>
              <w:right w:val="single" w:sz="4" w:space="0" w:color="000000"/>
            </w:tcBorders>
          </w:tcPr>
          <w:p w14:paraId="43EF1FD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Modélisation de la boucle et modèle de référence</w:t>
            </w:r>
          </w:p>
        </w:tc>
        <w:tc>
          <w:tcPr>
            <w:tcW w:w="900" w:type="dxa"/>
            <w:tcBorders>
              <w:top w:val="single" w:sz="4" w:space="0" w:color="000000"/>
              <w:left w:val="single" w:sz="4" w:space="0" w:color="000000"/>
              <w:bottom w:val="single" w:sz="4" w:space="0" w:color="000000"/>
              <w:right w:val="single" w:sz="4" w:space="0" w:color="000000"/>
            </w:tcBorders>
          </w:tcPr>
          <w:p w14:paraId="47A57FA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162 h</w:t>
            </w:r>
          </w:p>
        </w:tc>
        <w:tc>
          <w:tcPr>
            <w:tcW w:w="700" w:type="dxa"/>
            <w:tcBorders>
              <w:top w:val="single" w:sz="4" w:space="0" w:color="000000"/>
              <w:left w:val="single" w:sz="4" w:space="0" w:color="000000"/>
              <w:bottom w:val="single" w:sz="4" w:space="0" w:color="000000"/>
              <w:right w:val="single" w:sz="4" w:space="0" w:color="000000"/>
            </w:tcBorders>
          </w:tcPr>
          <w:p w14:paraId="331F0FD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15 %</w:t>
            </w:r>
          </w:p>
        </w:tc>
        <w:tc>
          <w:tcPr>
            <w:tcW w:w="3840" w:type="dxa"/>
            <w:tcBorders>
              <w:top w:val="single" w:sz="4" w:space="0" w:color="000000"/>
              <w:left w:val="single" w:sz="4" w:space="0" w:color="000000"/>
              <w:bottom w:val="single" w:sz="4" w:space="0" w:color="000000"/>
              <w:right w:val="single" w:sz="4" w:space="0" w:color="000000"/>
            </w:tcBorders>
          </w:tcPr>
          <w:p w14:paraId="49B0AE8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Thermodynamique, mécanique des fluides, </w:t>
            </w:r>
            <w:proofErr w:type="spellStart"/>
            <w:r w:rsidRPr="00BE4F47">
              <w:rPr>
                <w:rFonts w:ascii="Aptos" w:eastAsia="Calibri" w:hAnsi="Aptos" w:cs="Calibri"/>
                <w:color w:val="1A1A19"/>
                <w:sz w:val="16"/>
                <w:szCs w:val="16"/>
                <w:lang w:val="fr-FR"/>
              </w:rPr>
              <w:t>Modelica</w:t>
            </w:r>
            <w:proofErr w:type="spellEnd"/>
          </w:p>
        </w:tc>
      </w:tr>
      <w:tr w:rsidR="00F50D70" w:rsidRPr="00BE4F47" w14:paraId="57DA2FB7"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2CDB8E9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L5</w:t>
            </w:r>
          </w:p>
        </w:tc>
        <w:tc>
          <w:tcPr>
            <w:tcW w:w="3300" w:type="dxa"/>
            <w:tcBorders>
              <w:top w:val="single" w:sz="4" w:space="0" w:color="000000"/>
              <w:left w:val="single" w:sz="4" w:space="0" w:color="000000"/>
              <w:bottom w:val="single" w:sz="4" w:space="0" w:color="000000"/>
              <w:right w:val="single" w:sz="4" w:space="0" w:color="000000"/>
            </w:tcBorders>
          </w:tcPr>
          <w:p w14:paraId="7DFA49B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Architecture logicielle et cybersécurité</w:t>
            </w:r>
          </w:p>
        </w:tc>
        <w:tc>
          <w:tcPr>
            <w:tcW w:w="900" w:type="dxa"/>
            <w:tcBorders>
              <w:top w:val="single" w:sz="4" w:space="0" w:color="000000"/>
              <w:left w:val="single" w:sz="4" w:space="0" w:color="000000"/>
              <w:bottom w:val="single" w:sz="4" w:space="0" w:color="000000"/>
              <w:right w:val="single" w:sz="4" w:space="0" w:color="000000"/>
            </w:tcBorders>
          </w:tcPr>
          <w:p w14:paraId="05EACBE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130 h</w:t>
            </w:r>
          </w:p>
        </w:tc>
        <w:tc>
          <w:tcPr>
            <w:tcW w:w="700" w:type="dxa"/>
            <w:tcBorders>
              <w:top w:val="single" w:sz="4" w:space="0" w:color="000000"/>
              <w:left w:val="single" w:sz="4" w:space="0" w:color="000000"/>
              <w:bottom w:val="single" w:sz="4" w:space="0" w:color="000000"/>
              <w:right w:val="single" w:sz="4" w:space="0" w:color="000000"/>
            </w:tcBorders>
          </w:tcPr>
          <w:p w14:paraId="1B9DD98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12 %</w:t>
            </w:r>
          </w:p>
        </w:tc>
        <w:tc>
          <w:tcPr>
            <w:tcW w:w="3840" w:type="dxa"/>
            <w:tcBorders>
              <w:top w:val="single" w:sz="4" w:space="0" w:color="000000"/>
              <w:left w:val="single" w:sz="4" w:space="0" w:color="000000"/>
              <w:bottom w:val="single" w:sz="4" w:space="0" w:color="000000"/>
              <w:right w:val="single" w:sz="4" w:space="0" w:color="000000"/>
            </w:tcBorders>
          </w:tcPr>
          <w:p w14:paraId="11ADE94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Architecture, réseaux, sécurité des systèmes industriels</w:t>
            </w:r>
          </w:p>
        </w:tc>
      </w:tr>
      <w:tr w:rsidR="00F50D70" w:rsidRPr="00BE4F47" w14:paraId="2DBD9551"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686555C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L6</w:t>
            </w:r>
          </w:p>
        </w:tc>
        <w:tc>
          <w:tcPr>
            <w:tcW w:w="3300" w:type="dxa"/>
            <w:tcBorders>
              <w:top w:val="single" w:sz="4" w:space="0" w:color="000000"/>
              <w:left w:val="single" w:sz="4" w:space="0" w:color="000000"/>
              <w:bottom w:val="single" w:sz="4" w:space="0" w:color="000000"/>
              <w:right w:val="single" w:sz="4" w:space="0" w:color="000000"/>
            </w:tcBorders>
          </w:tcPr>
          <w:p w14:paraId="1299568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Noyau de simulation et chaîne d’acquisition des données</w:t>
            </w:r>
          </w:p>
        </w:tc>
        <w:tc>
          <w:tcPr>
            <w:tcW w:w="900" w:type="dxa"/>
            <w:tcBorders>
              <w:top w:val="single" w:sz="4" w:space="0" w:color="000000"/>
              <w:left w:val="single" w:sz="4" w:space="0" w:color="000000"/>
              <w:bottom w:val="single" w:sz="4" w:space="0" w:color="000000"/>
              <w:right w:val="single" w:sz="4" w:space="0" w:color="000000"/>
            </w:tcBorders>
          </w:tcPr>
          <w:p w14:paraId="1F99C76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162 h</w:t>
            </w:r>
          </w:p>
        </w:tc>
        <w:tc>
          <w:tcPr>
            <w:tcW w:w="700" w:type="dxa"/>
            <w:tcBorders>
              <w:top w:val="single" w:sz="4" w:space="0" w:color="000000"/>
              <w:left w:val="single" w:sz="4" w:space="0" w:color="000000"/>
              <w:bottom w:val="single" w:sz="4" w:space="0" w:color="000000"/>
              <w:right w:val="single" w:sz="4" w:space="0" w:color="000000"/>
            </w:tcBorders>
          </w:tcPr>
          <w:p w14:paraId="698350A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15 %</w:t>
            </w:r>
          </w:p>
        </w:tc>
        <w:tc>
          <w:tcPr>
            <w:tcW w:w="3840" w:type="dxa"/>
            <w:tcBorders>
              <w:top w:val="single" w:sz="4" w:space="0" w:color="000000"/>
              <w:left w:val="single" w:sz="4" w:space="0" w:color="000000"/>
              <w:bottom w:val="single" w:sz="4" w:space="0" w:color="000000"/>
              <w:right w:val="single" w:sz="4" w:space="0" w:color="000000"/>
            </w:tcBorders>
          </w:tcPr>
          <w:p w14:paraId="6DBAAE4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Génie logiciel, traitement du signal</w:t>
            </w:r>
          </w:p>
        </w:tc>
      </w:tr>
      <w:tr w:rsidR="00F50D70" w:rsidRPr="00BE4F47" w14:paraId="48E94732"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5D161A1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L7</w:t>
            </w:r>
          </w:p>
        </w:tc>
        <w:tc>
          <w:tcPr>
            <w:tcW w:w="3300" w:type="dxa"/>
            <w:tcBorders>
              <w:top w:val="single" w:sz="4" w:space="0" w:color="000000"/>
              <w:left w:val="single" w:sz="4" w:space="0" w:color="000000"/>
              <w:bottom w:val="single" w:sz="4" w:space="0" w:color="000000"/>
              <w:right w:val="single" w:sz="4" w:space="0" w:color="000000"/>
            </w:tcBorders>
          </w:tcPr>
          <w:p w14:paraId="33F2EF9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Détection d’anomalies et quantification de l’incertitude</w:t>
            </w:r>
          </w:p>
        </w:tc>
        <w:tc>
          <w:tcPr>
            <w:tcW w:w="900" w:type="dxa"/>
            <w:tcBorders>
              <w:top w:val="single" w:sz="4" w:space="0" w:color="000000"/>
              <w:left w:val="single" w:sz="4" w:space="0" w:color="000000"/>
              <w:bottom w:val="single" w:sz="4" w:space="0" w:color="000000"/>
              <w:right w:val="single" w:sz="4" w:space="0" w:color="000000"/>
            </w:tcBorders>
          </w:tcPr>
          <w:p w14:paraId="09DF5A6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108 h</w:t>
            </w:r>
          </w:p>
        </w:tc>
        <w:tc>
          <w:tcPr>
            <w:tcW w:w="700" w:type="dxa"/>
            <w:tcBorders>
              <w:top w:val="single" w:sz="4" w:space="0" w:color="000000"/>
              <w:left w:val="single" w:sz="4" w:space="0" w:color="000000"/>
              <w:bottom w:val="single" w:sz="4" w:space="0" w:color="000000"/>
              <w:right w:val="single" w:sz="4" w:space="0" w:color="000000"/>
            </w:tcBorders>
          </w:tcPr>
          <w:p w14:paraId="589B679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w:t>
            </w:r>
          </w:p>
        </w:tc>
        <w:tc>
          <w:tcPr>
            <w:tcW w:w="3840" w:type="dxa"/>
            <w:tcBorders>
              <w:top w:val="single" w:sz="4" w:space="0" w:color="000000"/>
              <w:left w:val="single" w:sz="4" w:space="0" w:color="000000"/>
              <w:bottom w:val="single" w:sz="4" w:space="0" w:color="000000"/>
              <w:right w:val="single" w:sz="4" w:space="0" w:color="000000"/>
            </w:tcBorders>
          </w:tcPr>
          <w:p w14:paraId="5CE1438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Statistique, apprentissage automatique</w:t>
            </w:r>
          </w:p>
        </w:tc>
      </w:tr>
      <w:tr w:rsidR="00F50D70" w:rsidRPr="00BE4F47" w14:paraId="08D8356A"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385D343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L8</w:t>
            </w:r>
          </w:p>
        </w:tc>
        <w:tc>
          <w:tcPr>
            <w:tcW w:w="3300" w:type="dxa"/>
            <w:tcBorders>
              <w:top w:val="single" w:sz="4" w:space="0" w:color="000000"/>
              <w:left w:val="single" w:sz="4" w:space="0" w:color="000000"/>
              <w:bottom w:val="single" w:sz="4" w:space="0" w:color="000000"/>
              <w:right w:val="single" w:sz="4" w:space="0" w:color="000000"/>
            </w:tcBorders>
          </w:tcPr>
          <w:p w14:paraId="6AA9D14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d’aide à la décision</w:t>
            </w:r>
          </w:p>
        </w:tc>
        <w:tc>
          <w:tcPr>
            <w:tcW w:w="900" w:type="dxa"/>
            <w:tcBorders>
              <w:top w:val="single" w:sz="4" w:space="0" w:color="000000"/>
              <w:left w:val="single" w:sz="4" w:space="0" w:color="000000"/>
              <w:bottom w:val="single" w:sz="4" w:space="0" w:color="000000"/>
              <w:right w:val="single" w:sz="4" w:space="0" w:color="000000"/>
            </w:tcBorders>
          </w:tcPr>
          <w:p w14:paraId="0FCEE88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86 h</w:t>
            </w:r>
          </w:p>
        </w:tc>
        <w:tc>
          <w:tcPr>
            <w:tcW w:w="700" w:type="dxa"/>
            <w:tcBorders>
              <w:top w:val="single" w:sz="4" w:space="0" w:color="000000"/>
              <w:left w:val="single" w:sz="4" w:space="0" w:color="000000"/>
              <w:bottom w:val="single" w:sz="4" w:space="0" w:color="000000"/>
              <w:right w:val="single" w:sz="4" w:space="0" w:color="000000"/>
            </w:tcBorders>
          </w:tcPr>
          <w:p w14:paraId="0FBAC14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8 %</w:t>
            </w:r>
          </w:p>
        </w:tc>
        <w:tc>
          <w:tcPr>
            <w:tcW w:w="3840" w:type="dxa"/>
            <w:tcBorders>
              <w:top w:val="single" w:sz="4" w:space="0" w:color="000000"/>
              <w:left w:val="single" w:sz="4" w:space="0" w:color="000000"/>
              <w:bottom w:val="single" w:sz="4" w:space="0" w:color="000000"/>
              <w:right w:val="single" w:sz="4" w:space="0" w:color="000000"/>
            </w:tcBorders>
          </w:tcPr>
          <w:p w14:paraId="0A94C86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homme-machine, facteurs humains</w:t>
            </w:r>
          </w:p>
        </w:tc>
      </w:tr>
      <w:tr w:rsidR="00F50D70" w:rsidRPr="00BE4F47" w14:paraId="681C7477"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6985E6D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L9</w:t>
            </w:r>
          </w:p>
        </w:tc>
        <w:tc>
          <w:tcPr>
            <w:tcW w:w="3300" w:type="dxa"/>
            <w:tcBorders>
              <w:top w:val="single" w:sz="4" w:space="0" w:color="000000"/>
              <w:left w:val="single" w:sz="4" w:space="0" w:color="000000"/>
              <w:bottom w:val="single" w:sz="4" w:space="0" w:color="000000"/>
              <w:right w:val="single" w:sz="4" w:space="0" w:color="000000"/>
            </w:tcBorders>
          </w:tcPr>
          <w:p w14:paraId="50F6B7C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Intégration, vérification, validation et campagne d’essais</w:t>
            </w:r>
          </w:p>
        </w:tc>
        <w:tc>
          <w:tcPr>
            <w:tcW w:w="900" w:type="dxa"/>
            <w:tcBorders>
              <w:top w:val="single" w:sz="4" w:space="0" w:color="000000"/>
              <w:left w:val="single" w:sz="4" w:space="0" w:color="000000"/>
              <w:bottom w:val="single" w:sz="4" w:space="0" w:color="000000"/>
              <w:right w:val="single" w:sz="4" w:space="0" w:color="000000"/>
            </w:tcBorders>
          </w:tcPr>
          <w:p w14:paraId="23F6158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130 h</w:t>
            </w:r>
          </w:p>
        </w:tc>
        <w:tc>
          <w:tcPr>
            <w:tcW w:w="700" w:type="dxa"/>
            <w:tcBorders>
              <w:top w:val="single" w:sz="4" w:space="0" w:color="000000"/>
              <w:left w:val="single" w:sz="4" w:space="0" w:color="000000"/>
              <w:bottom w:val="single" w:sz="4" w:space="0" w:color="000000"/>
              <w:right w:val="single" w:sz="4" w:space="0" w:color="000000"/>
            </w:tcBorders>
          </w:tcPr>
          <w:p w14:paraId="32A5B98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12 %</w:t>
            </w:r>
          </w:p>
        </w:tc>
        <w:tc>
          <w:tcPr>
            <w:tcW w:w="3840" w:type="dxa"/>
            <w:tcBorders>
              <w:top w:val="single" w:sz="4" w:space="0" w:color="000000"/>
              <w:left w:val="single" w:sz="4" w:space="0" w:color="000000"/>
              <w:bottom w:val="single" w:sz="4" w:space="0" w:color="000000"/>
              <w:right w:val="single" w:sz="4" w:space="0" w:color="000000"/>
            </w:tcBorders>
          </w:tcPr>
          <w:p w14:paraId="1ACA90A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V&amp;V, plan d’expérience</w:t>
            </w:r>
          </w:p>
        </w:tc>
      </w:tr>
      <w:tr w:rsidR="00F50D70" w:rsidRPr="00BE4F47" w14:paraId="1C0C311C"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26ACE79A"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c>
          <w:tcPr>
            <w:tcW w:w="3300" w:type="dxa"/>
            <w:tcBorders>
              <w:top w:val="single" w:sz="4" w:space="0" w:color="000000"/>
              <w:left w:val="single" w:sz="4" w:space="0" w:color="000000"/>
              <w:bottom w:val="single" w:sz="4" w:space="0" w:color="000000"/>
              <w:right w:val="single" w:sz="4" w:space="0" w:color="000000"/>
            </w:tcBorders>
          </w:tcPr>
          <w:p w14:paraId="523DC7C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Total</w:t>
            </w:r>
          </w:p>
        </w:tc>
        <w:tc>
          <w:tcPr>
            <w:tcW w:w="900" w:type="dxa"/>
            <w:tcBorders>
              <w:top w:val="single" w:sz="4" w:space="0" w:color="000000"/>
              <w:left w:val="single" w:sz="4" w:space="0" w:color="000000"/>
              <w:bottom w:val="single" w:sz="4" w:space="0" w:color="000000"/>
              <w:right w:val="single" w:sz="4" w:space="0" w:color="000000"/>
            </w:tcBorders>
          </w:tcPr>
          <w:p w14:paraId="2725E60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1 080 h</w:t>
            </w:r>
          </w:p>
        </w:tc>
        <w:tc>
          <w:tcPr>
            <w:tcW w:w="700" w:type="dxa"/>
            <w:tcBorders>
              <w:top w:val="single" w:sz="4" w:space="0" w:color="000000"/>
              <w:left w:val="single" w:sz="4" w:space="0" w:color="000000"/>
              <w:bottom w:val="single" w:sz="4" w:space="0" w:color="000000"/>
              <w:right w:val="single" w:sz="4" w:space="0" w:color="000000"/>
            </w:tcBorders>
          </w:tcPr>
          <w:p w14:paraId="73F7428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100 %</w:t>
            </w:r>
          </w:p>
        </w:tc>
        <w:tc>
          <w:tcPr>
            <w:tcW w:w="3840" w:type="dxa"/>
            <w:tcBorders>
              <w:top w:val="single" w:sz="4" w:space="0" w:color="000000"/>
              <w:left w:val="single" w:sz="4" w:space="0" w:color="000000"/>
              <w:bottom w:val="single" w:sz="4" w:space="0" w:color="000000"/>
              <w:right w:val="single" w:sz="4" w:space="0" w:color="000000"/>
            </w:tcBorders>
          </w:tcPr>
          <w:p w14:paraId="6FBF617F"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r>
    </w:tbl>
    <w:p w14:paraId="1AC4CF46" w14:textId="77777777" w:rsidR="00F50D70" w:rsidRPr="00BE4F47" w:rsidRDefault="00F50D70" w:rsidP="008E113B">
      <w:pPr>
        <w:pStyle w:val="Retraitcorpsdetexte3"/>
        <w:spacing w:line="360" w:lineRule="auto"/>
        <w:ind w:left="0" w:firstLine="0"/>
        <w:rPr>
          <w:rFonts w:ascii="Aptos" w:hAnsi="Aptos"/>
        </w:rPr>
      </w:pPr>
    </w:p>
    <w:p w14:paraId="0B506A94" w14:textId="77777777" w:rsidR="00F50D70" w:rsidRPr="00B36301" w:rsidRDefault="00000000" w:rsidP="008E113B">
      <w:pPr>
        <w:pStyle w:val="Titre2"/>
        <w:spacing w:line="360" w:lineRule="auto"/>
      </w:pPr>
      <w:bookmarkStart w:id="433" w:name="_Toc241083128"/>
      <w:r w:rsidRPr="00B36301">
        <w:t>Ressources matérielles et d’infrastructure</w:t>
      </w:r>
      <w:bookmarkEnd w:id="433"/>
    </w:p>
    <w:p w14:paraId="27156172"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34" w:name="_Toc241083129"/>
      <w:r w:rsidRPr="00BE4F47">
        <w:rPr>
          <w:rFonts w:ascii="Aptos" w:eastAsia="Calibri" w:hAnsi="Aptos" w:cs="Calibri"/>
          <w:color w:val="1A1A19"/>
          <w:sz w:val="20"/>
          <w:szCs w:val="20"/>
        </w:rPr>
        <w:t>Le projet est de nature logicielle. Il ne nécessite aucun achat d’équipement. Les ressources matérielles sont soit apportées par l’équipe, soit fournies par l’établissement.</w:t>
      </w:r>
      <w:bookmarkEnd w:id="434"/>
    </w:p>
    <w:p w14:paraId="7A48164C" w14:textId="77777777" w:rsidR="00F50D70" w:rsidRPr="00BE4F47" w:rsidRDefault="00000000" w:rsidP="008E113B">
      <w:pPr>
        <w:pStyle w:val="Lgende"/>
        <w:spacing w:line="360" w:lineRule="auto"/>
        <w:rPr>
          <w:rFonts w:ascii="Aptos" w:hAnsi="Aptos"/>
        </w:rPr>
      </w:pPr>
      <w:bookmarkStart w:id="435" w:name="_Toc241083130"/>
      <w:r w:rsidRPr="00BE4F47">
        <w:rPr>
          <w:rFonts w:ascii="Aptos" w:hAnsi="Aptos"/>
        </w:rPr>
        <w:t>Tableau 8-3. Ressources matérielles et d’infrastructure</w:t>
      </w:r>
      <w:bookmarkEnd w:id="435"/>
    </w:p>
    <w:tbl>
      <w:tblPr>
        <w:tblW w:w="9337" w:type="dxa"/>
        <w:tblLayout w:type="fixed"/>
        <w:tblCellMar>
          <w:top w:w="55" w:type="dxa"/>
          <w:left w:w="85" w:type="dxa"/>
          <w:bottom w:w="55" w:type="dxa"/>
          <w:right w:w="85" w:type="dxa"/>
        </w:tblCellMar>
        <w:tblLook w:val="04A0" w:firstRow="1" w:lastRow="0" w:firstColumn="1" w:lastColumn="0" w:noHBand="0" w:noVBand="1"/>
      </w:tblPr>
      <w:tblGrid>
        <w:gridCol w:w="4087"/>
        <w:gridCol w:w="759"/>
        <w:gridCol w:w="2295"/>
        <w:gridCol w:w="2196"/>
      </w:tblGrid>
      <w:tr w:rsidR="00F50D70" w:rsidRPr="00BE4F47" w14:paraId="4E1C65CC" w14:textId="77777777">
        <w:trPr>
          <w:tblHeader/>
        </w:trPr>
        <w:tc>
          <w:tcPr>
            <w:tcW w:w="4087" w:type="dxa"/>
            <w:tcBorders>
              <w:top w:val="single" w:sz="4" w:space="0" w:color="000000"/>
              <w:left w:val="single" w:sz="4" w:space="0" w:color="000000"/>
              <w:bottom w:val="single" w:sz="4" w:space="0" w:color="000000"/>
              <w:right w:val="single" w:sz="4" w:space="0" w:color="000000"/>
            </w:tcBorders>
            <w:shd w:val="clear" w:color="auto" w:fill="EFF4FB"/>
          </w:tcPr>
          <w:p w14:paraId="3A8C512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Ressource</w:t>
            </w:r>
          </w:p>
        </w:tc>
        <w:tc>
          <w:tcPr>
            <w:tcW w:w="759" w:type="dxa"/>
            <w:tcBorders>
              <w:top w:val="single" w:sz="4" w:space="0" w:color="000000"/>
              <w:left w:val="single" w:sz="4" w:space="0" w:color="000000"/>
              <w:bottom w:val="single" w:sz="4" w:space="0" w:color="000000"/>
              <w:right w:val="single" w:sz="4" w:space="0" w:color="000000"/>
            </w:tcBorders>
            <w:shd w:val="clear" w:color="auto" w:fill="EFF4FB"/>
          </w:tcPr>
          <w:p w14:paraId="3413170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Qté</w:t>
            </w:r>
          </w:p>
        </w:tc>
        <w:tc>
          <w:tcPr>
            <w:tcW w:w="2295" w:type="dxa"/>
            <w:tcBorders>
              <w:top w:val="single" w:sz="4" w:space="0" w:color="000000"/>
              <w:left w:val="single" w:sz="4" w:space="0" w:color="000000"/>
              <w:bottom w:val="single" w:sz="4" w:space="0" w:color="000000"/>
              <w:right w:val="single" w:sz="4" w:space="0" w:color="000000"/>
            </w:tcBorders>
            <w:shd w:val="clear" w:color="auto" w:fill="EFF4FB"/>
          </w:tcPr>
          <w:p w14:paraId="5B66F55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Provenance</w:t>
            </w:r>
          </w:p>
        </w:tc>
        <w:tc>
          <w:tcPr>
            <w:tcW w:w="2196" w:type="dxa"/>
            <w:tcBorders>
              <w:top w:val="single" w:sz="4" w:space="0" w:color="000000"/>
              <w:left w:val="single" w:sz="4" w:space="0" w:color="000000"/>
              <w:bottom w:val="single" w:sz="4" w:space="0" w:color="000000"/>
              <w:right w:val="single" w:sz="4" w:space="0" w:color="000000"/>
            </w:tcBorders>
            <w:shd w:val="clear" w:color="auto" w:fill="EFF4FB"/>
          </w:tcPr>
          <w:p w14:paraId="17DE818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Coût imputé au mandat</w:t>
            </w:r>
          </w:p>
        </w:tc>
      </w:tr>
      <w:tr w:rsidR="00F50D70" w:rsidRPr="00BE4F47" w14:paraId="7E6F2B7E" w14:textId="77777777">
        <w:trPr>
          <w:cantSplit/>
        </w:trPr>
        <w:tc>
          <w:tcPr>
            <w:tcW w:w="4087" w:type="dxa"/>
            <w:tcBorders>
              <w:top w:val="single" w:sz="4" w:space="0" w:color="000000"/>
              <w:left w:val="single" w:sz="4" w:space="0" w:color="000000"/>
              <w:bottom w:val="single" w:sz="4" w:space="0" w:color="000000"/>
              <w:right w:val="single" w:sz="4" w:space="0" w:color="000000"/>
            </w:tcBorders>
          </w:tcPr>
          <w:p w14:paraId="327A14B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Postes de travail des membres</w:t>
            </w:r>
          </w:p>
        </w:tc>
        <w:tc>
          <w:tcPr>
            <w:tcW w:w="759" w:type="dxa"/>
            <w:tcBorders>
              <w:top w:val="single" w:sz="4" w:space="0" w:color="000000"/>
              <w:left w:val="single" w:sz="4" w:space="0" w:color="000000"/>
              <w:bottom w:val="single" w:sz="4" w:space="0" w:color="000000"/>
              <w:right w:val="single" w:sz="4" w:space="0" w:color="000000"/>
            </w:tcBorders>
          </w:tcPr>
          <w:p w14:paraId="1079362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w:t>
            </w:r>
          </w:p>
        </w:tc>
        <w:tc>
          <w:tcPr>
            <w:tcW w:w="2295" w:type="dxa"/>
            <w:tcBorders>
              <w:top w:val="single" w:sz="4" w:space="0" w:color="000000"/>
              <w:left w:val="single" w:sz="4" w:space="0" w:color="000000"/>
              <w:bottom w:val="single" w:sz="4" w:space="0" w:color="000000"/>
              <w:right w:val="single" w:sz="4" w:space="0" w:color="000000"/>
            </w:tcBorders>
          </w:tcPr>
          <w:p w14:paraId="15202EB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Apport de l’équipe</w:t>
            </w:r>
          </w:p>
        </w:tc>
        <w:tc>
          <w:tcPr>
            <w:tcW w:w="2196" w:type="dxa"/>
            <w:tcBorders>
              <w:top w:val="single" w:sz="4" w:space="0" w:color="000000"/>
              <w:left w:val="single" w:sz="4" w:space="0" w:color="000000"/>
              <w:bottom w:val="single" w:sz="4" w:space="0" w:color="000000"/>
              <w:right w:val="single" w:sz="4" w:space="0" w:color="000000"/>
            </w:tcBorders>
          </w:tcPr>
          <w:p w14:paraId="0EAC2E0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 amortissement à déclarer</w:t>
            </w:r>
          </w:p>
        </w:tc>
      </w:tr>
      <w:tr w:rsidR="00F50D70" w:rsidRPr="00BE4F47" w14:paraId="7C2DE308" w14:textId="77777777">
        <w:trPr>
          <w:cantSplit/>
        </w:trPr>
        <w:tc>
          <w:tcPr>
            <w:tcW w:w="4087" w:type="dxa"/>
            <w:tcBorders>
              <w:top w:val="single" w:sz="4" w:space="0" w:color="000000"/>
              <w:left w:val="single" w:sz="4" w:space="0" w:color="000000"/>
              <w:bottom w:val="single" w:sz="4" w:space="0" w:color="000000"/>
              <w:right w:val="single" w:sz="4" w:space="0" w:color="000000"/>
            </w:tcBorders>
          </w:tcPr>
          <w:p w14:paraId="09E4764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Station de calcul pour les simulations longues</w:t>
            </w:r>
          </w:p>
        </w:tc>
        <w:tc>
          <w:tcPr>
            <w:tcW w:w="759" w:type="dxa"/>
            <w:tcBorders>
              <w:top w:val="single" w:sz="4" w:space="0" w:color="000000"/>
              <w:left w:val="single" w:sz="4" w:space="0" w:color="000000"/>
              <w:bottom w:val="single" w:sz="4" w:space="0" w:color="000000"/>
              <w:right w:val="single" w:sz="4" w:space="0" w:color="000000"/>
            </w:tcBorders>
          </w:tcPr>
          <w:p w14:paraId="1C99BAF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w:t>
            </w:r>
          </w:p>
        </w:tc>
        <w:tc>
          <w:tcPr>
            <w:tcW w:w="2295" w:type="dxa"/>
            <w:tcBorders>
              <w:top w:val="single" w:sz="4" w:space="0" w:color="000000"/>
              <w:left w:val="single" w:sz="4" w:space="0" w:color="000000"/>
              <w:bottom w:val="single" w:sz="4" w:space="0" w:color="000000"/>
              <w:right w:val="single" w:sz="4" w:space="0" w:color="000000"/>
            </w:tcBorders>
          </w:tcPr>
          <w:p w14:paraId="50A73CC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Laboratoire de l’UQAC (H-06)</w:t>
            </w:r>
          </w:p>
        </w:tc>
        <w:tc>
          <w:tcPr>
            <w:tcW w:w="2196" w:type="dxa"/>
            <w:tcBorders>
              <w:top w:val="single" w:sz="4" w:space="0" w:color="000000"/>
              <w:left w:val="single" w:sz="4" w:space="0" w:color="000000"/>
              <w:bottom w:val="single" w:sz="4" w:space="0" w:color="000000"/>
              <w:right w:val="single" w:sz="4" w:space="0" w:color="000000"/>
            </w:tcBorders>
          </w:tcPr>
          <w:p w14:paraId="3AD4437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r w:rsidR="00F50D70" w:rsidRPr="00BE4F47" w14:paraId="1B08D6F8" w14:textId="77777777">
        <w:trPr>
          <w:cantSplit/>
        </w:trPr>
        <w:tc>
          <w:tcPr>
            <w:tcW w:w="4087" w:type="dxa"/>
            <w:tcBorders>
              <w:top w:val="single" w:sz="4" w:space="0" w:color="000000"/>
              <w:left w:val="single" w:sz="4" w:space="0" w:color="000000"/>
              <w:bottom w:val="single" w:sz="4" w:space="0" w:color="000000"/>
              <w:right w:val="single" w:sz="4" w:space="0" w:color="000000"/>
            </w:tcBorders>
          </w:tcPr>
          <w:p w14:paraId="076B94D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Environnement de virtualisation pour l’essai de segmentation réseau : deux machines virtuelles et un pare-feu logiciel</w:t>
            </w:r>
          </w:p>
        </w:tc>
        <w:tc>
          <w:tcPr>
            <w:tcW w:w="759" w:type="dxa"/>
            <w:tcBorders>
              <w:top w:val="single" w:sz="4" w:space="0" w:color="000000"/>
              <w:left w:val="single" w:sz="4" w:space="0" w:color="000000"/>
              <w:bottom w:val="single" w:sz="4" w:space="0" w:color="000000"/>
              <w:right w:val="single" w:sz="4" w:space="0" w:color="000000"/>
            </w:tcBorders>
          </w:tcPr>
          <w:p w14:paraId="45396AA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w:t>
            </w:r>
          </w:p>
        </w:tc>
        <w:tc>
          <w:tcPr>
            <w:tcW w:w="2295" w:type="dxa"/>
            <w:tcBorders>
              <w:top w:val="single" w:sz="4" w:space="0" w:color="000000"/>
              <w:left w:val="single" w:sz="4" w:space="0" w:color="000000"/>
              <w:bottom w:val="single" w:sz="4" w:space="0" w:color="000000"/>
              <w:right w:val="single" w:sz="4" w:space="0" w:color="000000"/>
            </w:tcBorders>
          </w:tcPr>
          <w:p w14:paraId="46BD2FC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Poste existant</w:t>
            </w:r>
          </w:p>
        </w:tc>
        <w:tc>
          <w:tcPr>
            <w:tcW w:w="2196" w:type="dxa"/>
            <w:tcBorders>
              <w:top w:val="single" w:sz="4" w:space="0" w:color="000000"/>
              <w:left w:val="single" w:sz="4" w:space="0" w:color="000000"/>
              <w:bottom w:val="single" w:sz="4" w:space="0" w:color="000000"/>
              <w:right w:val="single" w:sz="4" w:space="0" w:color="000000"/>
            </w:tcBorders>
          </w:tcPr>
          <w:p w14:paraId="62DEDE7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r w:rsidR="00F50D70" w:rsidRPr="00BE4F47" w14:paraId="2B6B1321" w14:textId="77777777">
        <w:trPr>
          <w:cantSplit/>
        </w:trPr>
        <w:tc>
          <w:tcPr>
            <w:tcW w:w="4087" w:type="dxa"/>
            <w:tcBorders>
              <w:top w:val="single" w:sz="4" w:space="0" w:color="000000"/>
              <w:left w:val="single" w:sz="4" w:space="0" w:color="000000"/>
              <w:bottom w:val="single" w:sz="4" w:space="0" w:color="000000"/>
              <w:right w:val="single" w:sz="4" w:space="0" w:color="000000"/>
            </w:tcBorders>
          </w:tcPr>
          <w:p w14:paraId="3D2B9ED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de code versionné et sauvegarde hors poste</w:t>
            </w:r>
          </w:p>
        </w:tc>
        <w:tc>
          <w:tcPr>
            <w:tcW w:w="759" w:type="dxa"/>
            <w:tcBorders>
              <w:top w:val="single" w:sz="4" w:space="0" w:color="000000"/>
              <w:left w:val="single" w:sz="4" w:space="0" w:color="000000"/>
              <w:bottom w:val="single" w:sz="4" w:space="0" w:color="000000"/>
              <w:right w:val="single" w:sz="4" w:space="0" w:color="000000"/>
            </w:tcBorders>
          </w:tcPr>
          <w:p w14:paraId="4D7A7C0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w:t>
            </w:r>
          </w:p>
        </w:tc>
        <w:tc>
          <w:tcPr>
            <w:tcW w:w="2295" w:type="dxa"/>
            <w:tcBorders>
              <w:top w:val="single" w:sz="4" w:space="0" w:color="000000"/>
              <w:left w:val="single" w:sz="4" w:space="0" w:color="000000"/>
              <w:bottom w:val="single" w:sz="4" w:space="0" w:color="000000"/>
              <w:right w:val="single" w:sz="4" w:space="0" w:color="000000"/>
            </w:tcBorders>
          </w:tcPr>
          <w:p w14:paraId="6EF4AFB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Service institutionnel</w:t>
            </w:r>
          </w:p>
        </w:tc>
        <w:tc>
          <w:tcPr>
            <w:tcW w:w="2196" w:type="dxa"/>
            <w:tcBorders>
              <w:top w:val="single" w:sz="4" w:space="0" w:color="000000"/>
              <w:left w:val="single" w:sz="4" w:space="0" w:color="000000"/>
              <w:bottom w:val="single" w:sz="4" w:space="0" w:color="000000"/>
              <w:right w:val="single" w:sz="4" w:space="0" w:color="000000"/>
            </w:tcBorders>
          </w:tcPr>
          <w:p w14:paraId="3C051E6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r w:rsidR="00F50D70" w:rsidRPr="00BE4F47" w14:paraId="79551FE1" w14:textId="77777777">
        <w:trPr>
          <w:cantSplit/>
        </w:trPr>
        <w:tc>
          <w:tcPr>
            <w:tcW w:w="4087" w:type="dxa"/>
            <w:tcBorders>
              <w:top w:val="single" w:sz="4" w:space="0" w:color="000000"/>
              <w:left w:val="single" w:sz="4" w:space="0" w:color="000000"/>
              <w:bottom w:val="single" w:sz="4" w:space="0" w:color="000000"/>
              <w:right w:val="single" w:sz="4" w:space="0" w:color="000000"/>
            </w:tcBorders>
          </w:tcPr>
          <w:p w14:paraId="45C9B30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Local de réunion et salle de laboratoire</w:t>
            </w:r>
          </w:p>
        </w:tc>
        <w:tc>
          <w:tcPr>
            <w:tcW w:w="759" w:type="dxa"/>
            <w:tcBorders>
              <w:top w:val="single" w:sz="4" w:space="0" w:color="000000"/>
              <w:left w:val="single" w:sz="4" w:space="0" w:color="000000"/>
              <w:bottom w:val="single" w:sz="4" w:space="0" w:color="000000"/>
              <w:right w:val="single" w:sz="4" w:space="0" w:color="000000"/>
            </w:tcBorders>
          </w:tcPr>
          <w:p w14:paraId="65E6E04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w:t>
            </w:r>
          </w:p>
        </w:tc>
        <w:tc>
          <w:tcPr>
            <w:tcW w:w="2295" w:type="dxa"/>
            <w:tcBorders>
              <w:top w:val="single" w:sz="4" w:space="0" w:color="000000"/>
              <w:left w:val="single" w:sz="4" w:space="0" w:color="000000"/>
              <w:bottom w:val="single" w:sz="4" w:space="0" w:color="000000"/>
              <w:right w:val="single" w:sz="4" w:space="0" w:color="000000"/>
            </w:tcBorders>
          </w:tcPr>
          <w:p w14:paraId="6537B6F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UQAC</w:t>
            </w:r>
          </w:p>
        </w:tc>
        <w:tc>
          <w:tcPr>
            <w:tcW w:w="2196" w:type="dxa"/>
            <w:tcBorders>
              <w:top w:val="single" w:sz="4" w:space="0" w:color="000000"/>
              <w:left w:val="single" w:sz="4" w:space="0" w:color="000000"/>
              <w:bottom w:val="single" w:sz="4" w:space="0" w:color="000000"/>
              <w:right w:val="single" w:sz="4" w:space="0" w:color="000000"/>
            </w:tcBorders>
          </w:tcPr>
          <w:p w14:paraId="25744A5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bl>
    <w:p w14:paraId="51B4FBFD" w14:textId="77777777" w:rsidR="00F50D70" w:rsidRPr="00BE4F47" w:rsidRDefault="00F50D70" w:rsidP="008E113B">
      <w:pPr>
        <w:spacing w:line="360" w:lineRule="auto"/>
        <w:ind w:left="0"/>
        <w:rPr>
          <w:rFonts w:ascii="Aptos" w:hAnsi="Aptos"/>
        </w:rPr>
      </w:pPr>
    </w:p>
    <w:p w14:paraId="2733FF7D" w14:textId="77777777" w:rsidR="00F50D70" w:rsidRPr="00B36301" w:rsidRDefault="00000000" w:rsidP="008E113B">
      <w:pPr>
        <w:pStyle w:val="Titre2"/>
        <w:spacing w:line="360" w:lineRule="auto"/>
      </w:pPr>
      <w:bookmarkStart w:id="436" w:name="_Toc241083131"/>
      <w:r w:rsidRPr="00B36301">
        <w:t>Ressources logicielles et décisions d’outillage</w:t>
      </w:r>
      <w:bookmarkEnd w:id="436"/>
    </w:p>
    <w:p w14:paraId="10DD2B71" w14:textId="77777777" w:rsidR="00F50D70" w:rsidRPr="00BE4F47" w:rsidRDefault="00F50D70" w:rsidP="008E113B">
      <w:pPr>
        <w:spacing w:line="360" w:lineRule="auto"/>
        <w:rPr>
          <w:rFonts w:ascii="Aptos" w:hAnsi="Aptos"/>
        </w:rPr>
      </w:pPr>
    </w:p>
    <w:p w14:paraId="0FD8370A" w14:textId="77777777" w:rsidR="00F50D70" w:rsidRPr="00BE4F47" w:rsidRDefault="00000000" w:rsidP="008E113B">
      <w:pPr>
        <w:spacing w:after="130" w:line="360" w:lineRule="auto"/>
        <w:ind w:left="425"/>
        <w:jc w:val="left"/>
        <w:outlineLvl w:val="9"/>
        <w:rPr>
          <w:rFonts w:ascii="Aptos" w:eastAsia="Calibri" w:hAnsi="Aptos" w:cs="Calibri"/>
          <w:color w:val="1A1A19"/>
          <w:sz w:val="20"/>
          <w:szCs w:val="20"/>
          <w:lang w:val="fr-FR"/>
        </w:rPr>
      </w:pPr>
      <w:r w:rsidRPr="00BE4F47">
        <w:rPr>
          <w:rFonts w:ascii="Aptos" w:eastAsia="Calibri" w:hAnsi="Aptos" w:cs="Calibri"/>
          <w:color w:val="1A1A19"/>
          <w:sz w:val="20"/>
          <w:szCs w:val="20"/>
          <w:lang w:val="fr-FR"/>
        </w:rPr>
        <w:t>Les outils sont choisis pour trois raisons. Ils sont libres ou déjà licenciés. Ils reposent sur des formalismes normalisés plutôt que sur des solutions propriétaires. Ils permettent de reproduire les résultats. Sans reproductibilité, la campagne de validation n’aurait aucune valeur probante.</w:t>
      </w:r>
    </w:p>
    <w:p w14:paraId="74C43BD1" w14:textId="77777777" w:rsidR="00F50D70" w:rsidRPr="00BE4F47" w:rsidRDefault="00000000" w:rsidP="008E113B">
      <w:pPr>
        <w:spacing w:line="360" w:lineRule="auto"/>
        <w:ind w:left="425"/>
        <w:rPr>
          <w:rFonts w:ascii="Aptos" w:eastAsia="Calibri" w:hAnsi="Aptos" w:cs="Calibri"/>
          <w:color w:val="1A1A19"/>
          <w:sz w:val="20"/>
          <w:szCs w:val="20"/>
          <w:lang w:val="fr-FR"/>
        </w:rPr>
      </w:pPr>
      <w:bookmarkStart w:id="437" w:name="_Toc241083132"/>
      <w:r w:rsidRPr="00BE4F47">
        <w:rPr>
          <w:rFonts w:ascii="Aptos" w:eastAsia="Calibri" w:hAnsi="Aptos" w:cs="Calibri"/>
          <w:color w:val="1A1A19"/>
          <w:sz w:val="20"/>
          <w:szCs w:val="20"/>
          <w:lang w:val="fr-FR"/>
        </w:rPr>
        <w:t>Les outils listés ci-dessous constituent une décision d’ingénierie, prise dans la présente section. La revue de l’état de l’art de la section 5 constate l’état des pratiques et ne décide pas. Elle renvoie ici. Toute modification ultérieure passe par le registre des changements.</w:t>
      </w:r>
      <w:bookmarkEnd w:id="437"/>
    </w:p>
    <w:p w14:paraId="2737C22E" w14:textId="77777777" w:rsidR="00F50D70" w:rsidRPr="00BE4F47" w:rsidRDefault="00F50D70" w:rsidP="008E113B">
      <w:pPr>
        <w:spacing w:line="360" w:lineRule="auto"/>
        <w:ind w:left="425"/>
        <w:rPr>
          <w:rFonts w:ascii="Aptos" w:eastAsia="Calibri" w:hAnsi="Aptos" w:cs="Calibri"/>
          <w:color w:val="1A1A19"/>
          <w:sz w:val="20"/>
          <w:szCs w:val="20"/>
          <w:lang w:val="fr-FR"/>
        </w:rPr>
      </w:pPr>
    </w:p>
    <w:p w14:paraId="21211EED" w14:textId="77777777" w:rsidR="00F50D70" w:rsidRPr="00BE4F47" w:rsidRDefault="00000000" w:rsidP="008E113B">
      <w:pPr>
        <w:pStyle w:val="Lgende"/>
        <w:spacing w:line="360" w:lineRule="auto"/>
        <w:rPr>
          <w:rFonts w:ascii="Aptos" w:hAnsi="Aptos"/>
        </w:rPr>
      </w:pPr>
      <w:bookmarkStart w:id="438" w:name="_Toc241083133"/>
      <w:r w:rsidRPr="00BE4F47">
        <w:rPr>
          <w:rFonts w:ascii="Aptos" w:hAnsi="Aptos"/>
        </w:rPr>
        <w:lastRenderedPageBreak/>
        <w:t>Tableau 8-4. Ressources logicielles et décisions d’outillage</w:t>
      </w:r>
      <w:bookmarkEnd w:id="438"/>
    </w:p>
    <w:tbl>
      <w:tblPr>
        <w:tblW w:w="9360" w:type="dxa"/>
        <w:tblLayout w:type="fixed"/>
        <w:tblCellMar>
          <w:top w:w="55" w:type="dxa"/>
          <w:left w:w="85" w:type="dxa"/>
          <w:bottom w:w="55" w:type="dxa"/>
          <w:right w:w="85" w:type="dxa"/>
        </w:tblCellMar>
        <w:tblLook w:val="04A0" w:firstRow="1" w:lastRow="0" w:firstColumn="1" w:lastColumn="0" w:noHBand="0" w:noVBand="1"/>
      </w:tblPr>
      <w:tblGrid>
        <w:gridCol w:w="2200"/>
        <w:gridCol w:w="2800"/>
        <w:gridCol w:w="4360"/>
      </w:tblGrid>
      <w:tr w:rsidR="00F50D70" w:rsidRPr="00BE4F47" w14:paraId="3F747CC4"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EFF4FB"/>
          </w:tcPr>
          <w:p w14:paraId="0EAC372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Fonction</w:t>
            </w:r>
          </w:p>
        </w:tc>
        <w:tc>
          <w:tcPr>
            <w:tcW w:w="2800" w:type="dxa"/>
            <w:tcBorders>
              <w:top w:val="single" w:sz="4" w:space="0" w:color="000000"/>
              <w:left w:val="single" w:sz="4" w:space="0" w:color="000000"/>
              <w:bottom w:val="single" w:sz="4" w:space="0" w:color="000000"/>
              <w:right w:val="single" w:sz="4" w:space="0" w:color="000000"/>
            </w:tcBorders>
            <w:shd w:val="clear" w:color="auto" w:fill="EFF4FB"/>
          </w:tcPr>
          <w:p w14:paraId="7FCB95F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Outil retenu</w:t>
            </w:r>
          </w:p>
        </w:tc>
        <w:tc>
          <w:tcPr>
            <w:tcW w:w="4360" w:type="dxa"/>
            <w:tcBorders>
              <w:top w:val="single" w:sz="4" w:space="0" w:color="000000"/>
              <w:left w:val="single" w:sz="4" w:space="0" w:color="000000"/>
              <w:bottom w:val="single" w:sz="4" w:space="0" w:color="000000"/>
              <w:right w:val="single" w:sz="4" w:space="0" w:color="000000"/>
            </w:tcBorders>
            <w:shd w:val="clear" w:color="auto" w:fill="EFF4FB"/>
          </w:tcPr>
          <w:p w14:paraId="4045590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Justification</w:t>
            </w:r>
          </w:p>
        </w:tc>
      </w:tr>
      <w:tr w:rsidR="00F50D70" w:rsidRPr="00BE4F47" w14:paraId="08D4DCDB"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72E3394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Modélisation de la boucle </w:t>
            </w:r>
            <w:proofErr w:type="spellStart"/>
            <w:r w:rsidRPr="00BE4F47">
              <w:rPr>
                <w:rFonts w:ascii="Aptos" w:eastAsia="Calibri" w:hAnsi="Aptos" w:cs="Calibri"/>
                <w:color w:val="1A1A19"/>
                <w:sz w:val="16"/>
                <w:szCs w:val="16"/>
                <w:lang w:val="fr-FR"/>
              </w:rPr>
              <w:t>thermohydraulique</w:t>
            </w:r>
            <w:proofErr w:type="spellEnd"/>
          </w:p>
        </w:tc>
        <w:tc>
          <w:tcPr>
            <w:tcW w:w="2800" w:type="dxa"/>
            <w:tcBorders>
              <w:top w:val="single" w:sz="4" w:space="0" w:color="000000"/>
              <w:left w:val="single" w:sz="4" w:space="0" w:color="000000"/>
              <w:bottom w:val="single" w:sz="4" w:space="0" w:color="000000"/>
              <w:right w:val="single" w:sz="4" w:space="0" w:color="000000"/>
            </w:tcBorders>
          </w:tcPr>
          <w:p w14:paraId="12193CF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proofErr w:type="spellStart"/>
            <w:r w:rsidRPr="00BE4F47">
              <w:rPr>
                <w:rFonts w:ascii="Aptos" w:eastAsia="Calibri" w:hAnsi="Aptos" w:cs="Calibri"/>
                <w:color w:val="1A1A19"/>
                <w:sz w:val="16"/>
                <w:szCs w:val="16"/>
                <w:lang w:val="fr-FR"/>
              </w:rPr>
              <w:t>OpenModelica</w:t>
            </w:r>
            <w:proofErr w:type="spellEnd"/>
            <w:r w:rsidRPr="00BE4F47">
              <w:rPr>
                <w:rFonts w:ascii="Aptos" w:eastAsia="Calibri" w:hAnsi="Aptos" w:cs="Calibri"/>
                <w:color w:val="1A1A19"/>
                <w:sz w:val="16"/>
                <w:szCs w:val="16"/>
                <w:lang w:val="fr-FR"/>
              </w:rPr>
              <w:t xml:space="preserve"> avec les bibliothèques </w:t>
            </w:r>
            <w:proofErr w:type="spellStart"/>
            <w:r w:rsidRPr="00BE4F47">
              <w:rPr>
                <w:rFonts w:ascii="Aptos" w:eastAsia="Calibri" w:hAnsi="Aptos" w:cs="Calibri"/>
                <w:color w:val="1A1A19"/>
                <w:sz w:val="16"/>
                <w:szCs w:val="16"/>
                <w:lang w:val="fr-FR"/>
              </w:rPr>
              <w:t>Modelica.Fluid</w:t>
            </w:r>
            <w:proofErr w:type="spellEnd"/>
            <w:r w:rsidRPr="00BE4F47">
              <w:rPr>
                <w:rFonts w:ascii="Aptos" w:eastAsia="Calibri" w:hAnsi="Aptos" w:cs="Calibri"/>
                <w:color w:val="1A1A19"/>
                <w:sz w:val="16"/>
                <w:szCs w:val="16"/>
                <w:lang w:val="fr-FR"/>
              </w:rPr>
              <w:t xml:space="preserve"> ou </w:t>
            </w:r>
            <w:proofErr w:type="spellStart"/>
            <w:r w:rsidRPr="00BE4F47">
              <w:rPr>
                <w:rFonts w:ascii="Aptos" w:eastAsia="Calibri" w:hAnsi="Aptos" w:cs="Calibri"/>
                <w:color w:val="1A1A19"/>
                <w:sz w:val="16"/>
                <w:szCs w:val="16"/>
                <w:lang w:val="fr-FR"/>
              </w:rPr>
              <w:t>ThermoPower</w:t>
            </w:r>
            <w:proofErr w:type="spellEnd"/>
            <w:r w:rsidRPr="00BE4F47">
              <w:rPr>
                <w:rFonts w:ascii="Aptos" w:eastAsia="Calibri" w:hAnsi="Aptos" w:cs="Calibri"/>
                <w:color w:val="1A1A19"/>
                <w:sz w:val="16"/>
                <w:szCs w:val="16"/>
                <w:lang w:val="fr-FR"/>
              </w:rPr>
              <w:t xml:space="preserve">. Variante : MATLAB, Simulink et </w:t>
            </w:r>
            <w:proofErr w:type="spellStart"/>
            <w:r w:rsidRPr="00BE4F47">
              <w:rPr>
                <w:rFonts w:ascii="Aptos" w:eastAsia="Calibri" w:hAnsi="Aptos" w:cs="Calibri"/>
                <w:color w:val="1A1A19"/>
                <w:sz w:val="16"/>
                <w:szCs w:val="16"/>
                <w:lang w:val="fr-FR"/>
              </w:rPr>
              <w:t>Simscape</w:t>
            </w:r>
            <w:proofErr w:type="spellEnd"/>
            <w:r w:rsidRPr="00BE4F47">
              <w:rPr>
                <w:rFonts w:ascii="Aptos" w:eastAsia="Calibri" w:hAnsi="Aptos" w:cs="Calibri"/>
                <w:color w:val="1A1A19"/>
                <w:sz w:val="16"/>
                <w:szCs w:val="16"/>
                <w:lang w:val="fr-FR"/>
              </w:rPr>
              <w:t xml:space="preserve"> </w:t>
            </w:r>
            <w:proofErr w:type="spellStart"/>
            <w:r w:rsidRPr="00BE4F47">
              <w:rPr>
                <w:rFonts w:ascii="Aptos" w:eastAsia="Calibri" w:hAnsi="Aptos" w:cs="Calibri"/>
                <w:color w:val="1A1A19"/>
                <w:sz w:val="16"/>
                <w:szCs w:val="16"/>
                <w:lang w:val="fr-FR"/>
              </w:rPr>
              <w:t>Fluids</w:t>
            </w:r>
            <w:proofErr w:type="spellEnd"/>
            <w:r w:rsidRPr="00BE4F47">
              <w:rPr>
                <w:rFonts w:ascii="Aptos" w:eastAsia="Calibri" w:hAnsi="Aptos" w:cs="Calibri"/>
                <w:color w:val="1A1A19"/>
                <w:sz w:val="16"/>
                <w:szCs w:val="16"/>
                <w:lang w:val="fr-FR"/>
              </w:rPr>
              <w:t xml:space="preserve"> sous licence académique</w:t>
            </w:r>
          </w:p>
        </w:tc>
        <w:tc>
          <w:tcPr>
            <w:tcW w:w="4360" w:type="dxa"/>
            <w:tcBorders>
              <w:top w:val="single" w:sz="4" w:space="0" w:color="000000"/>
              <w:left w:val="single" w:sz="4" w:space="0" w:color="000000"/>
              <w:bottom w:val="single" w:sz="4" w:space="0" w:color="000000"/>
              <w:right w:val="single" w:sz="4" w:space="0" w:color="000000"/>
            </w:tcBorders>
          </w:tcPr>
          <w:p w14:paraId="6D44F0C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proofErr w:type="spellStart"/>
            <w:r w:rsidRPr="00BE4F47">
              <w:rPr>
                <w:rFonts w:ascii="Aptos" w:eastAsia="Calibri" w:hAnsi="Aptos" w:cs="Calibri"/>
                <w:color w:val="1A1A19"/>
                <w:sz w:val="16"/>
                <w:szCs w:val="16"/>
                <w:lang w:val="fr-FR"/>
              </w:rPr>
              <w:t>Modelica</w:t>
            </w:r>
            <w:proofErr w:type="spellEnd"/>
            <w:r w:rsidRPr="00BE4F47">
              <w:rPr>
                <w:rFonts w:ascii="Aptos" w:eastAsia="Calibri" w:hAnsi="Aptos" w:cs="Calibri"/>
                <w:color w:val="1A1A19"/>
                <w:sz w:val="16"/>
                <w:szCs w:val="16"/>
                <w:lang w:val="fr-FR"/>
              </w:rPr>
              <w:t xml:space="preserve"> est un langage de modélisation normalisé à équations acausales, conçu pour les réseaux fluidiques et thermiques. Il permet d’exprimer directement les bilans de masse et d’énergie. Cet emploi satisfait l’article 2 (1°) de la Loi sur les ingénieurs [18].</w:t>
            </w:r>
          </w:p>
        </w:tc>
      </w:tr>
      <w:tr w:rsidR="00F50D70" w:rsidRPr="00BE4F47" w14:paraId="712C725C"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69296EA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Noyau du jumeau, traitement et détection</w:t>
            </w:r>
          </w:p>
        </w:tc>
        <w:tc>
          <w:tcPr>
            <w:tcW w:w="2800" w:type="dxa"/>
            <w:tcBorders>
              <w:top w:val="single" w:sz="4" w:space="0" w:color="000000"/>
              <w:left w:val="single" w:sz="4" w:space="0" w:color="000000"/>
              <w:bottom w:val="single" w:sz="4" w:space="0" w:color="000000"/>
              <w:right w:val="single" w:sz="4" w:space="0" w:color="000000"/>
            </w:tcBorders>
          </w:tcPr>
          <w:p w14:paraId="75863C1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Python 3 avec </w:t>
            </w:r>
            <w:proofErr w:type="spellStart"/>
            <w:r w:rsidRPr="00BE4F47">
              <w:rPr>
                <w:rFonts w:ascii="Aptos" w:eastAsia="Calibri" w:hAnsi="Aptos" w:cs="Calibri"/>
                <w:color w:val="1A1A19"/>
                <w:sz w:val="16"/>
                <w:szCs w:val="16"/>
                <w:lang w:val="fr-FR"/>
              </w:rPr>
              <w:t>NumPy</w:t>
            </w:r>
            <w:proofErr w:type="spellEnd"/>
            <w:r w:rsidRPr="00BE4F47">
              <w:rPr>
                <w:rFonts w:ascii="Aptos" w:eastAsia="Calibri" w:hAnsi="Aptos" w:cs="Calibri"/>
                <w:color w:val="1A1A19"/>
                <w:sz w:val="16"/>
                <w:szCs w:val="16"/>
                <w:lang w:val="fr-FR"/>
              </w:rPr>
              <w:t xml:space="preserve">, </w:t>
            </w:r>
            <w:proofErr w:type="spellStart"/>
            <w:r w:rsidRPr="00BE4F47">
              <w:rPr>
                <w:rFonts w:ascii="Aptos" w:eastAsia="Calibri" w:hAnsi="Aptos" w:cs="Calibri"/>
                <w:color w:val="1A1A19"/>
                <w:sz w:val="16"/>
                <w:szCs w:val="16"/>
                <w:lang w:val="fr-FR"/>
              </w:rPr>
              <w:t>SciPy</w:t>
            </w:r>
            <w:proofErr w:type="spellEnd"/>
            <w:r w:rsidRPr="00BE4F47">
              <w:rPr>
                <w:rFonts w:ascii="Aptos" w:eastAsia="Calibri" w:hAnsi="Aptos" w:cs="Calibri"/>
                <w:color w:val="1A1A19"/>
                <w:sz w:val="16"/>
                <w:szCs w:val="16"/>
                <w:lang w:val="fr-FR"/>
              </w:rPr>
              <w:t xml:space="preserve">, pandas et </w:t>
            </w:r>
            <w:proofErr w:type="spellStart"/>
            <w:r w:rsidRPr="00BE4F47">
              <w:rPr>
                <w:rFonts w:ascii="Aptos" w:eastAsia="Calibri" w:hAnsi="Aptos" w:cs="Calibri"/>
                <w:color w:val="1A1A19"/>
                <w:sz w:val="16"/>
                <w:szCs w:val="16"/>
                <w:lang w:val="fr-FR"/>
              </w:rPr>
              <w:t>scikit-learn</w:t>
            </w:r>
            <w:proofErr w:type="spellEnd"/>
          </w:p>
        </w:tc>
        <w:tc>
          <w:tcPr>
            <w:tcW w:w="4360" w:type="dxa"/>
            <w:tcBorders>
              <w:top w:val="single" w:sz="4" w:space="0" w:color="000000"/>
              <w:left w:val="single" w:sz="4" w:space="0" w:color="000000"/>
              <w:bottom w:val="single" w:sz="4" w:space="0" w:color="000000"/>
              <w:right w:val="single" w:sz="4" w:space="0" w:color="000000"/>
            </w:tcBorders>
          </w:tcPr>
          <w:p w14:paraId="39BBB57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Écosystème mature, licences permissives, résultats reproductibles. Lots L6 et L7.</w:t>
            </w:r>
          </w:p>
        </w:tc>
      </w:tr>
      <w:tr w:rsidR="00F50D70" w:rsidRPr="00BE4F47" w14:paraId="5E6373F9"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512C2A1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d’échange de données</w:t>
            </w:r>
          </w:p>
        </w:tc>
        <w:tc>
          <w:tcPr>
            <w:tcW w:w="2800" w:type="dxa"/>
            <w:tcBorders>
              <w:top w:val="single" w:sz="4" w:space="0" w:color="000000"/>
              <w:left w:val="single" w:sz="4" w:space="0" w:color="000000"/>
              <w:bottom w:val="single" w:sz="4" w:space="0" w:color="000000"/>
              <w:right w:val="single" w:sz="4" w:space="0" w:color="000000"/>
            </w:tcBorders>
          </w:tcPr>
          <w:p w14:paraId="2658433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OPC UA (IEC 62541) ou MQTT</w:t>
            </w:r>
          </w:p>
        </w:tc>
        <w:tc>
          <w:tcPr>
            <w:tcW w:w="4360" w:type="dxa"/>
            <w:tcBorders>
              <w:top w:val="single" w:sz="4" w:space="0" w:color="000000"/>
              <w:left w:val="single" w:sz="4" w:space="0" w:color="000000"/>
              <w:bottom w:val="single" w:sz="4" w:space="0" w:color="000000"/>
              <w:right w:val="single" w:sz="4" w:space="0" w:color="000000"/>
            </w:tcBorders>
          </w:tcPr>
          <w:p w14:paraId="2317AD6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OPC UA est la norme d’interopérabilité de l’instrumentation industrielle. Une interface normalisée facilite la séparation stricte exigée entre le jumeau et les fonctions de commande (exigence EX-F-08).</w:t>
            </w:r>
          </w:p>
        </w:tc>
      </w:tr>
      <w:tr w:rsidR="00F50D70" w:rsidRPr="00BE4F47" w14:paraId="59B8004C"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2864FC7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Historisation des mesures et des états</w:t>
            </w:r>
          </w:p>
        </w:tc>
        <w:tc>
          <w:tcPr>
            <w:tcW w:w="2800" w:type="dxa"/>
            <w:tcBorders>
              <w:top w:val="single" w:sz="4" w:space="0" w:color="000000"/>
              <w:left w:val="single" w:sz="4" w:space="0" w:color="000000"/>
              <w:bottom w:val="single" w:sz="4" w:space="0" w:color="000000"/>
              <w:right w:val="single" w:sz="4" w:space="0" w:color="000000"/>
            </w:tcBorders>
          </w:tcPr>
          <w:p w14:paraId="45360F0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proofErr w:type="spellStart"/>
            <w:r w:rsidRPr="00BE4F47">
              <w:rPr>
                <w:rFonts w:ascii="Aptos" w:eastAsia="Calibri" w:hAnsi="Aptos" w:cs="Calibri"/>
                <w:color w:val="1A1A19"/>
                <w:sz w:val="16"/>
                <w:szCs w:val="16"/>
                <w:lang w:val="fr-FR"/>
              </w:rPr>
              <w:t>InfluxDB</w:t>
            </w:r>
            <w:proofErr w:type="spellEnd"/>
            <w:r w:rsidRPr="00BE4F47">
              <w:rPr>
                <w:rFonts w:ascii="Aptos" w:eastAsia="Calibri" w:hAnsi="Aptos" w:cs="Calibri"/>
                <w:color w:val="1A1A19"/>
                <w:sz w:val="16"/>
                <w:szCs w:val="16"/>
                <w:lang w:val="fr-FR"/>
              </w:rPr>
              <w:t xml:space="preserve"> ou SQLite</w:t>
            </w:r>
          </w:p>
        </w:tc>
        <w:tc>
          <w:tcPr>
            <w:tcW w:w="4360" w:type="dxa"/>
            <w:tcBorders>
              <w:top w:val="single" w:sz="4" w:space="0" w:color="000000"/>
              <w:left w:val="single" w:sz="4" w:space="0" w:color="000000"/>
              <w:bottom w:val="single" w:sz="4" w:space="0" w:color="000000"/>
              <w:right w:val="single" w:sz="4" w:space="0" w:color="000000"/>
            </w:tcBorders>
          </w:tcPr>
          <w:p w14:paraId="45EABF4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Traçabilité horodatée des essais, exigée par EX-F-10 et par la V&amp;V.</w:t>
            </w:r>
          </w:p>
        </w:tc>
      </w:tr>
      <w:tr w:rsidR="00F50D70" w:rsidRPr="00BE4F47" w14:paraId="52CE292F"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02F03BB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d’aide à la décision</w:t>
            </w:r>
          </w:p>
        </w:tc>
        <w:tc>
          <w:tcPr>
            <w:tcW w:w="2800" w:type="dxa"/>
            <w:tcBorders>
              <w:top w:val="single" w:sz="4" w:space="0" w:color="000000"/>
              <w:left w:val="single" w:sz="4" w:space="0" w:color="000000"/>
              <w:bottom w:val="single" w:sz="4" w:space="0" w:color="000000"/>
              <w:right w:val="single" w:sz="4" w:space="0" w:color="000000"/>
            </w:tcBorders>
          </w:tcPr>
          <w:p w14:paraId="5530196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proofErr w:type="spellStart"/>
            <w:r w:rsidRPr="00BE4F47">
              <w:rPr>
                <w:rFonts w:ascii="Aptos" w:eastAsia="Calibri" w:hAnsi="Aptos" w:cs="Calibri"/>
                <w:color w:val="1A1A19"/>
                <w:sz w:val="16"/>
                <w:szCs w:val="16"/>
                <w:lang w:val="fr-FR"/>
              </w:rPr>
              <w:t>Plotly</w:t>
            </w:r>
            <w:proofErr w:type="spellEnd"/>
            <w:r w:rsidRPr="00BE4F47">
              <w:rPr>
                <w:rFonts w:ascii="Aptos" w:eastAsia="Calibri" w:hAnsi="Aptos" w:cs="Calibri"/>
                <w:color w:val="1A1A19"/>
                <w:sz w:val="16"/>
                <w:szCs w:val="16"/>
                <w:lang w:val="fr-FR"/>
              </w:rPr>
              <w:t xml:space="preserve"> Dash ou </w:t>
            </w:r>
            <w:proofErr w:type="spellStart"/>
            <w:r w:rsidRPr="00BE4F47">
              <w:rPr>
                <w:rFonts w:ascii="Aptos" w:eastAsia="Calibri" w:hAnsi="Aptos" w:cs="Calibri"/>
                <w:color w:val="1A1A19"/>
                <w:sz w:val="16"/>
                <w:szCs w:val="16"/>
                <w:lang w:val="fr-FR"/>
              </w:rPr>
              <w:t>Grafana</w:t>
            </w:r>
            <w:proofErr w:type="spellEnd"/>
          </w:p>
        </w:tc>
        <w:tc>
          <w:tcPr>
            <w:tcW w:w="4360" w:type="dxa"/>
            <w:tcBorders>
              <w:top w:val="single" w:sz="4" w:space="0" w:color="000000"/>
              <w:left w:val="single" w:sz="4" w:space="0" w:color="000000"/>
              <w:bottom w:val="single" w:sz="4" w:space="0" w:color="000000"/>
              <w:right w:val="single" w:sz="4" w:space="0" w:color="000000"/>
            </w:tcBorders>
          </w:tcPr>
          <w:p w14:paraId="314C2FA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Permet d’afficher l’état estimé, les variables contributives et l’indice de confiance sans développer une interface complète. Exigences EX-F-04, EX-F-05 et EX-F-07.</w:t>
            </w:r>
          </w:p>
        </w:tc>
      </w:tr>
      <w:tr w:rsidR="00F50D70" w:rsidRPr="00BE4F47" w14:paraId="139571E5"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4A0EDD6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 configuration</w:t>
            </w:r>
          </w:p>
        </w:tc>
        <w:tc>
          <w:tcPr>
            <w:tcW w:w="2800" w:type="dxa"/>
            <w:tcBorders>
              <w:top w:val="single" w:sz="4" w:space="0" w:color="000000"/>
              <w:left w:val="single" w:sz="4" w:space="0" w:color="000000"/>
              <w:bottom w:val="single" w:sz="4" w:space="0" w:color="000000"/>
              <w:right w:val="single" w:sz="4" w:space="0" w:color="000000"/>
            </w:tcBorders>
          </w:tcPr>
          <w:p w14:paraId="3750460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Git avec dépôt distant</w:t>
            </w:r>
          </w:p>
        </w:tc>
        <w:tc>
          <w:tcPr>
            <w:tcW w:w="4360" w:type="dxa"/>
            <w:tcBorders>
              <w:top w:val="single" w:sz="4" w:space="0" w:color="000000"/>
              <w:left w:val="single" w:sz="4" w:space="0" w:color="000000"/>
              <w:bottom w:val="single" w:sz="4" w:space="0" w:color="000000"/>
              <w:right w:val="single" w:sz="4" w:space="0" w:color="000000"/>
            </w:tcBorders>
          </w:tcPr>
          <w:p w14:paraId="1D9C632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Chaque résultat d’essai doit être rattachable à une version précise du modèle. Sans cela, la validation n’est pas reproductible. Cet outil est la base de la stratégie de contrôle des versions de la section 4.</w:t>
            </w:r>
          </w:p>
        </w:tc>
      </w:tr>
      <w:tr w:rsidR="00F50D70" w:rsidRPr="00BE4F47" w14:paraId="286193AF"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673F08A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Reproductibilité de l’environnement</w:t>
            </w:r>
          </w:p>
        </w:tc>
        <w:tc>
          <w:tcPr>
            <w:tcW w:w="2800" w:type="dxa"/>
            <w:tcBorders>
              <w:top w:val="single" w:sz="4" w:space="0" w:color="000000"/>
              <w:left w:val="single" w:sz="4" w:space="0" w:color="000000"/>
              <w:bottom w:val="single" w:sz="4" w:space="0" w:color="000000"/>
              <w:right w:val="single" w:sz="4" w:space="0" w:color="000000"/>
            </w:tcBorders>
          </w:tcPr>
          <w:p w14:paraId="783CAE4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Docker</w:t>
            </w:r>
          </w:p>
        </w:tc>
        <w:tc>
          <w:tcPr>
            <w:tcW w:w="4360" w:type="dxa"/>
            <w:tcBorders>
              <w:top w:val="single" w:sz="4" w:space="0" w:color="000000"/>
              <w:left w:val="single" w:sz="4" w:space="0" w:color="000000"/>
              <w:bottom w:val="single" w:sz="4" w:space="0" w:color="000000"/>
              <w:right w:val="single" w:sz="4" w:space="0" w:color="000000"/>
            </w:tcBorders>
          </w:tcPr>
          <w:p w14:paraId="4AF8084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Fige les versions des bibliothèques. Un essai rejoué six semaines plus tard doit donner le même résultat. Contribue à l’exigence EX-Q-05.</w:t>
            </w:r>
          </w:p>
        </w:tc>
      </w:tr>
      <w:tr w:rsidR="00F50D70" w:rsidRPr="00BE4F47" w14:paraId="58582E07"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426B73E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Suivi de projet et valeur acquise</w:t>
            </w:r>
          </w:p>
        </w:tc>
        <w:tc>
          <w:tcPr>
            <w:tcW w:w="2800" w:type="dxa"/>
            <w:tcBorders>
              <w:top w:val="single" w:sz="4" w:space="0" w:color="000000"/>
              <w:left w:val="single" w:sz="4" w:space="0" w:color="000000"/>
              <w:bottom w:val="single" w:sz="4" w:space="0" w:color="000000"/>
              <w:right w:val="single" w:sz="4" w:space="0" w:color="000000"/>
            </w:tcBorders>
          </w:tcPr>
          <w:p w14:paraId="2F49F16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GitHub </w:t>
            </w:r>
            <w:proofErr w:type="spellStart"/>
            <w:r w:rsidRPr="00BE4F47">
              <w:rPr>
                <w:rFonts w:ascii="Aptos" w:eastAsia="Calibri" w:hAnsi="Aptos" w:cs="Calibri"/>
                <w:color w:val="1A1A19"/>
                <w:sz w:val="16"/>
                <w:szCs w:val="16"/>
                <w:lang w:val="fr-FR"/>
              </w:rPr>
              <w:t>Projects</w:t>
            </w:r>
            <w:proofErr w:type="spellEnd"/>
            <w:r w:rsidRPr="00BE4F47">
              <w:rPr>
                <w:rFonts w:ascii="Aptos" w:eastAsia="Calibri" w:hAnsi="Aptos" w:cs="Calibri"/>
                <w:color w:val="1A1A19"/>
                <w:sz w:val="16"/>
                <w:szCs w:val="16"/>
                <w:lang w:val="fr-FR"/>
              </w:rPr>
              <w:t xml:space="preserve"> et issues, offre éducation</w:t>
            </w:r>
          </w:p>
        </w:tc>
        <w:tc>
          <w:tcPr>
            <w:tcW w:w="4360" w:type="dxa"/>
            <w:tcBorders>
              <w:top w:val="single" w:sz="4" w:space="0" w:color="000000"/>
              <w:left w:val="single" w:sz="4" w:space="0" w:color="000000"/>
              <w:bottom w:val="single" w:sz="4" w:space="0" w:color="000000"/>
              <w:right w:val="single" w:sz="4" w:space="0" w:color="000000"/>
            </w:tcBorders>
          </w:tcPr>
          <w:p w14:paraId="42BFEF9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Déjà en place dans l’équipe. Alimente le suivi de la section 10.</w:t>
            </w:r>
          </w:p>
        </w:tc>
      </w:tr>
      <w:tr w:rsidR="00F50D70" w:rsidRPr="00BE4F47" w14:paraId="243429CB"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49EAB42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des références bibliographiques</w:t>
            </w:r>
          </w:p>
        </w:tc>
        <w:tc>
          <w:tcPr>
            <w:tcW w:w="2800" w:type="dxa"/>
            <w:tcBorders>
              <w:top w:val="single" w:sz="4" w:space="0" w:color="000000"/>
              <w:left w:val="single" w:sz="4" w:space="0" w:color="000000"/>
              <w:bottom w:val="single" w:sz="4" w:space="0" w:color="000000"/>
              <w:right w:val="single" w:sz="4" w:space="0" w:color="000000"/>
            </w:tcBorders>
          </w:tcPr>
          <w:p w14:paraId="4C0D644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Zotero, style IEEE</w:t>
            </w:r>
          </w:p>
        </w:tc>
        <w:tc>
          <w:tcPr>
            <w:tcW w:w="4360" w:type="dxa"/>
            <w:tcBorders>
              <w:top w:val="single" w:sz="4" w:space="0" w:color="000000"/>
              <w:left w:val="single" w:sz="4" w:space="0" w:color="000000"/>
              <w:bottom w:val="single" w:sz="4" w:space="0" w:color="000000"/>
              <w:right w:val="single" w:sz="4" w:space="0" w:color="000000"/>
            </w:tcBorders>
          </w:tcPr>
          <w:p w14:paraId="38CCCF2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Assure la cohérence et la renumérotation automatique des renvois entre les onze sections et les huit rédacteurs. La bibliothèque est tenue par le chargé de projet.</w:t>
            </w:r>
          </w:p>
        </w:tc>
      </w:tr>
    </w:tbl>
    <w:p w14:paraId="003418AE" w14:textId="77777777" w:rsidR="00F50D70" w:rsidRPr="00BE4F47" w:rsidRDefault="00F50D70" w:rsidP="008E113B">
      <w:pPr>
        <w:spacing w:line="360" w:lineRule="auto"/>
        <w:ind w:left="425"/>
        <w:rPr>
          <w:rFonts w:ascii="Aptos" w:hAnsi="Aptos"/>
        </w:rPr>
      </w:pPr>
    </w:p>
    <w:p w14:paraId="69A38D12" w14:textId="77777777" w:rsidR="00F50D70" w:rsidRPr="0036725C" w:rsidRDefault="00000000" w:rsidP="008E113B">
      <w:pPr>
        <w:pStyle w:val="Titre2"/>
        <w:spacing w:line="360" w:lineRule="auto"/>
      </w:pPr>
      <w:bookmarkStart w:id="439" w:name="_Toc241083134"/>
      <w:r w:rsidRPr="0036725C">
        <w:t>Ressources informationnelles et normatives</w:t>
      </w:r>
      <w:bookmarkEnd w:id="439"/>
    </w:p>
    <w:p w14:paraId="4267DEC8"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40" w:name="_Toc241083135"/>
      <w:r w:rsidRPr="00BE4F47">
        <w:rPr>
          <w:rFonts w:ascii="Aptos" w:eastAsia="Calibri" w:hAnsi="Aptos" w:cs="Calibri"/>
          <w:color w:val="1A1A19"/>
          <w:sz w:val="20"/>
          <w:szCs w:val="20"/>
        </w:rPr>
        <w:t>La documentation normative est une ressource du projet. Elle conditionne la section 6 du plan, mais aussi l’architecture retenue et le contenu de la campagne d’essais. Son acquisition est imputée au lot L3.</w:t>
      </w:r>
      <w:bookmarkEnd w:id="440"/>
    </w:p>
    <w:p w14:paraId="25DA6E75" w14:textId="77777777" w:rsidR="00F50D70" w:rsidRPr="00BE4F47" w:rsidRDefault="00000000" w:rsidP="008E113B">
      <w:pPr>
        <w:pStyle w:val="Lgende"/>
        <w:spacing w:line="360" w:lineRule="auto"/>
        <w:rPr>
          <w:rFonts w:ascii="Aptos" w:hAnsi="Aptos"/>
        </w:rPr>
      </w:pPr>
      <w:bookmarkStart w:id="441" w:name="_Toc241083136"/>
      <w:r w:rsidRPr="00BE4F47">
        <w:rPr>
          <w:rFonts w:ascii="Aptos" w:hAnsi="Aptos"/>
        </w:rPr>
        <w:t>Tableau 8-5. Ressources informationnelles et normatives</w:t>
      </w:r>
      <w:bookmarkEnd w:id="441"/>
    </w:p>
    <w:tbl>
      <w:tblPr>
        <w:tblW w:w="9360" w:type="dxa"/>
        <w:tblLayout w:type="fixed"/>
        <w:tblCellMar>
          <w:top w:w="55" w:type="dxa"/>
          <w:left w:w="85" w:type="dxa"/>
          <w:bottom w:w="55" w:type="dxa"/>
          <w:right w:w="85" w:type="dxa"/>
        </w:tblCellMar>
        <w:tblLook w:val="04A0" w:firstRow="1" w:lastRow="0" w:firstColumn="1" w:lastColumn="0" w:noHBand="0" w:noVBand="1"/>
      </w:tblPr>
      <w:tblGrid>
        <w:gridCol w:w="2500"/>
        <w:gridCol w:w="4200"/>
        <w:gridCol w:w="2660"/>
      </w:tblGrid>
      <w:tr w:rsidR="00F50D70" w:rsidRPr="00BE4F47" w14:paraId="2D5B0BF1" w14:textId="77777777">
        <w:trPr>
          <w:tblHeader/>
        </w:trPr>
        <w:tc>
          <w:tcPr>
            <w:tcW w:w="2500" w:type="dxa"/>
            <w:tcBorders>
              <w:top w:val="single" w:sz="4" w:space="0" w:color="000000"/>
              <w:left w:val="single" w:sz="4" w:space="0" w:color="000000"/>
              <w:bottom w:val="single" w:sz="4" w:space="0" w:color="000000"/>
              <w:right w:val="single" w:sz="4" w:space="0" w:color="000000"/>
            </w:tcBorders>
            <w:shd w:val="clear" w:color="auto" w:fill="EFF4FB"/>
          </w:tcPr>
          <w:p w14:paraId="47CC432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Corpus</w:t>
            </w:r>
          </w:p>
        </w:tc>
        <w:tc>
          <w:tcPr>
            <w:tcW w:w="4200" w:type="dxa"/>
            <w:tcBorders>
              <w:top w:val="single" w:sz="4" w:space="0" w:color="000000"/>
              <w:left w:val="single" w:sz="4" w:space="0" w:color="000000"/>
              <w:bottom w:val="single" w:sz="4" w:space="0" w:color="000000"/>
              <w:right w:val="single" w:sz="4" w:space="0" w:color="000000"/>
            </w:tcBorders>
            <w:shd w:val="clear" w:color="auto" w:fill="EFF4FB"/>
          </w:tcPr>
          <w:p w14:paraId="02387E3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Documents visés</w:t>
            </w:r>
          </w:p>
        </w:tc>
        <w:tc>
          <w:tcPr>
            <w:tcW w:w="2660" w:type="dxa"/>
            <w:tcBorders>
              <w:top w:val="single" w:sz="4" w:space="0" w:color="000000"/>
              <w:left w:val="single" w:sz="4" w:space="0" w:color="000000"/>
              <w:bottom w:val="single" w:sz="4" w:space="0" w:color="000000"/>
              <w:right w:val="single" w:sz="4" w:space="0" w:color="000000"/>
            </w:tcBorders>
            <w:shd w:val="clear" w:color="auto" w:fill="EFF4FB"/>
          </w:tcPr>
          <w:p w14:paraId="4C4FD2E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Accès et coût</w:t>
            </w:r>
          </w:p>
        </w:tc>
      </w:tr>
      <w:tr w:rsidR="00F50D70" w:rsidRPr="00BE4F47" w14:paraId="0B2699A4"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18E5D81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Sûreté et cybersécurité nucléaires</w:t>
            </w:r>
          </w:p>
        </w:tc>
        <w:tc>
          <w:tcPr>
            <w:tcW w:w="4200" w:type="dxa"/>
            <w:tcBorders>
              <w:top w:val="single" w:sz="4" w:space="0" w:color="000000"/>
              <w:left w:val="single" w:sz="4" w:space="0" w:color="000000"/>
              <w:bottom w:val="single" w:sz="4" w:space="0" w:color="000000"/>
              <w:right w:val="single" w:sz="4" w:space="0" w:color="000000"/>
            </w:tcBorders>
          </w:tcPr>
          <w:p w14:paraId="44A0E03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CSA N290.7 [23]</w:t>
            </w:r>
          </w:p>
        </w:tc>
        <w:tc>
          <w:tcPr>
            <w:tcW w:w="2660" w:type="dxa"/>
            <w:tcBorders>
              <w:top w:val="single" w:sz="4" w:space="0" w:color="000000"/>
              <w:left w:val="single" w:sz="4" w:space="0" w:color="000000"/>
              <w:bottom w:val="single" w:sz="4" w:space="0" w:color="000000"/>
              <w:right w:val="single" w:sz="4" w:space="0" w:color="000000"/>
            </w:tcBorders>
          </w:tcPr>
          <w:p w14:paraId="6AC7B98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 UQAC (H-07), sinon achat unitaire</w:t>
            </w:r>
          </w:p>
        </w:tc>
      </w:tr>
      <w:tr w:rsidR="00F50D70" w:rsidRPr="00BE4F47" w14:paraId="1D195AAD"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62E0D14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Cadre réglementaire canadien</w:t>
            </w:r>
          </w:p>
        </w:tc>
        <w:tc>
          <w:tcPr>
            <w:tcW w:w="4200" w:type="dxa"/>
            <w:tcBorders>
              <w:top w:val="single" w:sz="4" w:space="0" w:color="000000"/>
              <w:left w:val="single" w:sz="4" w:space="0" w:color="000000"/>
              <w:bottom w:val="single" w:sz="4" w:space="0" w:color="000000"/>
              <w:right w:val="single" w:sz="4" w:space="0" w:color="000000"/>
            </w:tcBorders>
          </w:tcPr>
          <w:p w14:paraId="65C8E96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REGDOC-2.5.2 [1] et REGDOC-2.1.1 [1] de la CCSN</w:t>
            </w:r>
          </w:p>
        </w:tc>
        <w:tc>
          <w:tcPr>
            <w:tcW w:w="2660" w:type="dxa"/>
            <w:tcBorders>
              <w:top w:val="single" w:sz="4" w:space="0" w:color="000000"/>
              <w:left w:val="single" w:sz="4" w:space="0" w:color="000000"/>
              <w:bottom w:val="single" w:sz="4" w:space="0" w:color="000000"/>
              <w:right w:val="single" w:sz="4" w:space="0" w:color="000000"/>
            </w:tcBorders>
          </w:tcPr>
          <w:p w14:paraId="67AE199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Diffusion publique, gratuite</w:t>
            </w:r>
          </w:p>
        </w:tc>
      </w:tr>
      <w:tr w:rsidR="00F50D70" w:rsidRPr="00BE4F47" w14:paraId="667F0771"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70B872F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Instrumentation, contrôle et logiciel de sûreté</w:t>
            </w:r>
          </w:p>
        </w:tc>
        <w:tc>
          <w:tcPr>
            <w:tcW w:w="4200" w:type="dxa"/>
            <w:tcBorders>
              <w:top w:val="single" w:sz="4" w:space="0" w:color="000000"/>
              <w:left w:val="single" w:sz="4" w:space="0" w:color="000000"/>
              <w:bottom w:val="single" w:sz="4" w:space="0" w:color="000000"/>
              <w:right w:val="single" w:sz="4" w:space="0" w:color="000000"/>
            </w:tcBorders>
          </w:tcPr>
          <w:p w14:paraId="6F20537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IEC 61513, IEC 60880, IEC 62138, IEEE 1012</w:t>
            </w:r>
          </w:p>
        </w:tc>
        <w:tc>
          <w:tcPr>
            <w:tcW w:w="2660" w:type="dxa"/>
            <w:tcBorders>
              <w:top w:val="single" w:sz="4" w:space="0" w:color="000000"/>
              <w:left w:val="single" w:sz="4" w:space="0" w:color="000000"/>
              <w:bottom w:val="single" w:sz="4" w:space="0" w:color="000000"/>
              <w:right w:val="single" w:sz="4" w:space="0" w:color="000000"/>
            </w:tcBorders>
          </w:tcPr>
          <w:p w14:paraId="462DCF8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5D166ADE"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324D69F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Cybersécurité des systèmes de contrôle</w:t>
            </w:r>
          </w:p>
        </w:tc>
        <w:tc>
          <w:tcPr>
            <w:tcW w:w="4200" w:type="dxa"/>
            <w:tcBorders>
              <w:top w:val="single" w:sz="4" w:space="0" w:color="000000"/>
              <w:left w:val="single" w:sz="4" w:space="0" w:color="000000"/>
              <w:bottom w:val="single" w:sz="4" w:space="0" w:color="000000"/>
              <w:right w:val="single" w:sz="4" w:space="0" w:color="000000"/>
            </w:tcBorders>
          </w:tcPr>
          <w:p w14:paraId="5EE81D5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IEC 62645, IEC 63096, IEC 62859</w:t>
            </w:r>
          </w:p>
        </w:tc>
        <w:tc>
          <w:tcPr>
            <w:tcW w:w="2660" w:type="dxa"/>
            <w:tcBorders>
              <w:top w:val="single" w:sz="4" w:space="0" w:color="000000"/>
              <w:left w:val="single" w:sz="4" w:space="0" w:color="000000"/>
              <w:bottom w:val="single" w:sz="4" w:space="0" w:color="000000"/>
              <w:right w:val="single" w:sz="4" w:space="0" w:color="000000"/>
            </w:tcBorders>
          </w:tcPr>
          <w:p w14:paraId="09BAC4A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4C3BAF6D"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400EB5B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Cadre du jumeau numérique</w:t>
            </w:r>
          </w:p>
        </w:tc>
        <w:tc>
          <w:tcPr>
            <w:tcW w:w="4200" w:type="dxa"/>
            <w:tcBorders>
              <w:top w:val="single" w:sz="4" w:space="0" w:color="000000"/>
              <w:left w:val="single" w:sz="4" w:space="0" w:color="000000"/>
              <w:bottom w:val="single" w:sz="4" w:space="0" w:color="000000"/>
              <w:right w:val="single" w:sz="4" w:space="0" w:color="000000"/>
            </w:tcBorders>
          </w:tcPr>
          <w:p w14:paraId="0F5D287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ISO 23247-1 et ISO 23247-2 [43]</w:t>
            </w:r>
          </w:p>
        </w:tc>
        <w:tc>
          <w:tcPr>
            <w:tcW w:w="2660" w:type="dxa"/>
            <w:tcBorders>
              <w:top w:val="single" w:sz="4" w:space="0" w:color="000000"/>
              <w:left w:val="single" w:sz="4" w:space="0" w:color="000000"/>
              <w:bottom w:val="single" w:sz="4" w:space="0" w:color="000000"/>
              <w:right w:val="single" w:sz="4" w:space="0" w:color="000000"/>
            </w:tcBorders>
          </w:tcPr>
          <w:p w14:paraId="03E6E71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5C7E13E6"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28C5B52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Vérification et validation des modèles numériques</w:t>
            </w:r>
          </w:p>
        </w:tc>
        <w:tc>
          <w:tcPr>
            <w:tcW w:w="4200" w:type="dxa"/>
            <w:tcBorders>
              <w:top w:val="single" w:sz="4" w:space="0" w:color="000000"/>
              <w:left w:val="single" w:sz="4" w:space="0" w:color="000000"/>
              <w:bottom w:val="single" w:sz="4" w:space="0" w:color="000000"/>
              <w:right w:val="single" w:sz="4" w:space="0" w:color="000000"/>
            </w:tcBorders>
          </w:tcPr>
          <w:p w14:paraId="43C44B4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ASME V&amp;V 20</w:t>
            </w:r>
          </w:p>
        </w:tc>
        <w:tc>
          <w:tcPr>
            <w:tcW w:w="2660" w:type="dxa"/>
            <w:tcBorders>
              <w:top w:val="single" w:sz="4" w:space="0" w:color="000000"/>
              <w:left w:val="single" w:sz="4" w:space="0" w:color="000000"/>
              <w:bottom w:val="single" w:sz="4" w:space="0" w:color="000000"/>
              <w:right w:val="single" w:sz="4" w:space="0" w:color="000000"/>
            </w:tcBorders>
          </w:tcPr>
          <w:p w14:paraId="5C87B02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7B560112"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6BCE33D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Qualité, exigences et ergonomie</w:t>
            </w:r>
          </w:p>
        </w:tc>
        <w:tc>
          <w:tcPr>
            <w:tcW w:w="4200" w:type="dxa"/>
            <w:tcBorders>
              <w:top w:val="single" w:sz="4" w:space="0" w:color="000000"/>
              <w:left w:val="single" w:sz="4" w:space="0" w:color="000000"/>
              <w:bottom w:val="single" w:sz="4" w:space="0" w:color="000000"/>
              <w:right w:val="single" w:sz="4" w:space="0" w:color="000000"/>
            </w:tcBorders>
          </w:tcPr>
          <w:p w14:paraId="60A6F44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ISO/IEC 25010, ISO 9241-210, ISO/IEC/IEEE 29148</w:t>
            </w:r>
          </w:p>
        </w:tc>
        <w:tc>
          <w:tcPr>
            <w:tcW w:w="2660" w:type="dxa"/>
            <w:tcBorders>
              <w:top w:val="single" w:sz="4" w:space="0" w:color="000000"/>
              <w:left w:val="single" w:sz="4" w:space="0" w:color="000000"/>
              <w:bottom w:val="single" w:sz="4" w:space="0" w:color="000000"/>
              <w:right w:val="single" w:sz="4" w:space="0" w:color="000000"/>
            </w:tcBorders>
          </w:tcPr>
          <w:p w14:paraId="7FF529E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08B2712F"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2D74148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Retour d’expérience international</w:t>
            </w:r>
          </w:p>
        </w:tc>
        <w:tc>
          <w:tcPr>
            <w:tcW w:w="4200" w:type="dxa"/>
            <w:tcBorders>
              <w:top w:val="single" w:sz="4" w:space="0" w:color="000000"/>
              <w:left w:val="single" w:sz="4" w:space="0" w:color="000000"/>
              <w:bottom w:val="single" w:sz="4" w:space="0" w:color="000000"/>
              <w:right w:val="single" w:sz="4" w:space="0" w:color="000000"/>
            </w:tcBorders>
          </w:tcPr>
          <w:p w14:paraId="5944B57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Rapports de l’AIEA sur l’instrumentation et le contrôle numériques [44] et sur la V&amp;V logicielle [44]</w:t>
            </w:r>
          </w:p>
        </w:tc>
        <w:tc>
          <w:tcPr>
            <w:tcW w:w="2660" w:type="dxa"/>
            <w:tcBorders>
              <w:top w:val="single" w:sz="4" w:space="0" w:color="000000"/>
              <w:left w:val="single" w:sz="4" w:space="0" w:color="000000"/>
              <w:bottom w:val="single" w:sz="4" w:space="0" w:color="000000"/>
              <w:right w:val="single" w:sz="4" w:space="0" w:color="000000"/>
            </w:tcBorders>
          </w:tcPr>
          <w:p w14:paraId="3BF387E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Diffusion publique, gratuite</w:t>
            </w:r>
          </w:p>
        </w:tc>
      </w:tr>
      <w:tr w:rsidR="00F50D70" w:rsidRPr="00BE4F47" w14:paraId="71511539"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40ACC2A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Contexte du site</w:t>
            </w:r>
          </w:p>
        </w:tc>
        <w:tc>
          <w:tcPr>
            <w:tcW w:w="4200" w:type="dxa"/>
            <w:tcBorders>
              <w:top w:val="single" w:sz="4" w:space="0" w:color="000000"/>
              <w:left w:val="single" w:sz="4" w:space="0" w:color="000000"/>
              <w:bottom w:val="single" w:sz="4" w:space="0" w:color="000000"/>
              <w:right w:val="single" w:sz="4" w:space="0" w:color="000000"/>
            </w:tcBorders>
          </w:tcPr>
          <w:p w14:paraId="3EB3A14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Documentation publique d’Hydro-Québec et fiche d’installation de la CCSN </w:t>
            </w:r>
            <w:proofErr w:type="gramStart"/>
            <w:r w:rsidRPr="00BE4F47">
              <w:rPr>
                <w:rFonts w:ascii="Aptos" w:eastAsia="Calibri" w:hAnsi="Aptos" w:cs="Calibri"/>
                <w:color w:val="1A1A19"/>
                <w:sz w:val="16"/>
                <w:szCs w:val="16"/>
                <w:lang w:val="fr-FR"/>
              </w:rPr>
              <w:t>sur</w:t>
            </w:r>
            <w:proofErr w:type="gramEnd"/>
            <w:r w:rsidRPr="00BE4F47">
              <w:rPr>
                <w:rFonts w:ascii="Aptos" w:eastAsia="Calibri" w:hAnsi="Aptos" w:cs="Calibri"/>
                <w:color w:val="1A1A19"/>
                <w:sz w:val="16"/>
                <w:szCs w:val="16"/>
                <w:lang w:val="fr-FR"/>
              </w:rPr>
              <w:t xml:space="preserve"> Gentilly-2 [1]</w:t>
            </w:r>
          </w:p>
        </w:tc>
        <w:tc>
          <w:tcPr>
            <w:tcW w:w="2660" w:type="dxa"/>
            <w:tcBorders>
              <w:top w:val="single" w:sz="4" w:space="0" w:color="000000"/>
              <w:left w:val="single" w:sz="4" w:space="0" w:color="000000"/>
              <w:bottom w:val="single" w:sz="4" w:space="0" w:color="000000"/>
              <w:right w:val="single" w:sz="4" w:space="0" w:color="000000"/>
            </w:tcBorders>
          </w:tcPr>
          <w:p w14:paraId="0C3F3E9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Diffusion publique, gratuite</w:t>
            </w:r>
          </w:p>
        </w:tc>
      </w:tr>
    </w:tbl>
    <w:p w14:paraId="4EA81AE6" w14:textId="77777777" w:rsidR="00F50D70" w:rsidRPr="00BE4F47" w:rsidRDefault="00F50D70" w:rsidP="008E113B">
      <w:pPr>
        <w:spacing w:line="360" w:lineRule="auto"/>
        <w:ind w:left="0"/>
        <w:rPr>
          <w:rFonts w:ascii="Aptos" w:hAnsi="Aptos"/>
        </w:rPr>
      </w:pPr>
    </w:p>
    <w:p w14:paraId="221CD8AD"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42" w:name="_Toc241083137"/>
      <w:r w:rsidRPr="00BE4F47">
        <w:rPr>
          <w:rFonts w:ascii="Aptos" w:eastAsia="Calibri" w:hAnsi="Aptos" w:cs="Calibri"/>
          <w:color w:val="1A1A19"/>
          <w:sz w:val="20"/>
          <w:szCs w:val="20"/>
        </w:rPr>
        <w:t>L’édition en vigueur de chaque norme doit être vérifiée au moment de la citation. Une norme citée sans millésime n’a pas de valeur en ingénierie. L’équipe en a déjà fait l’expérience : deux normes du tableau de la section 6 avaient changé d’édition depuis les diapositives du cours.</w:t>
      </w:r>
      <w:bookmarkEnd w:id="442"/>
    </w:p>
    <w:p w14:paraId="47B126A2" w14:textId="77777777" w:rsidR="00F50D70" w:rsidRPr="00BE4F47" w:rsidRDefault="00F50D70" w:rsidP="008E113B">
      <w:pPr>
        <w:spacing w:line="360" w:lineRule="auto"/>
        <w:ind w:left="0"/>
        <w:rPr>
          <w:rFonts w:ascii="Aptos" w:hAnsi="Aptos"/>
        </w:rPr>
      </w:pPr>
    </w:p>
    <w:p w14:paraId="7224011F" w14:textId="77777777" w:rsidR="00F50D70" w:rsidRPr="00B36301" w:rsidRDefault="00000000" w:rsidP="008E113B">
      <w:pPr>
        <w:pStyle w:val="Titre1"/>
        <w:spacing w:line="360" w:lineRule="auto"/>
      </w:pPr>
      <w:bookmarkStart w:id="443" w:name="__RefHeading___Toc240715287"/>
      <w:bookmarkStart w:id="444" w:name="_Toc241083138"/>
      <w:bookmarkEnd w:id="443"/>
      <w:r w:rsidRPr="00B36301">
        <w:t>Estimation préliminaire des coûts</w:t>
      </w:r>
      <w:bookmarkEnd w:id="444"/>
    </w:p>
    <w:p w14:paraId="6A4BEE28" w14:textId="77777777" w:rsidR="00F50D70" w:rsidRPr="00BE4F47" w:rsidRDefault="00000000" w:rsidP="008E113B">
      <w:pPr>
        <w:spacing w:after="130" w:line="360" w:lineRule="auto"/>
        <w:ind w:left="360"/>
        <w:rPr>
          <w:rFonts w:ascii="Aptos" w:hAnsi="Aptos"/>
        </w:rPr>
      </w:pPr>
      <w:bookmarkStart w:id="445" w:name="_Toc241083139"/>
      <w:r w:rsidRPr="00BE4F47">
        <w:rPr>
          <w:rFonts w:ascii="Aptos" w:eastAsia="Calibri" w:hAnsi="Aptos" w:cs="Calibri"/>
          <w:color w:val="1A1A19"/>
          <w:sz w:val="20"/>
          <w:szCs w:val="20"/>
        </w:rPr>
        <w:t>La section 8 a converti le travail en heures et en ressources. Celle-ci convertit ces heures en dollars. Elle reprend la grille budgétaire du cours et distingue trois montants que l’on confond souvent : le coût du mandat, le prix facturé au client, et la réserve que le client conserve.</w:t>
      </w:r>
      <w:bookmarkEnd w:id="445"/>
    </w:p>
    <w:p w14:paraId="7DFC63F2" w14:textId="77777777" w:rsidR="00F50D70" w:rsidRPr="00BE4F47" w:rsidRDefault="00000000" w:rsidP="008E113B">
      <w:pPr>
        <w:spacing w:after="130" w:line="360" w:lineRule="auto"/>
        <w:ind w:left="360"/>
        <w:rPr>
          <w:rFonts w:ascii="Aptos" w:eastAsia="Calibri" w:hAnsi="Aptos" w:cs="Calibri"/>
          <w:color w:val="1A1A19"/>
          <w:sz w:val="20"/>
          <w:szCs w:val="20"/>
        </w:rPr>
      </w:pPr>
      <w:bookmarkStart w:id="446" w:name="_Toc241083140"/>
      <w:r w:rsidRPr="00BE4F47">
        <w:rPr>
          <w:rFonts w:ascii="Aptos" w:eastAsia="Calibri" w:hAnsi="Aptos" w:cs="Calibri"/>
          <w:color w:val="1A1A19"/>
          <w:sz w:val="20"/>
          <w:szCs w:val="20"/>
        </w:rPr>
        <w:t xml:space="preserve">Cette section donne l’estimation des coûts du projet « Jumeau numérique de surveillance d’une boucle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w:t>
      </w:r>
      <w:bookmarkEnd w:id="446"/>
      <w:r w:rsidRPr="00BE4F47">
        <w:rPr>
          <w:rFonts w:ascii="Aptos" w:eastAsia="Calibri" w:hAnsi="Aptos" w:cs="Calibri"/>
          <w:color w:val="1A1A19"/>
          <w:sz w:val="20"/>
          <w:szCs w:val="20"/>
        </w:rPr>
        <w:t xml:space="preserve"> </w:t>
      </w:r>
    </w:p>
    <w:p w14:paraId="56933EF0" w14:textId="77777777" w:rsidR="00F50D70" w:rsidRPr="00BE4F47" w:rsidRDefault="00000000" w:rsidP="008E113B">
      <w:pPr>
        <w:spacing w:after="130" w:line="360" w:lineRule="auto"/>
        <w:ind w:left="360"/>
        <w:rPr>
          <w:rFonts w:ascii="Aptos" w:eastAsia="Calibri" w:hAnsi="Aptos" w:cs="Calibri"/>
          <w:color w:val="1A1A19"/>
          <w:sz w:val="20"/>
          <w:szCs w:val="20"/>
        </w:rPr>
      </w:pPr>
      <w:bookmarkStart w:id="447" w:name="_Toc241083141"/>
      <w:r w:rsidRPr="00BE4F47">
        <w:rPr>
          <w:rFonts w:ascii="Aptos" w:eastAsia="Calibri" w:hAnsi="Aptos" w:cs="Calibri"/>
          <w:color w:val="1A1A19"/>
          <w:sz w:val="20"/>
          <w:szCs w:val="20"/>
        </w:rPr>
        <w:t>L’estimation est de classe 5 au sens du référentiel AACE 18R-97 [42]. Le contenu technique du projet n’est défini qu’à quelques pourcents à ce stade. Une estimation de classe 5 admet un écart de moins 20 % à moins 50 % du côté bas, et de plus 30 % à plus 100 % du côté haut. Le coût réel du mandat se situe donc entre 30 000 $ et 119 000 $ environ. Cette fourchette se resserrera au jalon J1, après l’approbation du cahier des charges, quand l’estimation passera en classe 4.</w:t>
      </w:r>
      <w:bookmarkEnd w:id="447"/>
    </w:p>
    <w:p w14:paraId="69E2591F" w14:textId="77777777" w:rsidR="00F50D70" w:rsidRPr="00BE4F47" w:rsidRDefault="00000000" w:rsidP="008E113B">
      <w:pPr>
        <w:spacing w:after="130" w:line="360" w:lineRule="auto"/>
        <w:ind w:left="360"/>
        <w:rPr>
          <w:rFonts w:ascii="Aptos" w:hAnsi="Aptos"/>
        </w:rPr>
      </w:pPr>
      <w:bookmarkStart w:id="448" w:name="_Toc241083142"/>
      <w:r w:rsidRPr="00BE4F47">
        <w:rPr>
          <w:rFonts w:ascii="Aptos" w:eastAsia="Calibri" w:hAnsi="Aptos" w:cs="Calibri"/>
          <w:color w:val="1A1A19"/>
          <w:sz w:val="20"/>
          <w:szCs w:val="20"/>
        </w:rPr>
        <w:t>Quatre hypothèses fixent la base de l’estimation. Elles viennent de la section 8. Toute modification apportée là doit être reportée ici.</w:t>
      </w:r>
      <w:bookmarkEnd w:id="448"/>
    </w:p>
    <w:p w14:paraId="2B81F598"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Huit membres, 135 heures chacun, soit 1 080 heures. Cette enveloppe est une contrainte du mandat, pas un résultat de l’estimation.</w:t>
      </w:r>
    </w:p>
    <w:p w14:paraId="33B7A14F"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Taux horaire unique de 50,00 $. Ce taux est un coût de revient, c’est à dire ce qu’une heure de travail coûte à l’équipe. Ce n’est pas le prix facturé au client. La marge est ajoutée plus bas dans la grille.</w:t>
      </w:r>
    </w:p>
    <w:p w14:paraId="26B42C6B"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Le barème des honoraires de l’Association des firmes de génie-conseil du Québec [45] donne des taux facturés nettement supérieurs. L’écart tient à cette distinction entre coût de revient et honoraire facturé.</w:t>
      </w:r>
    </w:p>
    <w:p w14:paraId="6918BABE"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La répartition par lot figure à la section 8 et la répartition par jalon à la section 10. Aucun des deux tableaux n’est recopié ici, pour qu’ils ne puissent pas diverger.</w:t>
      </w:r>
    </w:p>
    <w:p w14:paraId="74C0FBDD" w14:textId="77777777" w:rsidR="00F50D70" w:rsidRPr="00BE4F47" w:rsidRDefault="00000000" w:rsidP="008E113B">
      <w:pPr>
        <w:pStyle w:val="Titre2"/>
        <w:spacing w:line="360" w:lineRule="auto"/>
        <w:ind w:firstLine="425"/>
      </w:pPr>
      <w:r w:rsidRPr="00BE4F47">
        <w:lastRenderedPageBreak/>
        <w:t>Grille budgétaire</w:t>
      </w:r>
    </w:p>
    <w:p w14:paraId="2A8B3C41"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49" w:name="_Toc241083143"/>
      <w:r w:rsidRPr="00BE4F47">
        <w:rPr>
          <w:rFonts w:ascii="Aptos" w:eastAsia="Calibri" w:hAnsi="Aptos" w:cs="Calibri"/>
          <w:color w:val="1A1A19"/>
          <w:sz w:val="20"/>
          <w:szCs w:val="20"/>
        </w:rPr>
        <w:t>La grille suit le gabarit du cours. Chaque poste sans montant porte la raison de son exclusion.</w:t>
      </w:r>
      <w:bookmarkEnd w:id="449"/>
    </w:p>
    <w:p w14:paraId="3A9363E7" w14:textId="77777777" w:rsidR="00F50D70" w:rsidRPr="00BE4F47" w:rsidRDefault="00000000" w:rsidP="008E113B">
      <w:pPr>
        <w:pStyle w:val="Lgende"/>
        <w:spacing w:line="360" w:lineRule="auto"/>
        <w:rPr>
          <w:rFonts w:ascii="Aptos" w:hAnsi="Aptos"/>
        </w:rPr>
      </w:pPr>
      <w:bookmarkStart w:id="450" w:name="_Toc241083144"/>
      <w:r w:rsidRPr="00BE4F47">
        <w:rPr>
          <w:rFonts w:ascii="Aptos" w:hAnsi="Aptos"/>
        </w:rPr>
        <w:t>Tableau 9-1. Grille budgétaire du mandat</w:t>
      </w:r>
      <w:bookmarkEnd w:id="450"/>
    </w:p>
    <w:tbl>
      <w:tblPr>
        <w:tblW w:w="9360" w:type="dxa"/>
        <w:tblLayout w:type="fixed"/>
        <w:tblCellMar>
          <w:top w:w="55" w:type="dxa"/>
          <w:left w:w="85" w:type="dxa"/>
          <w:bottom w:w="55" w:type="dxa"/>
          <w:right w:w="85" w:type="dxa"/>
        </w:tblCellMar>
        <w:tblLook w:val="04A0" w:firstRow="1" w:lastRow="0" w:firstColumn="1" w:lastColumn="0" w:noHBand="0" w:noVBand="1"/>
      </w:tblPr>
      <w:tblGrid>
        <w:gridCol w:w="1560"/>
        <w:gridCol w:w="2820"/>
        <w:gridCol w:w="3180"/>
        <w:gridCol w:w="1800"/>
      </w:tblGrid>
      <w:tr w:rsidR="00F50D70" w:rsidRPr="00BE4F47" w14:paraId="1415C8D6" w14:textId="77777777">
        <w:trPr>
          <w:tblHeader/>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436C6A0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Catégorie</w:t>
            </w:r>
          </w:p>
        </w:tc>
        <w:tc>
          <w:tcPr>
            <w:tcW w:w="2820" w:type="dxa"/>
            <w:tcBorders>
              <w:top w:val="single" w:sz="4" w:space="0" w:color="000000"/>
              <w:left w:val="single" w:sz="4" w:space="0" w:color="000000"/>
              <w:bottom w:val="single" w:sz="4" w:space="0" w:color="000000"/>
              <w:right w:val="single" w:sz="4" w:space="0" w:color="000000"/>
            </w:tcBorders>
            <w:shd w:val="clear" w:color="auto" w:fill="EFF4FB"/>
          </w:tcPr>
          <w:p w14:paraId="312CC24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Poste</w:t>
            </w:r>
          </w:p>
        </w:tc>
        <w:tc>
          <w:tcPr>
            <w:tcW w:w="3180" w:type="dxa"/>
            <w:tcBorders>
              <w:top w:val="single" w:sz="4" w:space="0" w:color="000000"/>
              <w:left w:val="single" w:sz="4" w:space="0" w:color="000000"/>
              <w:bottom w:val="single" w:sz="4" w:space="0" w:color="000000"/>
              <w:right w:val="single" w:sz="4" w:space="0" w:color="000000"/>
            </w:tcBorders>
            <w:shd w:val="clear" w:color="auto" w:fill="EFF4FB"/>
          </w:tcPr>
          <w:p w14:paraId="1D26AE1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Base d’estimation</w:t>
            </w:r>
          </w:p>
        </w:tc>
        <w:tc>
          <w:tcPr>
            <w:tcW w:w="1800" w:type="dxa"/>
            <w:tcBorders>
              <w:top w:val="single" w:sz="4" w:space="0" w:color="000000"/>
              <w:left w:val="single" w:sz="4" w:space="0" w:color="000000"/>
              <w:bottom w:val="single" w:sz="4" w:space="0" w:color="000000"/>
              <w:right w:val="single" w:sz="4" w:space="0" w:color="000000"/>
            </w:tcBorders>
            <w:shd w:val="clear" w:color="auto" w:fill="EFF4FB"/>
          </w:tcPr>
          <w:p w14:paraId="6FF1389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Montant</w:t>
            </w:r>
          </w:p>
        </w:tc>
      </w:tr>
      <w:tr w:rsidR="00F50D70" w:rsidRPr="00BE4F47" w14:paraId="2E924774"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22C67F8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34162F7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Salaire de l’équipe : ingénierie, lots L2 à L9, 972 h</w:t>
            </w:r>
          </w:p>
        </w:tc>
        <w:tc>
          <w:tcPr>
            <w:tcW w:w="3180" w:type="dxa"/>
            <w:tcBorders>
              <w:top w:val="single" w:sz="4" w:space="0" w:color="000000"/>
              <w:left w:val="single" w:sz="4" w:space="0" w:color="000000"/>
              <w:bottom w:val="single" w:sz="4" w:space="0" w:color="000000"/>
              <w:right w:val="single" w:sz="4" w:space="0" w:color="000000"/>
            </w:tcBorders>
          </w:tcPr>
          <w:p w14:paraId="5227932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5, méthode ascendante, 50,00 $/h</w:t>
            </w:r>
          </w:p>
        </w:tc>
        <w:tc>
          <w:tcPr>
            <w:tcW w:w="1800" w:type="dxa"/>
            <w:tcBorders>
              <w:top w:val="single" w:sz="4" w:space="0" w:color="000000"/>
              <w:left w:val="single" w:sz="4" w:space="0" w:color="000000"/>
              <w:bottom w:val="single" w:sz="4" w:space="0" w:color="000000"/>
              <w:right w:val="single" w:sz="4" w:space="0" w:color="000000"/>
            </w:tcBorders>
          </w:tcPr>
          <w:p w14:paraId="53458F2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48 600,00 $</w:t>
            </w:r>
          </w:p>
        </w:tc>
      </w:tr>
      <w:tr w:rsidR="00F50D70" w:rsidRPr="00BE4F47" w14:paraId="3AC1CD05"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3CCBF70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77D0586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Salaire de l’équipe : gestion de projet, lot L1, 108 h</w:t>
            </w:r>
          </w:p>
        </w:tc>
        <w:tc>
          <w:tcPr>
            <w:tcW w:w="3180" w:type="dxa"/>
            <w:tcBorders>
              <w:top w:val="single" w:sz="4" w:space="0" w:color="000000"/>
              <w:left w:val="single" w:sz="4" w:space="0" w:color="000000"/>
              <w:bottom w:val="single" w:sz="4" w:space="0" w:color="000000"/>
              <w:right w:val="single" w:sz="4" w:space="0" w:color="000000"/>
            </w:tcBorders>
          </w:tcPr>
          <w:p w14:paraId="0EDC3C3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5, méthode ascendante, 50,00 $/h</w:t>
            </w:r>
          </w:p>
        </w:tc>
        <w:tc>
          <w:tcPr>
            <w:tcW w:w="1800" w:type="dxa"/>
            <w:tcBorders>
              <w:top w:val="single" w:sz="4" w:space="0" w:color="000000"/>
              <w:left w:val="single" w:sz="4" w:space="0" w:color="000000"/>
              <w:bottom w:val="single" w:sz="4" w:space="0" w:color="000000"/>
              <w:right w:val="single" w:sz="4" w:space="0" w:color="000000"/>
            </w:tcBorders>
          </w:tcPr>
          <w:p w14:paraId="31FFBB5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5 400,00 $</w:t>
            </w:r>
          </w:p>
        </w:tc>
      </w:tr>
      <w:tr w:rsidR="00F50D70" w:rsidRPr="00BE4F47" w14:paraId="180AA3FA"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37E3144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1D8EC5D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Équipement et matériaux</w:t>
            </w:r>
          </w:p>
        </w:tc>
        <w:tc>
          <w:tcPr>
            <w:tcW w:w="3180" w:type="dxa"/>
            <w:tcBorders>
              <w:top w:val="single" w:sz="4" w:space="0" w:color="000000"/>
              <w:left w:val="single" w:sz="4" w:space="0" w:color="000000"/>
              <w:bottom w:val="single" w:sz="4" w:space="0" w:color="000000"/>
              <w:right w:val="single" w:sz="4" w:space="0" w:color="000000"/>
            </w:tcBorders>
          </w:tcPr>
          <w:p w14:paraId="0949546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Sans objet. Le livrable est un logiciel.</w:t>
            </w:r>
          </w:p>
        </w:tc>
        <w:tc>
          <w:tcPr>
            <w:tcW w:w="1800" w:type="dxa"/>
            <w:tcBorders>
              <w:top w:val="single" w:sz="4" w:space="0" w:color="000000"/>
              <w:left w:val="single" w:sz="4" w:space="0" w:color="000000"/>
              <w:bottom w:val="single" w:sz="4" w:space="0" w:color="000000"/>
              <w:right w:val="single" w:sz="4" w:space="0" w:color="000000"/>
            </w:tcBorders>
          </w:tcPr>
          <w:p w14:paraId="5D36BD5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01742D10"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6B415A7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4538DE0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Composants revendus intégrés (fonctions A à D du gabarit)</w:t>
            </w:r>
          </w:p>
        </w:tc>
        <w:tc>
          <w:tcPr>
            <w:tcW w:w="3180" w:type="dxa"/>
            <w:tcBorders>
              <w:top w:val="single" w:sz="4" w:space="0" w:color="000000"/>
              <w:left w:val="single" w:sz="4" w:space="0" w:color="000000"/>
              <w:bottom w:val="single" w:sz="4" w:space="0" w:color="000000"/>
              <w:right w:val="single" w:sz="4" w:space="0" w:color="000000"/>
            </w:tcBorders>
          </w:tcPr>
          <w:p w14:paraId="31AB699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Sans objet. Aucun composant physique.</w:t>
            </w:r>
          </w:p>
        </w:tc>
        <w:tc>
          <w:tcPr>
            <w:tcW w:w="1800" w:type="dxa"/>
            <w:tcBorders>
              <w:top w:val="single" w:sz="4" w:space="0" w:color="000000"/>
              <w:left w:val="single" w:sz="4" w:space="0" w:color="000000"/>
              <w:bottom w:val="single" w:sz="4" w:space="0" w:color="000000"/>
              <w:right w:val="single" w:sz="4" w:space="0" w:color="000000"/>
            </w:tcBorders>
          </w:tcPr>
          <w:p w14:paraId="17FDDF8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66173DB7"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60F1601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26FFD1F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Marketing et études de marché</w:t>
            </w:r>
          </w:p>
        </w:tc>
        <w:tc>
          <w:tcPr>
            <w:tcW w:w="3180" w:type="dxa"/>
            <w:tcBorders>
              <w:top w:val="single" w:sz="4" w:space="0" w:color="000000"/>
              <w:left w:val="single" w:sz="4" w:space="0" w:color="000000"/>
              <w:bottom w:val="single" w:sz="4" w:space="0" w:color="000000"/>
              <w:right w:val="single" w:sz="4" w:space="0" w:color="000000"/>
            </w:tcBorders>
          </w:tcPr>
          <w:p w14:paraId="3F27730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Hors du périmètre du mandat</w:t>
            </w:r>
          </w:p>
        </w:tc>
        <w:tc>
          <w:tcPr>
            <w:tcW w:w="1800" w:type="dxa"/>
            <w:tcBorders>
              <w:top w:val="single" w:sz="4" w:space="0" w:color="000000"/>
              <w:left w:val="single" w:sz="4" w:space="0" w:color="000000"/>
              <w:bottom w:val="single" w:sz="4" w:space="0" w:color="000000"/>
              <w:right w:val="single" w:sz="4" w:space="0" w:color="000000"/>
            </w:tcBorders>
          </w:tcPr>
          <w:p w14:paraId="6773F1F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4D485485"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24A7884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4A23A36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Frais légaux</w:t>
            </w:r>
          </w:p>
        </w:tc>
        <w:tc>
          <w:tcPr>
            <w:tcW w:w="3180" w:type="dxa"/>
            <w:tcBorders>
              <w:top w:val="single" w:sz="4" w:space="0" w:color="000000"/>
              <w:left w:val="single" w:sz="4" w:space="0" w:color="000000"/>
              <w:bottom w:val="single" w:sz="4" w:space="0" w:color="000000"/>
              <w:right w:val="single" w:sz="4" w:space="0" w:color="000000"/>
            </w:tcBorders>
          </w:tcPr>
          <w:p w14:paraId="54403BD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Hors du périmètre du mandat</w:t>
            </w:r>
          </w:p>
        </w:tc>
        <w:tc>
          <w:tcPr>
            <w:tcW w:w="1800" w:type="dxa"/>
            <w:tcBorders>
              <w:top w:val="single" w:sz="4" w:space="0" w:color="000000"/>
              <w:left w:val="single" w:sz="4" w:space="0" w:color="000000"/>
              <w:bottom w:val="single" w:sz="4" w:space="0" w:color="000000"/>
              <w:right w:val="single" w:sz="4" w:space="0" w:color="000000"/>
            </w:tcBorders>
          </w:tcPr>
          <w:p w14:paraId="3F44CBB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07742DF6"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6ADF43C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12377AB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Déplacements : véhicule, hôtel, indemnité journalière</w:t>
            </w:r>
          </w:p>
        </w:tc>
        <w:tc>
          <w:tcPr>
            <w:tcW w:w="3180" w:type="dxa"/>
            <w:tcBorders>
              <w:top w:val="single" w:sz="4" w:space="0" w:color="000000"/>
              <w:left w:val="single" w:sz="4" w:space="0" w:color="000000"/>
              <w:bottom w:val="single" w:sz="4" w:space="0" w:color="000000"/>
              <w:right w:val="single" w:sz="4" w:space="0" w:color="000000"/>
            </w:tcBorders>
          </w:tcPr>
          <w:p w14:paraId="756A8CA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Travaux réalisés sur le campus de l’UQAC</w:t>
            </w:r>
          </w:p>
        </w:tc>
        <w:tc>
          <w:tcPr>
            <w:tcW w:w="1800" w:type="dxa"/>
            <w:tcBorders>
              <w:top w:val="single" w:sz="4" w:space="0" w:color="000000"/>
              <w:left w:val="single" w:sz="4" w:space="0" w:color="000000"/>
              <w:bottom w:val="single" w:sz="4" w:space="0" w:color="000000"/>
              <w:right w:val="single" w:sz="4" w:space="0" w:color="000000"/>
            </w:tcBorders>
          </w:tcPr>
          <w:p w14:paraId="13A3A16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34D8AE9F"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0F13F0A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0B04696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Publicité</w:t>
            </w:r>
          </w:p>
        </w:tc>
        <w:tc>
          <w:tcPr>
            <w:tcW w:w="3180" w:type="dxa"/>
            <w:tcBorders>
              <w:top w:val="single" w:sz="4" w:space="0" w:color="000000"/>
              <w:left w:val="single" w:sz="4" w:space="0" w:color="000000"/>
              <w:bottom w:val="single" w:sz="4" w:space="0" w:color="000000"/>
              <w:right w:val="single" w:sz="4" w:space="0" w:color="000000"/>
            </w:tcBorders>
          </w:tcPr>
          <w:p w14:paraId="434B438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Hors du périmètre du mandat</w:t>
            </w:r>
          </w:p>
        </w:tc>
        <w:tc>
          <w:tcPr>
            <w:tcW w:w="1800" w:type="dxa"/>
            <w:tcBorders>
              <w:top w:val="single" w:sz="4" w:space="0" w:color="000000"/>
              <w:left w:val="single" w:sz="4" w:space="0" w:color="000000"/>
              <w:bottom w:val="single" w:sz="4" w:space="0" w:color="000000"/>
              <w:right w:val="single" w:sz="4" w:space="0" w:color="000000"/>
            </w:tcBorders>
          </w:tcPr>
          <w:p w14:paraId="396A0F4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2319728F"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77AFDA7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305CAC6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Recherche et développement</w:t>
            </w:r>
          </w:p>
        </w:tc>
        <w:tc>
          <w:tcPr>
            <w:tcW w:w="3180" w:type="dxa"/>
            <w:tcBorders>
              <w:top w:val="single" w:sz="4" w:space="0" w:color="000000"/>
              <w:left w:val="single" w:sz="4" w:space="0" w:color="000000"/>
              <w:bottom w:val="single" w:sz="4" w:space="0" w:color="000000"/>
              <w:right w:val="single" w:sz="4" w:space="0" w:color="000000"/>
            </w:tcBorders>
          </w:tcPr>
          <w:p w14:paraId="6E4E7C2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Comprise dans les 972 h des lots L2 à L9</w:t>
            </w:r>
          </w:p>
        </w:tc>
        <w:tc>
          <w:tcPr>
            <w:tcW w:w="1800" w:type="dxa"/>
            <w:tcBorders>
              <w:top w:val="single" w:sz="4" w:space="0" w:color="000000"/>
              <w:left w:val="single" w:sz="4" w:space="0" w:color="000000"/>
              <w:bottom w:val="single" w:sz="4" w:space="0" w:color="000000"/>
              <w:right w:val="single" w:sz="4" w:space="0" w:color="000000"/>
            </w:tcBorders>
          </w:tcPr>
          <w:p w14:paraId="53FCC4D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4D4EFAAF"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224C9FB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7098A33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Étude de faisabilité</w:t>
            </w:r>
          </w:p>
        </w:tc>
        <w:tc>
          <w:tcPr>
            <w:tcW w:w="3180" w:type="dxa"/>
            <w:tcBorders>
              <w:top w:val="single" w:sz="4" w:space="0" w:color="000000"/>
              <w:left w:val="single" w:sz="4" w:space="0" w:color="000000"/>
              <w:bottom w:val="single" w:sz="4" w:space="0" w:color="000000"/>
              <w:right w:val="single" w:sz="4" w:space="0" w:color="000000"/>
            </w:tcBorders>
          </w:tcPr>
          <w:p w14:paraId="2ABA96D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Le plan de projet en tient lieu</w:t>
            </w:r>
          </w:p>
        </w:tc>
        <w:tc>
          <w:tcPr>
            <w:tcW w:w="1800" w:type="dxa"/>
            <w:tcBorders>
              <w:top w:val="single" w:sz="4" w:space="0" w:color="000000"/>
              <w:left w:val="single" w:sz="4" w:space="0" w:color="000000"/>
              <w:bottom w:val="single" w:sz="4" w:space="0" w:color="000000"/>
              <w:right w:val="single" w:sz="4" w:space="0" w:color="000000"/>
            </w:tcBorders>
          </w:tcPr>
          <w:p w14:paraId="533903A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2A6395BD"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69F3E88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4D2D9FB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TPS, TVQ et TVH</w:t>
            </w:r>
          </w:p>
        </w:tc>
        <w:tc>
          <w:tcPr>
            <w:tcW w:w="3180" w:type="dxa"/>
            <w:tcBorders>
              <w:top w:val="single" w:sz="4" w:space="0" w:color="000000"/>
              <w:left w:val="single" w:sz="4" w:space="0" w:color="000000"/>
              <w:bottom w:val="single" w:sz="4" w:space="0" w:color="000000"/>
              <w:right w:val="single" w:sz="4" w:space="0" w:color="000000"/>
            </w:tcBorders>
          </w:tcPr>
          <w:p w14:paraId="6A564E8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Mandat académique, aucune facturation réelle</w:t>
            </w:r>
          </w:p>
        </w:tc>
        <w:tc>
          <w:tcPr>
            <w:tcW w:w="1800" w:type="dxa"/>
            <w:tcBorders>
              <w:top w:val="single" w:sz="4" w:space="0" w:color="000000"/>
              <w:left w:val="single" w:sz="4" w:space="0" w:color="000000"/>
              <w:bottom w:val="single" w:sz="4" w:space="0" w:color="000000"/>
              <w:right w:val="single" w:sz="4" w:space="0" w:color="000000"/>
            </w:tcBorders>
          </w:tcPr>
          <w:p w14:paraId="0C0EAF3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2189D567" w14:textId="77777777">
        <w:trPr>
          <w:cantSplit/>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49742A3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shd w:val="clear" w:color="auto" w:fill="EFF4FB"/>
          </w:tcPr>
          <w:p w14:paraId="0884161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Sous-total des coûts directs</w:t>
            </w:r>
          </w:p>
        </w:tc>
        <w:tc>
          <w:tcPr>
            <w:tcW w:w="3180" w:type="dxa"/>
            <w:tcBorders>
              <w:top w:val="single" w:sz="4" w:space="0" w:color="000000"/>
              <w:left w:val="single" w:sz="4" w:space="0" w:color="000000"/>
              <w:bottom w:val="single" w:sz="4" w:space="0" w:color="000000"/>
              <w:right w:val="single" w:sz="4" w:space="0" w:color="000000"/>
            </w:tcBorders>
            <w:shd w:val="clear" w:color="auto" w:fill="EFF4FB"/>
          </w:tcPr>
          <w:p w14:paraId="4E5013D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1 080 h à 50,00 $/h</w:t>
            </w:r>
          </w:p>
        </w:tc>
        <w:tc>
          <w:tcPr>
            <w:tcW w:w="1800" w:type="dxa"/>
            <w:tcBorders>
              <w:top w:val="single" w:sz="4" w:space="0" w:color="000000"/>
              <w:left w:val="single" w:sz="4" w:space="0" w:color="000000"/>
              <w:bottom w:val="single" w:sz="4" w:space="0" w:color="000000"/>
              <w:right w:val="single" w:sz="4" w:space="0" w:color="000000"/>
            </w:tcBorders>
            <w:shd w:val="clear" w:color="auto" w:fill="EFF4FB"/>
          </w:tcPr>
          <w:p w14:paraId="71172F9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54 000,00 $</w:t>
            </w:r>
          </w:p>
        </w:tc>
      </w:tr>
      <w:tr w:rsidR="00F50D70" w:rsidRPr="00BE4F47" w14:paraId="1506F843"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3FCC9B9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2779110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Consultation et sous-traitance</w:t>
            </w:r>
          </w:p>
        </w:tc>
        <w:tc>
          <w:tcPr>
            <w:tcW w:w="3180" w:type="dxa"/>
            <w:tcBorders>
              <w:top w:val="single" w:sz="4" w:space="0" w:color="000000"/>
              <w:left w:val="single" w:sz="4" w:space="0" w:color="000000"/>
              <w:bottom w:val="single" w:sz="4" w:space="0" w:color="000000"/>
              <w:right w:val="single" w:sz="4" w:space="0" w:color="000000"/>
            </w:tcBorders>
          </w:tcPr>
          <w:p w14:paraId="6A8DE21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Aucun sous-traitant prévu</w:t>
            </w:r>
          </w:p>
        </w:tc>
        <w:tc>
          <w:tcPr>
            <w:tcW w:w="1800" w:type="dxa"/>
            <w:tcBorders>
              <w:top w:val="single" w:sz="4" w:space="0" w:color="000000"/>
              <w:left w:val="single" w:sz="4" w:space="0" w:color="000000"/>
              <w:bottom w:val="single" w:sz="4" w:space="0" w:color="000000"/>
              <w:right w:val="single" w:sz="4" w:space="0" w:color="000000"/>
            </w:tcBorders>
          </w:tcPr>
          <w:p w14:paraId="6028B72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1A322557"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476ED27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018C2A6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Télécommunications : téléphonie, internet</w:t>
            </w:r>
          </w:p>
        </w:tc>
        <w:tc>
          <w:tcPr>
            <w:tcW w:w="3180" w:type="dxa"/>
            <w:tcBorders>
              <w:top w:val="single" w:sz="4" w:space="0" w:color="000000"/>
              <w:left w:val="single" w:sz="4" w:space="0" w:color="000000"/>
              <w:bottom w:val="single" w:sz="4" w:space="0" w:color="000000"/>
              <w:right w:val="single" w:sz="4" w:space="0" w:color="000000"/>
            </w:tcBorders>
          </w:tcPr>
          <w:p w14:paraId="79441DE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Fournies par l’UQAC</w:t>
            </w:r>
          </w:p>
        </w:tc>
        <w:tc>
          <w:tcPr>
            <w:tcW w:w="1800" w:type="dxa"/>
            <w:tcBorders>
              <w:top w:val="single" w:sz="4" w:space="0" w:color="000000"/>
              <w:left w:val="single" w:sz="4" w:space="0" w:color="000000"/>
              <w:bottom w:val="single" w:sz="4" w:space="0" w:color="000000"/>
              <w:right w:val="single" w:sz="4" w:space="0" w:color="000000"/>
            </w:tcBorders>
          </w:tcPr>
          <w:p w14:paraId="453B978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7C392492"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10CF2CA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76F10FC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Entretien et service ménager des locaux</w:t>
            </w:r>
          </w:p>
        </w:tc>
        <w:tc>
          <w:tcPr>
            <w:tcW w:w="3180" w:type="dxa"/>
            <w:tcBorders>
              <w:top w:val="single" w:sz="4" w:space="0" w:color="000000"/>
              <w:left w:val="single" w:sz="4" w:space="0" w:color="000000"/>
              <w:bottom w:val="single" w:sz="4" w:space="0" w:color="000000"/>
              <w:right w:val="single" w:sz="4" w:space="0" w:color="000000"/>
            </w:tcBorders>
          </w:tcPr>
          <w:p w14:paraId="18F6607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Fournis par l’UQAC</w:t>
            </w:r>
          </w:p>
        </w:tc>
        <w:tc>
          <w:tcPr>
            <w:tcW w:w="1800" w:type="dxa"/>
            <w:tcBorders>
              <w:top w:val="single" w:sz="4" w:space="0" w:color="000000"/>
              <w:left w:val="single" w:sz="4" w:space="0" w:color="000000"/>
              <w:bottom w:val="single" w:sz="4" w:space="0" w:color="000000"/>
              <w:right w:val="single" w:sz="4" w:space="0" w:color="000000"/>
            </w:tcBorders>
          </w:tcPr>
          <w:p w14:paraId="3EDE964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6E70F068"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373CE70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3676F5D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Bureautique : poste de travail, périphériques, fournitures</w:t>
            </w:r>
          </w:p>
        </w:tc>
        <w:tc>
          <w:tcPr>
            <w:tcW w:w="3180" w:type="dxa"/>
            <w:tcBorders>
              <w:top w:val="single" w:sz="4" w:space="0" w:color="000000"/>
              <w:left w:val="single" w:sz="4" w:space="0" w:color="000000"/>
              <w:bottom w:val="single" w:sz="4" w:space="0" w:color="000000"/>
              <w:right w:val="single" w:sz="4" w:space="0" w:color="000000"/>
            </w:tcBorders>
          </w:tcPr>
          <w:p w14:paraId="0CC2293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Apport des membres, non facturé</w:t>
            </w:r>
          </w:p>
        </w:tc>
        <w:tc>
          <w:tcPr>
            <w:tcW w:w="1800" w:type="dxa"/>
            <w:tcBorders>
              <w:top w:val="single" w:sz="4" w:space="0" w:color="000000"/>
              <w:left w:val="single" w:sz="4" w:space="0" w:color="000000"/>
              <w:bottom w:val="single" w:sz="4" w:space="0" w:color="000000"/>
              <w:right w:val="single" w:sz="4" w:space="0" w:color="000000"/>
            </w:tcBorders>
          </w:tcPr>
          <w:p w14:paraId="0FB3592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0B76C184"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7DC3B68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583F00E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Hébergement des pages du projet</w:t>
            </w:r>
          </w:p>
        </w:tc>
        <w:tc>
          <w:tcPr>
            <w:tcW w:w="3180" w:type="dxa"/>
            <w:tcBorders>
              <w:top w:val="single" w:sz="4" w:space="0" w:color="000000"/>
              <w:left w:val="single" w:sz="4" w:space="0" w:color="000000"/>
              <w:bottom w:val="single" w:sz="4" w:space="0" w:color="000000"/>
              <w:right w:val="single" w:sz="4" w:space="0" w:color="000000"/>
            </w:tcBorders>
          </w:tcPr>
          <w:p w14:paraId="0413B63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 offre éducation</w:t>
            </w:r>
          </w:p>
        </w:tc>
        <w:tc>
          <w:tcPr>
            <w:tcW w:w="1800" w:type="dxa"/>
            <w:tcBorders>
              <w:top w:val="single" w:sz="4" w:space="0" w:color="000000"/>
              <w:left w:val="single" w:sz="4" w:space="0" w:color="000000"/>
              <w:bottom w:val="single" w:sz="4" w:space="0" w:color="000000"/>
              <w:right w:val="single" w:sz="4" w:space="0" w:color="000000"/>
            </w:tcBorders>
          </w:tcPr>
          <w:p w14:paraId="0341B98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7268C5E4"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65EAA02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750EAF4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Licences logicielles</w:t>
            </w:r>
          </w:p>
        </w:tc>
        <w:tc>
          <w:tcPr>
            <w:tcW w:w="3180" w:type="dxa"/>
            <w:tcBorders>
              <w:top w:val="single" w:sz="4" w:space="0" w:color="000000"/>
              <w:left w:val="single" w:sz="4" w:space="0" w:color="000000"/>
              <w:bottom w:val="single" w:sz="4" w:space="0" w:color="000000"/>
              <w:right w:val="single" w:sz="4" w:space="0" w:color="000000"/>
            </w:tcBorders>
          </w:tcPr>
          <w:p w14:paraId="4F68284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Licences académiques de l’UQAC et outils libres</w:t>
            </w:r>
          </w:p>
        </w:tc>
        <w:tc>
          <w:tcPr>
            <w:tcW w:w="1800" w:type="dxa"/>
            <w:tcBorders>
              <w:top w:val="single" w:sz="4" w:space="0" w:color="000000"/>
              <w:left w:val="single" w:sz="4" w:space="0" w:color="000000"/>
              <w:bottom w:val="single" w:sz="4" w:space="0" w:color="000000"/>
              <w:right w:val="single" w:sz="4" w:space="0" w:color="000000"/>
            </w:tcBorders>
          </w:tcPr>
          <w:p w14:paraId="69DD85F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2D6C7E26"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387CBD6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247A0E5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Garantie prolongée du produit</w:t>
            </w:r>
          </w:p>
        </w:tc>
        <w:tc>
          <w:tcPr>
            <w:tcW w:w="3180" w:type="dxa"/>
            <w:tcBorders>
              <w:top w:val="single" w:sz="4" w:space="0" w:color="000000"/>
              <w:left w:val="single" w:sz="4" w:space="0" w:color="000000"/>
              <w:bottom w:val="single" w:sz="4" w:space="0" w:color="000000"/>
              <w:right w:val="single" w:sz="4" w:space="0" w:color="000000"/>
            </w:tcBorders>
          </w:tcPr>
          <w:p w14:paraId="7984690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Aucun produit physique livré</w:t>
            </w:r>
          </w:p>
        </w:tc>
        <w:tc>
          <w:tcPr>
            <w:tcW w:w="1800" w:type="dxa"/>
            <w:tcBorders>
              <w:top w:val="single" w:sz="4" w:space="0" w:color="000000"/>
              <w:left w:val="single" w:sz="4" w:space="0" w:color="000000"/>
              <w:bottom w:val="single" w:sz="4" w:space="0" w:color="000000"/>
              <w:right w:val="single" w:sz="4" w:space="0" w:color="000000"/>
            </w:tcBorders>
          </w:tcPr>
          <w:p w14:paraId="67BF354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1B3A6DD9"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363053F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7712149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Formation du personnel</w:t>
            </w:r>
          </w:p>
        </w:tc>
        <w:tc>
          <w:tcPr>
            <w:tcW w:w="3180" w:type="dxa"/>
            <w:tcBorders>
              <w:top w:val="single" w:sz="4" w:space="0" w:color="000000"/>
              <w:left w:val="single" w:sz="4" w:space="0" w:color="000000"/>
              <w:bottom w:val="single" w:sz="4" w:space="0" w:color="000000"/>
              <w:right w:val="single" w:sz="4" w:space="0" w:color="000000"/>
            </w:tcBorders>
          </w:tcPr>
          <w:p w14:paraId="0BAD4B0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Ateliers et formation compris dans les 1 080 h, au lot L1</w:t>
            </w:r>
          </w:p>
        </w:tc>
        <w:tc>
          <w:tcPr>
            <w:tcW w:w="1800" w:type="dxa"/>
            <w:tcBorders>
              <w:top w:val="single" w:sz="4" w:space="0" w:color="000000"/>
              <w:left w:val="single" w:sz="4" w:space="0" w:color="000000"/>
              <w:bottom w:val="single" w:sz="4" w:space="0" w:color="000000"/>
              <w:right w:val="single" w:sz="4" w:space="0" w:color="000000"/>
            </w:tcBorders>
          </w:tcPr>
          <w:p w14:paraId="1224721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26A4ECFB"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2B94D0D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071D562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Livraison, installation, douane</w:t>
            </w:r>
          </w:p>
        </w:tc>
        <w:tc>
          <w:tcPr>
            <w:tcW w:w="3180" w:type="dxa"/>
            <w:tcBorders>
              <w:top w:val="single" w:sz="4" w:space="0" w:color="000000"/>
              <w:left w:val="single" w:sz="4" w:space="0" w:color="000000"/>
              <w:bottom w:val="single" w:sz="4" w:space="0" w:color="000000"/>
              <w:right w:val="single" w:sz="4" w:space="0" w:color="000000"/>
            </w:tcBorders>
          </w:tcPr>
          <w:p w14:paraId="0B7EBB9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Sans objet pour un livrable logiciel</w:t>
            </w:r>
          </w:p>
        </w:tc>
        <w:tc>
          <w:tcPr>
            <w:tcW w:w="1800" w:type="dxa"/>
            <w:tcBorders>
              <w:top w:val="single" w:sz="4" w:space="0" w:color="000000"/>
              <w:left w:val="single" w:sz="4" w:space="0" w:color="000000"/>
              <w:bottom w:val="single" w:sz="4" w:space="0" w:color="000000"/>
              <w:right w:val="single" w:sz="4" w:space="0" w:color="000000"/>
            </w:tcBorders>
          </w:tcPr>
          <w:p w14:paraId="17EE28E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0B8DA567"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20242DB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26FA280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Assurance responsabilité civile</w:t>
            </w:r>
          </w:p>
        </w:tc>
        <w:tc>
          <w:tcPr>
            <w:tcW w:w="3180" w:type="dxa"/>
            <w:tcBorders>
              <w:top w:val="single" w:sz="4" w:space="0" w:color="000000"/>
              <w:left w:val="single" w:sz="4" w:space="0" w:color="000000"/>
              <w:bottom w:val="single" w:sz="4" w:space="0" w:color="000000"/>
              <w:right w:val="single" w:sz="4" w:space="0" w:color="000000"/>
            </w:tcBorders>
          </w:tcPr>
          <w:p w14:paraId="65DEAC5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Couverte par le cadre académique de l’UQAC</w:t>
            </w:r>
          </w:p>
        </w:tc>
        <w:tc>
          <w:tcPr>
            <w:tcW w:w="1800" w:type="dxa"/>
            <w:tcBorders>
              <w:top w:val="single" w:sz="4" w:space="0" w:color="000000"/>
              <w:left w:val="single" w:sz="4" w:space="0" w:color="000000"/>
              <w:bottom w:val="single" w:sz="4" w:space="0" w:color="000000"/>
              <w:right w:val="single" w:sz="4" w:space="0" w:color="000000"/>
            </w:tcBorders>
          </w:tcPr>
          <w:p w14:paraId="2A86AC5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37E318DA"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540F0B3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602D98D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Assurance des immeubles et des biens</w:t>
            </w:r>
          </w:p>
        </w:tc>
        <w:tc>
          <w:tcPr>
            <w:tcW w:w="3180" w:type="dxa"/>
            <w:tcBorders>
              <w:top w:val="single" w:sz="4" w:space="0" w:color="000000"/>
              <w:left w:val="single" w:sz="4" w:space="0" w:color="000000"/>
              <w:bottom w:val="single" w:sz="4" w:space="0" w:color="000000"/>
              <w:right w:val="single" w:sz="4" w:space="0" w:color="000000"/>
            </w:tcBorders>
          </w:tcPr>
          <w:p w14:paraId="504E415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Couverte par l’UQAC</w:t>
            </w:r>
          </w:p>
        </w:tc>
        <w:tc>
          <w:tcPr>
            <w:tcW w:w="1800" w:type="dxa"/>
            <w:tcBorders>
              <w:top w:val="single" w:sz="4" w:space="0" w:color="000000"/>
              <w:left w:val="single" w:sz="4" w:space="0" w:color="000000"/>
              <w:bottom w:val="single" w:sz="4" w:space="0" w:color="000000"/>
              <w:right w:val="single" w:sz="4" w:space="0" w:color="000000"/>
            </w:tcBorders>
          </w:tcPr>
          <w:p w14:paraId="652E2F8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31495C59" w14:textId="77777777">
        <w:trPr>
          <w:cantSplit/>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1E3D3AD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shd w:val="clear" w:color="auto" w:fill="EFF4FB"/>
          </w:tcPr>
          <w:p w14:paraId="2E07F7B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Sous-total des coûts indirects</w:t>
            </w:r>
          </w:p>
        </w:tc>
        <w:tc>
          <w:tcPr>
            <w:tcW w:w="3180" w:type="dxa"/>
            <w:tcBorders>
              <w:top w:val="single" w:sz="4" w:space="0" w:color="000000"/>
              <w:left w:val="single" w:sz="4" w:space="0" w:color="000000"/>
              <w:bottom w:val="single" w:sz="4" w:space="0" w:color="000000"/>
              <w:right w:val="single" w:sz="4" w:space="0" w:color="000000"/>
            </w:tcBorders>
            <w:shd w:val="clear" w:color="auto" w:fill="EFF4FB"/>
          </w:tcPr>
          <w:p w14:paraId="02B61F1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Aucun poste applicable</w:t>
            </w:r>
          </w:p>
        </w:tc>
        <w:tc>
          <w:tcPr>
            <w:tcW w:w="1800" w:type="dxa"/>
            <w:tcBorders>
              <w:top w:val="single" w:sz="4" w:space="0" w:color="000000"/>
              <w:left w:val="single" w:sz="4" w:space="0" w:color="000000"/>
              <w:bottom w:val="single" w:sz="4" w:space="0" w:color="000000"/>
              <w:right w:val="single" w:sz="4" w:space="0" w:color="000000"/>
            </w:tcBorders>
            <w:shd w:val="clear" w:color="auto" w:fill="EFF4FB"/>
          </w:tcPr>
          <w:p w14:paraId="1FD45EE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0,00 $</w:t>
            </w:r>
          </w:p>
        </w:tc>
      </w:tr>
      <w:tr w:rsidR="00F50D70" w:rsidRPr="00BE4F47" w14:paraId="186196A5"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6668950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Provisions</w:t>
            </w:r>
          </w:p>
        </w:tc>
        <w:tc>
          <w:tcPr>
            <w:tcW w:w="2820" w:type="dxa"/>
            <w:tcBorders>
              <w:top w:val="single" w:sz="4" w:space="0" w:color="000000"/>
              <w:left w:val="single" w:sz="4" w:space="0" w:color="000000"/>
              <w:bottom w:val="single" w:sz="4" w:space="0" w:color="000000"/>
              <w:right w:val="single" w:sz="4" w:space="0" w:color="000000"/>
            </w:tcBorders>
          </w:tcPr>
          <w:p w14:paraId="552B01F1"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Contingence</w:t>
            </w:r>
          </w:p>
        </w:tc>
        <w:tc>
          <w:tcPr>
            <w:tcW w:w="3180" w:type="dxa"/>
            <w:tcBorders>
              <w:top w:val="single" w:sz="4" w:space="0" w:color="000000"/>
              <w:left w:val="single" w:sz="4" w:space="0" w:color="000000"/>
              <w:bottom w:val="single" w:sz="4" w:space="0" w:color="000000"/>
              <w:right w:val="single" w:sz="4" w:space="0" w:color="000000"/>
            </w:tcBorders>
          </w:tcPr>
          <w:p w14:paraId="6DF65BC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10 % des coûts directs, soit 10 % de 54 000 $</w:t>
            </w:r>
          </w:p>
        </w:tc>
        <w:tc>
          <w:tcPr>
            <w:tcW w:w="1800" w:type="dxa"/>
            <w:tcBorders>
              <w:top w:val="single" w:sz="4" w:space="0" w:color="000000"/>
              <w:left w:val="single" w:sz="4" w:space="0" w:color="000000"/>
              <w:bottom w:val="single" w:sz="4" w:space="0" w:color="000000"/>
              <w:right w:val="single" w:sz="4" w:space="0" w:color="000000"/>
            </w:tcBorders>
          </w:tcPr>
          <w:p w14:paraId="1F2CE53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5 400,00 $</w:t>
            </w:r>
          </w:p>
        </w:tc>
      </w:tr>
      <w:tr w:rsidR="00F50D70" w:rsidRPr="00BE4F47" w14:paraId="56EC81CB"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72DCE57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Provisions</w:t>
            </w:r>
          </w:p>
        </w:tc>
        <w:tc>
          <w:tcPr>
            <w:tcW w:w="2820" w:type="dxa"/>
            <w:tcBorders>
              <w:top w:val="single" w:sz="4" w:space="0" w:color="000000"/>
              <w:left w:val="single" w:sz="4" w:space="0" w:color="000000"/>
              <w:bottom w:val="single" w:sz="4" w:space="0" w:color="000000"/>
              <w:right w:val="single" w:sz="4" w:space="0" w:color="000000"/>
            </w:tcBorders>
          </w:tcPr>
          <w:p w14:paraId="1F5D23C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Escalade : inflation et augmentations salariales</w:t>
            </w:r>
          </w:p>
        </w:tc>
        <w:tc>
          <w:tcPr>
            <w:tcW w:w="3180" w:type="dxa"/>
            <w:tcBorders>
              <w:top w:val="single" w:sz="4" w:space="0" w:color="000000"/>
              <w:left w:val="single" w:sz="4" w:space="0" w:color="000000"/>
              <w:bottom w:val="single" w:sz="4" w:space="0" w:color="000000"/>
              <w:right w:val="single" w:sz="4" w:space="0" w:color="000000"/>
            </w:tcBorders>
          </w:tcPr>
          <w:p w14:paraId="5331B59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À 2 % par an sur 0,27 an, l’effet vaut environ 290 $. Montant absorbé par la contingence.</w:t>
            </w:r>
          </w:p>
        </w:tc>
        <w:tc>
          <w:tcPr>
            <w:tcW w:w="1800" w:type="dxa"/>
            <w:tcBorders>
              <w:top w:val="single" w:sz="4" w:space="0" w:color="000000"/>
              <w:left w:val="single" w:sz="4" w:space="0" w:color="000000"/>
              <w:bottom w:val="single" w:sz="4" w:space="0" w:color="000000"/>
              <w:right w:val="single" w:sz="4" w:space="0" w:color="000000"/>
            </w:tcBorders>
          </w:tcPr>
          <w:p w14:paraId="35108C8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2AD96EC1"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4A3C25A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Provisions</w:t>
            </w:r>
          </w:p>
        </w:tc>
        <w:tc>
          <w:tcPr>
            <w:tcW w:w="2820" w:type="dxa"/>
            <w:tcBorders>
              <w:top w:val="single" w:sz="4" w:space="0" w:color="000000"/>
              <w:left w:val="single" w:sz="4" w:space="0" w:color="000000"/>
              <w:bottom w:val="single" w:sz="4" w:space="0" w:color="000000"/>
              <w:right w:val="single" w:sz="4" w:space="0" w:color="000000"/>
            </w:tcBorders>
          </w:tcPr>
          <w:p w14:paraId="007D80D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Autres imprévus</w:t>
            </w:r>
          </w:p>
        </w:tc>
        <w:tc>
          <w:tcPr>
            <w:tcW w:w="3180" w:type="dxa"/>
            <w:tcBorders>
              <w:top w:val="single" w:sz="4" w:space="0" w:color="000000"/>
              <w:left w:val="single" w:sz="4" w:space="0" w:color="000000"/>
              <w:bottom w:val="single" w:sz="4" w:space="0" w:color="000000"/>
              <w:right w:val="single" w:sz="4" w:space="0" w:color="000000"/>
            </w:tcBorders>
          </w:tcPr>
          <w:p w14:paraId="69C5682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Couverts par la contingence</w:t>
            </w:r>
          </w:p>
        </w:tc>
        <w:tc>
          <w:tcPr>
            <w:tcW w:w="1800" w:type="dxa"/>
            <w:tcBorders>
              <w:top w:val="single" w:sz="4" w:space="0" w:color="000000"/>
              <w:left w:val="single" w:sz="4" w:space="0" w:color="000000"/>
              <w:bottom w:val="single" w:sz="4" w:space="0" w:color="000000"/>
              <w:right w:val="single" w:sz="4" w:space="0" w:color="000000"/>
            </w:tcBorders>
          </w:tcPr>
          <w:p w14:paraId="5539F0D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668E6DFC" w14:textId="77777777">
        <w:trPr>
          <w:cantSplit/>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727AA53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Total</w:t>
            </w:r>
          </w:p>
        </w:tc>
        <w:tc>
          <w:tcPr>
            <w:tcW w:w="2820" w:type="dxa"/>
            <w:tcBorders>
              <w:top w:val="single" w:sz="4" w:space="0" w:color="000000"/>
              <w:left w:val="single" w:sz="4" w:space="0" w:color="000000"/>
              <w:bottom w:val="single" w:sz="4" w:space="0" w:color="000000"/>
              <w:right w:val="single" w:sz="4" w:space="0" w:color="000000"/>
            </w:tcBorders>
            <w:shd w:val="clear" w:color="auto" w:fill="EFF4FB"/>
          </w:tcPr>
          <w:p w14:paraId="6622587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Coût total du mandat</w:t>
            </w:r>
          </w:p>
        </w:tc>
        <w:tc>
          <w:tcPr>
            <w:tcW w:w="3180" w:type="dxa"/>
            <w:tcBorders>
              <w:top w:val="single" w:sz="4" w:space="0" w:color="000000"/>
              <w:left w:val="single" w:sz="4" w:space="0" w:color="000000"/>
              <w:bottom w:val="single" w:sz="4" w:space="0" w:color="000000"/>
              <w:right w:val="single" w:sz="4" w:space="0" w:color="000000"/>
            </w:tcBorders>
            <w:shd w:val="clear" w:color="auto" w:fill="EFF4FB"/>
          </w:tcPr>
          <w:p w14:paraId="4EA9EEA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54 000 $ + 5 400 $</w:t>
            </w:r>
          </w:p>
        </w:tc>
        <w:tc>
          <w:tcPr>
            <w:tcW w:w="1800" w:type="dxa"/>
            <w:tcBorders>
              <w:top w:val="single" w:sz="4" w:space="0" w:color="000000"/>
              <w:left w:val="single" w:sz="4" w:space="0" w:color="000000"/>
              <w:bottom w:val="single" w:sz="4" w:space="0" w:color="000000"/>
              <w:right w:val="single" w:sz="4" w:space="0" w:color="000000"/>
            </w:tcBorders>
            <w:shd w:val="clear" w:color="auto" w:fill="EFF4FB"/>
          </w:tcPr>
          <w:p w14:paraId="683579C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59 400,00 $</w:t>
            </w:r>
          </w:p>
        </w:tc>
      </w:tr>
      <w:tr w:rsidR="00F50D70" w:rsidRPr="00BE4F47" w14:paraId="2DC2C8D6"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011E457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Prix</w:t>
            </w:r>
          </w:p>
        </w:tc>
        <w:tc>
          <w:tcPr>
            <w:tcW w:w="2820" w:type="dxa"/>
            <w:tcBorders>
              <w:top w:val="single" w:sz="4" w:space="0" w:color="000000"/>
              <w:left w:val="single" w:sz="4" w:space="0" w:color="000000"/>
              <w:bottom w:val="single" w:sz="4" w:space="0" w:color="000000"/>
              <w:right w:val="single" w:sz="4" w:space="0" w:color="000000"/>
            </w:tcBorders>
          </w:tcPr>
          <w:p w14:paraId="015B0BA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Marge bénéficiaire</w:t>
            </w:r>
          </w:p>
        </w:tc>
        <w:tc>
          <w:tcPr>
            <w:tcW w:w="3180" w:type="dxa"/>
            <w:tcBorders>
              <w:top w:val="single" w:sz="4" w:space="0" w:color="000000"/>
              <w:left w:val="single" w:sz="4" w:space="0" w:color="000000"/>
              <w:bottom w:val="single" w:sz="4" w:space="0" w:color="000000"/>
              <w:right w:val="single" w:sz="4" w:space="0" w:color="000000"/>
            </w:tcBorders>
          </w:tcPr>
          <w:p w14:paraId="1CDA7BA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15 % du coût total du mandat</w:t>
            </w:r>
          </w:p>
        </w:tc>
        <w:tc>
          <w:tcPr>
            <w:tcW w:w="1800" w:type="dxa"/>
            <w:tcBorders>
              <w:top w:val="single" w:sz="4" w:space="0" w:color="000000"/>
              <w:left w:val="single" w:sz="4" w:space="0" w:color="000000"/>
              <w:bottom w:val="single" w:sz="4" w:space="0" w:color="000000"/>
              <w:right w:val="single" w:sz="4" w:space="0" w:color="000000"/>
            </w:tcBorders>
          </w:tcPr>
          <w:p w14:paraId="04C5A7C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8 910,00 $</w:t>
            </w:r>
          </w:p>
        </w:tc>
      </w:tr>
      <w:tr w:rsidR="00F50D70" w:rsidRPr="00BE4F47" w14:paraId="778D320A" w14:textId="77777777">
        <w:trPr>
          <w:cantSplit/>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249F90C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Prix</w:t>
            </w:r>
          </w:p>
        </w:tc>
        <w:tc>
          <w:tcPr>
            <w:tcW w:w="2820" w:type="dxa"/>
            <w:tcBorders>
              <w:top w:val="single" w:sz="4" w:space="0" w:color="000000"/>
              <w:left w:val="single" w:sz="4" w:space="0" w:color="000000"/>
              <w:bottom w:val="single" w:sz="4" w:space="0" w:color="000000"/>
              <w:right w:val="single" w:sz="4" w:space="0" w:color="000000"/>
            </w:tcBorders>
            <w:shd w:val="clear" w:color="auto" w:fill="EFF4FB"/>
          </w:tcPr>
          <w:p w14:paraId="1881C1A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Total pour le bordereau des prix</w:t>
            </w:r>
          </w:p>
        </w:tc>
        <w:tc>
          <w:tcPr>
            <w:tcW w:w="3180" w:type="dxa"/>
            <w:tcBorders>
              <w:top w:val="single" w:sz="4" w:space="0" w:color="000000"/>
              <w:left w:val="single" w:sz="4" w:space="0" w:color="000000"/>
              <w:bottom w:val="single" w:sz="4" w:space="0" w:color="000000"/>
              <w:right w:val="single" w:sz="4" w:space="0" w:color="000000"/>
            </w:tcBorders>
            <w:shd w:val="clear" w:color="auto" w:fill="EFF4FB"/>
          </w:tcPr>
          <w:p w14:paraId="44EEEAF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59 400 $ + 8 910 $</w:t>
            </w:r>
          </w:p>
        </w:tc>
        <w:tc>
          <w:tcPr>
            <w:tcW w:w="1800" w:type="dxa"/>
            <w:tcBorders>
              <w:top w:val="single" w:sz="4" w:space="0" w:color="000000"/>
              <w:left w:val="single" w:sz="4" w:space="0" w:color="000000"/>
              <w:bottom w:val="single" w:sz="4" w:space="0" w:color="000000"/>
              <w:right w:val="single" w:sz="4" w:space="0" w:color="000000"/>
            </w:tcBorders>
            <w:shd w:val="clear" w:color="auto" w:fill="EFF4FB"/>
          </w:tcPr>
          <w:p w14:paraId="1CB8C5E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68 310,00 $</w:t>
            </w:r>
          </w:p>
        </w:tc>
      </w:tr>
      <w:tr w:rsidR="00F50D70" w:rsidRPr="00BE4F47" w14:paraId="18E72406"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7EC5A4E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lastRenderedPageBreak/>
              <w:t>Prix</w:t>
            </w:r>
          </w:p>
        </w:tc>
        <w:tc>
          <w:tcPr>
            <w:tcW w:w="2820" w:type="dxa"/>
            <w:tcBorders>
              <w:top w:val="single" w:sz="4" w:space="0" w:color="000000"/>
              <w:left w:val="single" w:sz="4" w:space="0" w:color="000000"/>
              <w:bottom w:val="single" w:sz="4" w:space="0" w:color="000000"/>
              <w:right w:val="single" w:sz="4" w:space="0" w:color="000000"/>
            </w:tcBorders>
          </w:tcPr>
          <w:p w14:paraId="7F53910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Réserve du propriétaire</w:t>
            </w:r>
          </w:p>
        </w:tc>
        <w:tc>
          <w:tcPr>
            <w:tcW w:w="3180" w:type="dxa"/>
            <w:tcBorders>
              <w:top w:val="single" w:sz="4" w:space="0" w:color="000000"/>
              <w:left w:val="single" w:sz="4" w:space="0" w:color="000000"/>
              <w:bottom w:val="single" w:sz="4" w:space="0" w:color="000000"/>
              <w:right w:val="single" w:sz="4" w:space="0" w:color="000000"/>
            </w:tcBorders>
          </w:tcPr>
          <w:p w14:paraId="43EF770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5 % du bordereau. Provision retenue par le client, hors du prix vendu.</w:t>
            </w:r>
          </w:p>
        </w:tc>
        <w:tc>
          <w:tcPr>
            <w:tcW w:w="1800" w:type="dxa"/>
            <w:tcBorders>
              <w:top w:val="single" w:sz="4" w:space="0" w:color="000000"/>
              <w:left w:val="single" w:sz="4" w:space="0" w:color="000000"/>
              <w:bottom w:val="single" w:sz="4" w:space="0" w:color="000000"/>
              <w:right w:val="single" w:sz="4" w:space="0" w:color="000000"/>
            </w:tcBorders>
          </w:tcPr>
          <w:p w14:paraId="54B7593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3 415,50 $</w:t>
            </w:r>
          </w:p>
        </w:tc>
      </w:tr>
      <w:tr w:rsidR="00F50D70" w:rsidRPr="00BE4F47" w14:paraId="408ED873" w14:textId="77777777">
        <w:trPr>
          <w:cantSplit/>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765DA9C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Prix</w:t>
            </w:r>
          </w:p>
        </w:tc>
        <w:tc>
          <w:tcPr>
            <w:tcW w:w="2820" w:type="dxa"/>
            <w:tcBorders>
              <w:top w:val="single" w:sz="4" w:space="0" w:color="000000"/>
              <w:left w:val="single" w:sz="4" w:space="0" w:color="000000"/>
              <w:bottom w:val="single" w:sz="4" w:space="0" w:color="000000"/>
              <w:right w:val="single" w:sz="4" w:space="0" w:color="000000"/>
            </w:tcBorders>
            <w:shd w:val="clear" w:color="auto" w:fill="EFF4FB"/>
          </w:tcPr>
          <w:p w14:paraId="02465E6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Estimé initial total</w:t>
            </w:r>
          </w:p>
        </w:tc>
        <w:tc>
          <w:tcPr>
            <w:tcW w:w="3180" w:type="dxa"/>
            <w:tcBorders>
              <w:top w:val="single" w:sz="4" w:space="0" w:color="000000"/>
              <w:left w:val="single" w:sz="4" w:space="0" w:color="000000"/>
              <w:bottom w:val="single" w:sz="4" w:space="0" w:color="000000"/>
              <w:right w:val="single" w:sz="4" w:space="0" w:color="000000"/>
            </w:tcBorders>
            <w:shd w:val="clear" w:color="auto" w:fill="EFF4FB"/>
          </w:tcPr>
          <w:p w14:paraId="60A16B9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68 310 $ + 3 415,50 $</w:t>
            </w:r>
          </w:p>
        </w:tc>
        <w:tc>
          <w:tcPr>
            <w:tcW w:w="1800" w:type="dxa"/>
            <w:tcBorders>
              <w:top w:val="single" w:sz="4" w:space="0" w:color="000000"/>
              <w:left w:val="single" w:sz="4" w:space="0" w:color="000000"/>
              <w:bottom w:val="single" w:sz="4" w:space="0" w:color="000000"/>
              <w:right w:val="single" w:sz="4" w:space="0" w:color="000000"/>
            </w:tcBorders>
            <w:shd w:val="clear" w:color="auto" w:fill="EFF4FB"/>
          </w:tcPr>
          <w:p w14:paraId="2BAA551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71 725,50 $</w:t>
            </w:r>
          </w:p>
        </w:tc>
      </w:tr>
    </w:tbl>
    <w:p w14:paraId="43129B1B" w14:textId="77777777" w:rsidR="00F50D70" w:rsidRPr="00BE4F47" w:rsidRDefault="00F50D70" w:rsidP="008E113B">
      <w:pPr>
        <w:spacing w:line="360" w:lineRule="auto"/>
        <w:rPr>
          <w:rFonts w:ascii="Aptos" w:hAnsi="Aptos"/>
        </w:rPr>
      </w:pPr>
    </w:p>
    <w:p w14:paraId="3BD520CB" w14:textId="77777777" w:rsidR="00F50D70" w:rsidRPr="00BE4F47" w:rsidRDefault="00000000" w:rsidP="008E113B">
      <w:pPr>
        <w:pStyle w:val="Titre2"/>
        <w:spacing w:line="360" w:lineRule="auto"/>
        <w:rPr>
          <w:rFonts w:ascii="Aptos" w:hAnsi="Aptos"/>
        </w:rPr>
      </w:pPr>
      <w:bookmarkStart w:id="451" w:name="_Toc241083145"/>
      <w:r w:rsidRPr="00BE4F47">
        <w:rPr>
          <w:rFonts w:ascii="Aptos" w:hAnsi="Aptos"/>
        </w:rPr>
        <w:t>Planification financière dans le temps</w:t>
      </w:r>
      <w:bookmarkEnd w:id="451"/>
    </w:p>
    <w:p w14:paraId="7A57D83F" w14:textId="77777777" w:rsidR="00F50D70" w:rsidRPr="00BE4F47" w:rsidRDefault="00000000" w:rsidP="008E113B">
      <w:pPr>
        <w:spacing w:after="130" w:line="360" w:lineRule="auto"/>
        <w:ind w:left="360"/>
        <w:rPr>
          <w:rFonts w:ascii="Aptos" w:hAnsi="Aptos"/>
        </w:rPr>
      </w:pPr>
      <w:bookmarkStart w:id="452" w:name="_Toc241083146"/>
      <w:r w:rsidRPr="00BE4F47">
        <w:rPr>
          <w:rFonts w:ascii="Aptos" w:eastAsia="Calibri" w:hAnsi="Aptos" w:cs="Calibri"/>
          <w:color w:val="1A1A19"/>
          <w:sz w:val="20"/>
          <w:szCs w:val="20"/>
        </w:rPr>
        <w:t>La grille budgétaire donne un montant global. Elle ne dit pas quand l’argent est dépensé ni quand il est facturé. La planification ci-dessous répartit le coût du mandat sur les six jalons, en reprenant l’effort par phase du tableau de l’échéancier. Elle constitue la base de référence contre laquelle l’écart sera mesuré à chaque jalon.</w:t>
      </w:r>
      <w:bookmarkEnd w:id="452"/>
    </w:p>
    <w:p w14:paraId="170FD430" w14:textId="77777777" w:rsidR="00F50D70" w:rsidRPr="00BE4F47" w:rsidRDefault="00000000" w:rsidP="008E113B">
      <w:pPr>
        <w:pStyle w:val="Lgende"/>
        <w:spacing w:line="360" w:lineRule="auto"/>
        <w:rPr>
          <w:rFonts w:ascii="Aptos" w:hAnsi="Aptos"/>
        </w:rPr>
      </w:pPr>
      <w:bookmarkStart w:id="453" w:name="_Toc241083147"/>
      <w:r w:rsidRPr="00BE4F47">
        <w:rPr>
          <w:rFonts w:ascii="Aptos" w:hAnsi="Aptos"/>
        </w:rPr>
        <w:t>Tableau 9-2. Répartition du coût du mandat par jalon</w:t>
      </w:r>
      <w:bookmarkEnd w:id="453"/>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1000"/>
        <w:gridCol w:w="1400"/>
        <w:gridCol w:w="1700"/>
        <w:gridCol w:w="1700"/>
        <w:gridCol w:w="2057"/>
      </w:tblGrid>
      <w:tr w:rsidR="00F50D70" w:rsidRPr="00BE4F47" w14:paraId="1399CF9F" w14:textId="77777777">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EFF4FB"/>
          </w:tcPr>
          <w:p w14:paraId="554BED1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Jalon</w:t>
            </w:r>
          </w:p>
        </w:tc>
        <w:tc>
          <w:tcPr>
            <w:tcW w:w="1000" w:type="dxa"/>
            <w:tcBorders>
              <w:top w:val="single" w:sz="4" w:space="0" w:color="000000"/>
              <w:left w:val="single" w:sz="4" w:space="0" w:color="000000"/>
              <w:bottom w:val="single" w:sz="4" w:space="0" w:color="000000"/>
              <w:right w:val="single" w:sz="4" w:space="0" w:color="000000"/>
            </w:tcBorders>
            <w:shd w:val="clear" w:color="auto" w:fill="EFF4FB"/>
          </w:tcPr>
          <w:p w14:paraId="5CD4237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Date</w:t>
            </w:r>
          </w:p>
        </w:tc>
        <w:tc>
          <w:tcPr>
            <w:tcW w:w="1400" w:type="dxa"/>
            <w:tcBorders>
              <w:top w:val="single" w:sz="4" w:space="0" w:color="000000"/>
              <w:left w:val="single" w:sz="4" w:space="0" w:color="000000"/>
              <w:bottom w:val="single" w:sz="4" w:space="0" w:color="000000"/>
              <w:right w:val="single" w:sz="4" w:space="0" w:color="000000"/>
            </w:tcBorders>
            <w:shd w:val="clear" w:color="auto" w:fill="EFF4FB"/>
          </w:tcPr>
          <w:p w14:paraId="5160587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Effort de la phase</w:t>
            </w:r>
          </w:p>
        </w:tc>
        <w:tc>
          <w:tcPr>
            <w:tcW w:w="1700" w:type="dxa"/>
            <w:tcBorders>
              <w:top w:val="single" w:sz="4" w:space="0" w:color="000000"/>
              <w:left w:val="single" w:sz="4" w:space="0" w:color="000000"/>
              <w:bottom w:val="single" w:sz="4" w:space="0" w:color="000000"/>
              <w:right w:val="single" w:sz="4" w:space="0" w:color="000000"/>
            </w:tcBorders>
            <w:shd w:val="clear" w:color="auto" w:fill="EFF4FB"/>
          </w:tcPr>
          <w:p w14:paraId="782F238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Coût de la période</w:t>
            </w:r>
          </w:p>
        </w:tc>
        <w:tc>
          <w:tcPr>
            <w:tcW w:w="1700" w:type="dxa"/>
            <w:tcBorders>
              <w:top w:val="single" w:sz="4" w:space="0" w:color="000000"/>
              <w:left w:val="single" w:sz="4" w:space="0" w:color="000000"/>
              <w:bottom w:val="single" w:sz="4" w:space="0" w:color="000000"/>
              <w:right w:val="single" w:sz="4" w:space="0" w:color="000000"/>
            </w:tcBorders>
            <w:shd w:val="clear" w:color="auto" w:fill="EFF4FB"/>
          </w:tcPr>
          <w:p w14:paraId="4372B86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Coût cumulé</w:t>
            </w:r>
          </w:p>
        </w:tc>
        <w:tc>
          <w:tcPr>
            <w:tcW w:w="2057" w:type="dxa"/>
            <w:tcBorders>
              <w:top w:val="single" w:sz="4" w:space="0" w:color="000000"/>
              <w:left w:val="single" w:sz="4" w:space="0" w:color="000000"/>
              <w:bottom w:val="single" w:sz="4" w:space="0" w:color="000000"/>
              <w:right w:val="single" w:sz="4" w:space="0" w:color="000000"/>
            </w:tcBorders>
            <w:shd w:val="clear" w:color="auto" w:fill="EFF4FB"/>
          </w:tcPr>
          <w:p w14:paraId="2319107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Part du budget</w:t>
            </w:r>
          </w:p>
        </w:tc>
      </w:tr>
      <w:tr w:rsidR="00F50D70" w:rsidRPr="00BE4F47" w14:paraId="71914C3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EBEBC3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J0</w:t>
            </w:r>
          </w:p>
        </w:tc>
        <w:tc>
          <w:tcPr>
            <w:tcW w:w="1000" w:type="dxa"/>
            <w:tcBorders>
              <w:top w:val="single" w:sz="4" w:space="0" w:color="000000"/>
              <w:left w:val="single" w:sz="4" w:space="0" w:color="000000"/>
              <w:bottom w:val="single" w:sz="4" w:space="0" w:color="000000"/>
              <w:right w:val="single" w:sz="4" w:space="0" w:color="000000"/>
            </w:tcBorders>
          </w:tcPr>
          <w:p w14:paraId="4646447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12 sept.</w:t>
            </w:r>
          </w:p>
        </w:tc>
        <w:tc>
          <w:tcPr>
            <w:tcW w:w="1400" w:type="dxa"/>
            <w:tcBorders>
              <w:top w:val="single" w:sz="4" w:space="0" w:color="000000"/>
              <w:left w:val="single" w:sz="4" w:space="0" w:color="000000"/>
              <w:bottom w:val="single" w:sz="4" w:space="0" w:color="000000"/>
              <w:right w:val="single" w:sz="4" w:space="0" w:color="000000"/>
            </w:tcBorders>
          </w:tcPr>
          <w:p w14:paraId="10BD90E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81 h</w:t>
            </w:r>
          </w:p>
        </w:tc>
        <w:tc>
          <w:tcPr>
            <w:tcW w:w="1700" w:type="dxa"/>
            <w:tcBorders>
              <w:top w:val="single" w:sz="4" w:space="0" w:color="000000"/>
              <w:left w:val="single" w:sz="4" w:space="0" w:color="000000"/>
              <w:bottom w:val="single" w:sz="4" w:space="0" w:color="000000"/>
              <w:right w:val="single" w:sz="4" w:space="0" w:color="000000"/>
            </w:tcBorders>
          </w:tcPr>
          <w:p w14:paraId="536DAC1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4 050,00 $</w:t>
            </w:r>
          </w:p>
        </w:tc>
        <w:tc>
          <w:tcPr>
            <w:tcW w:w="1700" w:type="dxa"/>
            <w:tcBorders>
              <w:top w:val="single" w:sz="4" w:space="0" w:color="000000"/>
              <w:left w:val="single" w:sz="4" w:space="0" w:color="000000"/>
              <w:bottom w:val="single" w:sz="4" w:space="0" w:color="000000"/>
              <w:right w:val="single" w:sz="4" w:space="0" w:color="000000"/>
            </w:tcBorders>
          </w:tcPr>
          <w:p w14:paraId="316EC51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4 050,00 $</w:t>
            </w:r>
          </w:p>
        </w:tc>
        <w:tc>
          <w:tcPr>
            <w:tcW w:w="2057" w:type="dxa"/>
            <w:tcBorders>
              <w:top w:val="single" w:sz="4" w:space="0" w:color="000000"/>
              <w:left w:val="single" w:sz="4" w:space="0" w:color="000000"/>
              <w:bottom w:val="single" w:sz="4" w:space="0" w:color="000000"/>
              <w:right w:val="single" w:sz="4" w:space="0" w:color="000000"/>
            </w:tcBorders>
          </w:tcPr>
          <w:p w14:paraId="018BF70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7,5 %</w:t>
            </w:r>
          </w:p>
        </w:tc>
      </w:tr>
      <w:tr w:rsidR="00F50D70" w:rsidRPr="00BE4F47" w14:paraId="475EB7F4"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E25D76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J1</w:t>
            </w:r>
          </w:p>
        </w:tc>
        <w:tc>
          <w:tcPr>
            <w:tcW w:w="1000" w:type="dxa"/>
            <w:tcBorders>
              <w:top w:val="single" w:sz="4" w:space="0" w:color="000000"/>
              <w:left w:val="single" w:sz="4" w:space="0" w:color="000000"/>
              <w:bottom w:val="single" w:sz="4" w:space="0" w:color="000000"/>
              <w:right w:val="single" w:sz="4" w:space="0" w:color="000000"/>
            </w:tcBorders>
          </w:tcPr>
          <w:p w14:paraId="3CC5BF1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25 sept.</w:t>
            </w:r>
          </w:p>
        </w:tc>
        <w:tc>
          <w:tcPr>
            <w:tcW w:w="1400" w:type="dxa"/>
            <w:tcBorders>
              <w:top w:val="single" w:sz="4" w:space="0" w:color="000000"/>
              <w:left w:val="single" w:sz="4" w:space="0" w:color="000000"/>
              <w:bottom w:val="single" w:sz="4" w:space="0" w:color="000000"/>
              <w:right w:val="single" w:sz="4" w:space="0" w:color="000000"/>
            </w:tcBorders>
          </w:tcPr>
          <w:p w14:paraId="093FECF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149 h</w:t>
            </w:r>
          </w:p>
        </w:tc>
        <w:tc>
          <w:tcPr>
            <w:tcW w:w="1700" w:type="dxa"/>
            <w:tcBorders>
              <w:top w:val="single" w:sz="4" w:space="0" w:color="000000"/>
              <w:left w:val="single" w:sz="4" w:space="0" w:color="000000"/>
              <w:bottom w:val="single" w:sz="4" w:space="0" w:color="000000"/>
              <w:right w:val="single" w:sz="4" w:space="0" w:color="000000"/>
            </w:tcBorders>
          </w:tcPr>
          <w:p w14:paraId="7473320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7 450,00 $</w:t>
            </w:r>
          </w:p>
        </w:tc>
        <w:tc>
          <w:tcPr>
            <w:tcW w:w="1700" w:type="dxa"/>
            <w:tcBorders>
              <w:top w:val="single" w:sz="4" w:space="0" w:color="000000"/>
              <w:left w:val="single" w:sz="4" w:space="0" w:color="000000"/>
              <w:bottom w:val="single" w:sz="4" w:space="0" w:color="000000"/>
              <w:right w:val="single" w:sz="4" w:space="0" w:color="000000"/>
            </w:tcBorders>
          </w:tcPr>
          <w:p w14:paraId="0253E08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11 500,00 $</w:t>
            </w:r>
          </w:p>
        </w:tc>
        <w:tc>
          <w:tcPr>
            <w:tcW w:w="2057" w:type="dxa"/>
            <w:tcBorders>
              <w:top w:val="single" w:sz="4" w:space="0" w:color="000000"/>
              <w:left w:val="single" w:sz="4" w:space="0" w:color="000000"/>
              <w:bottom w:val="single" w:sz="4" w:space="0" w:color="000000"/>
              <w:right w:val="single" w:sz="4" w:space="0" w:color="000000"/>
            </w:tcBorders>
          </w:tcPr>
          <w:p w14:paraId="66D9AA1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21,3 %</w:t>
            </w:r>
          </w:p>
        </w:tc>
      </w:tr>
      <w:tr w:rsidR="00F50D70" w:rsidRPr="00BE4F47" w14:paraId="31CC2453"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17C3F1B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J2</w:t>
            </w:r>
          </w:p>
        </w:tc>
        <w:tc>
          <w:tcPr>
            <w:tcW w:w="1000" w:type="dxa"/>
            <w:tcBorders>
              <w:top w:val="single" w:sz="4" w:space="0" w:color="000000"/>
              <w:left w:val="single" w:sz="4" w:space="0" w:color="000000"/>
              <w:bottom w:val="single" w:sz="4" w:space="0" w:color="000000"/>
              <w:right w:val="single" w:sz="4" w:space="0" w:color="000000"/>
            </w:tcBorders>
          </w:tcPr>
          <w:p w14:paraId="531BFC4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23 oct.</w:t>
            </w:r>
          </w:p>
        </w:tc>
        <w:tc>
          <w:tcPr>
            <w:tcW w:w="1400" w:type="dxa"/>
            <w:tcBorders>
              <w:top w:val="single" w:sz="4" w:space="0" w:color="000000"/>
              <w:left w:val="single" w:sz="4" w:space="0" w:color="000000"/>
              <w:bottom w:val="single" w:sz="4" w:space="0" w:color="000000"/>
              <w:right w:val="single" w:sz="4" w:space="0" w:color="000000"/>
            </w:tcBorders>
          </w:tcPr>
          <w:p w14:paraId="73A9F5A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230 h</w:t>
            </w:r>
          </w:p>
        </w:tc>
        <w:tc>
          <w:tcPr>
            <w:tcW w:w="1700" w:type="dxa"/>
            <w:tcBorders>
              <w:top w:val="single" w:sz="4" w:space="0" w:color="000000"/>
              <w:left w:val="single" w:sz="4" w:space="0" w:color="000000"/>
              <w:bottom w:val="single" w:sz="4" w:space="0" w:color="000000"/>
              <w:right w:val="single" w:sz="4" w:space="0" w:color="000000"/>
            </w:tcBorders>
          </w:tcPr>
          <w:p w14:paraId="5A40E00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11 500,00 $</w:t>
            </w:r>
          </w:p>
        </w:tc>
        <w:tc>
          <w:tcPr>
            <w:tcW w:w="1700" w:type="dxa"/>
            <w:tcBorders>
              <w:top w:val="single" w:sz="4" w:space="0" w:color="000000"/>
              <w:left w:val="single" w:sz="4" w:space="0" w:color="000000"/>
              <w:bottom w:val="single" w:sz="4" w:space="0" w:color="000000"/>
              <w:right w:val="single" w:sz="4" w:space="0" w:color="000000"/>
            </w:tcBorders>
          </w:tcPr>
          <w:p w14:paraId="05E0465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23 000,00 $</w:t>
            </w:r>
          </w:p>
        </w:tc>
        <w:tc>
          <w:tcPr>
            <w:tcW w:w="2057" w:type="dxa"/>
            <w:tcBorders>
              <w:top w:val="single" w:sz="4" w:space="0" w:color="000000"/>
              <w:left w:val="single" w:sz="4" w:space="0" w:color="000000"/>
              <w:bottom w:val="single" w:sz="4" w:space="0" w:color="000000"/>
              <w:right w:val="single" w:sz="4" w:space="0" w:color="000000"/>
            </w:tcBorders>
          </w:tcPr>
          <w:p w14:paraId="07F7358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42,6 %</w:t>
            </w:r>
          </w:p>
        </w:tc>
      </w:tr>
      <w:tr w:rsidR="00F50D70" w:rsidRPr="00BE4F47" w14:paraId="433531E6"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7F9A602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J3</w:t>
            </w:r>
          </w:p>
        </w:tc>
        <w:tc>
          <w:tcPr>
            <w:tcW w:w="1000" w:type="dxa"/>
            <w:tcBorders>
              <w:top w:val="single" w:sz="4" w:space="0" w:color="000000"/>
              <w:left w:val="single" w:sz="4" w:space="0" w:color="000000"/>
              <w:bottom w:val="single" w:sz="4" w:space="0" w:color="000000"/>
              <w:right w:val="single" w:sz="4" w:space="0" w:color="000000"/>
            </w:tcBorders>
          </w:tcPr>
          <w:p w14:paraId="6068073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 nov.</w:t>
            </w:r>
          </w:p>
        </w:tc>
        <w:tc>
          <w:tcPr>
            <w:tcW w:w="1400" w:type="dxa"/>
            <w:tcBorders>
              <w:top w:val="single" w:sz="4" w:space="0" w:color="000000"/>
              <w:left w:val="single" w:sz="4" w:space="0" w:color="000000"/>
              <w:bottom w:val="single" w:sz="4" w:space="0" w:color="000000"/>
              <w:right w:val="single" w:sz="4" w:space="0" w:color="000000"/>
            </w:tcBorders>
          </w:tcPr>
          <w:p w14:paraId="11E8DE3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337 h</w:t>
            </w:r>
          </w:p>
        </w:tc>
        <w:tc>
          <w:tcPr>
            <w:tcW w:w="1700" w:type="dxa"/>
            <w:tcBorders>
              <w:top w:val="single" w:sz="4" w:space="0" w:color="000000"/>
              <w:left w:val="single" w:sz="4" w:space="0" w:color="000000"/>
              <w:bottom w:val="single" w:sz="4" w:space="0" w:color="000000"/>
              <w:right w:val="single" w:sz="4" w:space="0" w:color="000000"/>
            </w:tcBorders>
          </w:tcPr>
          <w:p w14:paraId="2DA1775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16 850,00 $</w:t>
            </w:r>
          </w:p>
        </w:tc>
        <w:tc>
          <w:tcPr>
            <w:tcW w:w="1700" w:type="dxa"/>
            <w:tcBorders>
              <w:top w:val="single" w:sz="4" w:space="0" w:color="000000"/>
              <w:left w:val="single" w:sz="4" w:space="0" w:color="000000"/>
              <w:bottom w:val="single" w:sz="4" w:space="0" w:color="000000"/>
              <w:right w:val="single" w:sz="4" w:space="0" w:color="000000"/>
            </w:tcBorders>
          </w:tcPr>
          <w:p w14:paraId="266B0CA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39 850,00 $</w:t>
            </w:r>
          </w:p>
        </w:tc>
        <w:tc>
          <w:tcPr>
            <w:tcW w:w="2057" w:type="dxa"/>
            <w:tcBorders>
              <w:top w:val="single" w:sz="4" w:space="0" w:color="000000"/>
              <w:left w:val="single" w:sz="4" w:space="0" w:color="000000"/>
              <w:bottom w:val="single" w:sz="4" w:space="0" w:color="000000"/>
              <w:right w:val="single" w:sz="4" w:space="0" w:color="000000"/>
            </w:tcBorders>
          </w:tcPr>
          <w:p w14:paraId="73D165A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73,8 %</w:t>
            </w:r>
          </w:p>
        </w:tc>
      </w:tr>
      <w:tr w:rsidR="00F50D70" w:rsidRPr="00BE4F47" w14:paraId="5E70C015"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AC81EF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J4</w:t>
            </w:r>
          </w:p>
        </w:tc>
        <w:tc>
          <w:tcPr>
            <w:tcW w:w="1000" w:type="dxa"/>
            <w:tcBorders>
              <w:top w:val="single" w:sz="4" w:space="0" w:color="000000"/>
              <w:left w:val="single" w:sz="4" w:space="0" w:color="000000"/>
              <w:bottom w:val="single" w:sz="4" w:space="0" w:color="000000"/>
              <w:right w:val="single" w:sz="4" w:space="0" w:color="000000"/>
            </w:tcBorders>
          </w:tcPr>
          <w:p w14:paraId="1A59D95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déc.</w:t>
            </w:r>
          </w:p>
        </w:tc>
        <w:tc>
          <w:tcPr>
            <w:tcW w:w="1400" w:type="dxa"/>
            <w:tcBorders>
              <w:top w:val="single" w:sz="4" w:space="0" w:color="000000"/>
              <w:left w:val="single" w:sz="4" w:space="0" w:color="000000"/>
              <w:bottom w:val="single" w:sz="4" w:space="0" w:color="000000"/>
              <w:right w:val="single" w:sz="4" w:space="0" w:color="000000"/>
            </w:tcBorders>
          </w:tcPr>
          <w:p w14:paraId="03F34A7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176 h</w:t>
            </w:r>
          </w:p>
        </w:tc>
        <w:tc>
          <w:tcPr>
            <w:tcW w:w="1700" w:type="dxa"/>
            <w:tcBorders>
              <w:top w:val="single" w:sz="4" w:space="0" w:color="000000"/>
              <w:left w:val="single" w:sz="4" w:space="0" w:color="000000"/>
              <w:bottom w:val="single" w:sz="4" w:space="0" w:color="000000"/>
              <w:right w:val="single" w:sz="4" w:space="0" w:color="000000"/>
            </w:tcBorders>
          </w:tcPr>
          <w:p w14:paraId="277BFCF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8 800,00 $</w:t>
            </w:r>
          </w:p>
        </w:tc>
        <w:tc>
          <w:tcPr>
            <w:tcW w:w="1700" w:type="dxa"/>
            <w:tcBorders>
              <w:top w:val="single" w:sz="4" w:space="0" w:color="000000"/>
              <w:left w:val="single" w:sz="4" w:space="0" w:color="000000"/>
              <w:bottom w:val="single" w:sz="4" w:space="0" w:color="000000"/>
              <w:right w:val="single" w:sz="4" w:space="0" w:color="000000"/>
            </w:tcBorders>
          </w:tcPr>
          <w:p w14:paraId="5AA350E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48 650,00 $</w:t>
            </w:r>
          </w:p>
        </w:tc>
        <w:tc>
          <w:tcPr>
            <w:tcW w:w="2057" w:type="dxa"/>
            <w:tcBorders>
              <w:top w:val="single" w:sz="4" w:space="0" w:color="000000"/>
              <w:left w:val="single" w:sz="4" w:space="0" w:color="000000"/>
              <w:bottom w:val="single" w:sz="4" w:space="0" w:color="000000"/>
              <w:right w:val="single" w:sz="4" w:space="0" w:color="000000"/>
            </w:tcBorders>
          </w:tcPr>
          <w:p w14:paraId="4662FC2A"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90,1 %</w:t>
            </w:r>
          </w:p>
        </w:tc>
      </w:tr>
      <w:tr w:rsidR="00F50D70" w:rsidRPr="00BE4F47" w14:paraId="7FDAEDF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685C3E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J5</w:t>
            </w:r>
          </w:p>
        </w:tc>
        <w:tc>
          <w:tcPr>
            <w:tcW w:w="1000" w:type="dxa"/>
            <w:tcBorders>
              <w:top w:val="single" w:sz="4" w:space="0" w:color="000000"/>
              <w:left w:val="single" w:sz="4" w:space="0" w:color="000000"/>
              <w:bottom w:val="single" w:sz="4" w:space="0" w:color="000000"/>
              <w:right w:val="single" w:sz="4" w:space="0" w:color="000000"/>
            </w:tcBorders>
          </w:tcPr>
          <w:p w14:paraId="74B8C8A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18 déc.</w:t>
            </w:r>
          </w:p>
        </w:tc>
        <w:tc>
          <w:tcPr>
            <w:tcW w:w="1400" w:type="dxa"/>
            <w:tcBorders>
              <w:top w:val="single" w:sz="4" w:space="0" w:color="000000"/>
              <w:left w:val="single" w:sz="4" w:space="0" w:color="000000"/>
              <w:bottom w:val="single" w:sz="4" w:space="0" w:color="000000"/>
              <w:right w:val="single" w:sz="4" w:space="0" w:color="000000"/>
            </w:tcBorders>
          </w:tcPr>
          <w:p w14:paraId="6FF5E1A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107 h</w:t>
            </w:r>
          </w:p>
        </w:tc>
        <w:tc>
          <w:tcPr>
            <w:tcW w:w="1700" w:type="dxa"/>
            <w:tcBorders>
              <w:top w:val="single" w:sz="4" w:space="0" w:color="000000"/>
              <w:left w:val="single" w:sz="4" w:space="0" w:color="000000"/>
              <w:bottom w:val="single" w:sz="4" w:space="0" w:color="000000"/>
              <w:right w:val="single" w:sz="4" w:space="0" w:color="000000"/>
            </w:tcBorders>
          </w:tcPr>
          <w:p w14:paraId="46DE34E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5 350,00 $</w:t>
            </w:r>
          </w:p>
        </w:tc>
        <w:tc>
          <w:tcPr>
            <w:tcW w:w="1700" w:type="dxa"/>
            <w:tcBorders>
              <w:top w:val="single" w:sz="4" w:space="0" w:color="000000"/>
              <w:left w:val="single" w:sz="4" w:space="0" w:color="000000"/>
              <w:bottom w:val="single" w:sz="4" w:space="0" w:color="000000"/>
              <w:right w:val="single" w:sz="4" w:space="0" w:color="000000"/>
            </w:tcBorders>
          </w:tcPr>
          <w:p w14:paraId="55A08A8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54 000,00 $</w:t>
            </w:r>
          </w:p>
        </w:tc>
        <w:tc>
          <w:tcPr>
            <w:tcW w:w="2057" w:type="dxa"/>
            <w:tcBorders>
              <w:top w:val="single" w:sz="4" w:space="0" w:color="000000"/>
              <w:left w:val="single" w:sz="4" w:space="0" w:color="000000"/>
              <w:bottom w:val="single" w:sz="4" w:space="0" w:color="000000"/>
              <w:right w:val="single" w:sz="4" w:space="0" w:color="000000"/>
            </w:tcBorders>
          </w:tcPr>
          <w:p w14:paraId="0AEEA27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100,0 %</w:t>
            </w:r>
          </w:p>
        </w:tc>
      </w:tr>
      <w:tr w:rsidR="00F50D70" w:rsidRPr="00BE4F47" w14:paraId="7EC524F2"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CE814EB"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c>
          <w:tcPr>
            <w:tcW w:w="1000" w:type="dxa"/>
            <w:tcBorders>
              <w:top w:val="single" w:sz="4" w:space="0" w:color="000000"/>
              <w:left w:val="single" w:sz="4" w:space="0" w:color="000000"/>
              <w:bottom w:val="single" w:sz="4" w:space="0" w:color="000000"/>
              <w:right w:val="single" w:sz="4" w:space="0" w:color="000000"/>
            </w:tcBorders>
          </w:tcPr>
          <w:p w14:paraId="3E773C5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Total</w:t>
            </w:r>
          </w:p>
        </w:tc>
        <w:tc>
          <w:tcPr>
            <w:tcW w:w="1400" w:type="dxa"/>
            <w:tcBorders>
              <w:top w:val="single" w:sz="4" w:space="0" w:color="000000"/>
              <w:left w:val="single" w:sz="4" w:space="0" w:color="000000"/>
              <w:bottom w:val="single" w:sz="4" w:space="0" w:color="000000"/>
              <w:right w:val="single" w:sz="4" w:space="0" w:color="000000"/>
            </w:tcBorders>
          </w:tcPr>
          <w:p w14:paraId="7F52753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1 080 h</w:t>
            </w:r>
          </w:p>
        </w:tc>
        <w:tc>
          <w:tcPr>
            <w:tcW w:w="1700" w:type="dxa"/>
            <w:tcBorders>
              <w:top w:val="single" w:sz="4" w:space="0" w:color="000000"/>
              <w:left w:val="single" w:sz="4" w:space="0" w:color="000000"/>
              <w:bottom w:val="single" w:sz="4" w:space="0" w:color="000000"/>
              <w:right w:val="single" w:sz="4" w:space="0" w:color="000000"/>
            </w:tcBorders>
          </w:tcPr>
          <w:p w14:paraId="1967FE9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54 000,00 $</w:t>
            </w:r>
          </w:p>
        </w:tc>
        <w:tc>
          <w:tcPr>
            <w:tcW w:w="1700" w:type="dxa"/>
            <w:tcBorders>
              <w:top w:val="single" w:sz="4" w:space="0" w:color="000000"/>
              <w:left w:val="single" w:sz="4" w:space="0" w:color="000000"/>
              <w:bottom w:val="single" w:sz="4" w:space="0" w:color="000000"/>
              <w:right w:val="single" w:sz="4" w:space="0" w:color="000000"/>
            </w:tcBorders>
          </w:tcPr>
          <w:p w14:paraId="459E1269"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c>
          <w:tcPr>
            <w:tcW w:w="2057" w:type="dxa"/>
            <w:tcBorders>
              <w:top w:val="single" w:sz="4" w:space="0" w:color="000000"/>
              <w:left w:val="single" w:sz="4" w:space="0" w:color="000000"/>
              <w:bottom w:val="single" w:sz="4" w:space="0" w:color="000000"/>
              <w:right w:val="single" w:sz="4" w:space="0" w:color="000000"/>
            </w:tcBorders>
          </w:tcPr>
          <w:p w14:paraId="5C352B25"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bl>
    <w:p w14:paraId="6C275771" w14:textId="77777777" w:rsidR="00F50D70" w:rsidRPr="00BE4F47" w:rsidRDefault="00000000" w:rsidP="008E113B">
      <w:pPr>
        <w:spacing w:after="130" w:line="360" w:lineRule="auto"/>
        <w:ind w:left="360"/>
        <w:rPr>
          <w:rFonts w:ascii="Aptos" w:hAnsi="Aptos"/>
        </w:rPr>
      </w:pPr>
      <w:bookmarkStart w:id="454" w:name="_Toc241083148"/>
      <w:r w:rsidRPr="00BE4F47">
        <w:rPr>
          <w:rFonts w:ascii="Aptos" w:eastAsia="Calibri" w:hAnsi="Aptos" w:cs="Calibri"/>
          <w:color w:val="1A1A19"/>
          <w:sz w:val="20"/>
          <w:szCs w:val="20"/>
        </w:rPr>
        <w:t>Trois lectures se déduisent de ce tableau. Près des trois quarts du budget sont engagés avant le jalon J3, ce qui veut dire qu’un dépassement constaté après J3 ne peut plus être corrigé par une réduction de contenu, mais seulement absorbé par la contingence. Le jalon J2 est le point de bascule : à cette date, un écart de plus de 10 % entre le coût réel et les 23 000 $ prévus déclenche l’arbitrage prévu par le risque RP2. Et la phase P3 concentre à elle seule 31 % du budget, ce qui en fait la phase à suivre de plus près.</w:t>
      </w:r>
      <w:bookmarkEnd w:id="454"/>
    </w:p>
    <w:p w14:paraId="3C5269E2" w14:textId="77777777" w:rsidR="00F50D70" w:rsidRPr="00BE4F47" w:rsidRDefault="00000000" w:rsidP="008E113B">
      <w:pPr>
        <w:spacing w:after="130" w:line="360" w:lineRule="auto"/>
        <w:ind w:left="360"/>
        <w:rPr>
          <w:rFonts w:ascii="Aptos" w:hAnsi="Aptos"/>
        </w:rPr>
      </w:pPr>
      <w:bookmarkStart w:id="455" w:name="_Toc241083149"/>
      <w:r w:rsidRPr="00BE4F47">
        <w:rPr>
          <w:rFonts w:ascii="Aptos" w:eastAsia="Calibri" w:hAnsi="Aptos" w:cs="Calibri"/>
          <w:color w:val="1A1A19"/>
          <w:sz w:val="20"/>
          <w:szCs w:val="20"/>
        </w:rPr>
        <w:t>Les montants ci-dessus sont des coûts et non des prix. Ils n’incluent ni la contingence ni la marge, qui s’appliquent au total et non à chaque période. Le bordereau des prix, qui est le document remis au client, figure à la section 10. La présente section demeure un document interne, destiné à ce que la direction de l’équipe puisse valider l’engagement avant de s’y tenir.</w:t>
      </w:r>
      <w:bookmarkEnd w:id="455"/>
    </w:p>
    <w:p w14:paraId="40B4E93B" w14:textId="77777777" w:rsidR="00F50D70" w:rsidRPr="00BE4F47" w:rsidRDefault="00F50D70" w:rsidP="008E113B">
      <w:pPr>
        <w:spacing w:line="360" w:lineRule="auto"/>
        <w:ind w:left="0"/>
        <w:rPr>
          <w:rFonts w:ascii="Aptos" w:hAnsi="Aptos"/>
        </w:rPr>
      </w:pPr>
    </w:p>
    <w:p w14:paraId="77644603" w14:textId="77777777" w:rsidR="00F50D70" w:rsidRPr="00B36301" w:rsidRDefault="00000000" w:rsidP="008E113B">
      <w:pPr>
        <w:pStyle w:val="Titre1"/>
        <w:spacing w:line="360" w:lineRule="auto"/>
      </w:pPr>
      <w:bookmarkStart w:id="456" w:name="__RefHeading___Toc240715288"/>
      <w:bookmarkStart w:id="457" w:name="_Toc241083150"/>
      <w:bookmarkEnd w:id="456"/>
      <w:r w:rsidRPr="00B36301">
        <w:lastRenderedPageBreak/>
        <w:t>Échéancier préliminaire</w:t>
      </w:r>
      <w:bookmarkEnd w:id="457"/>
    </w:p>
    <w:p w14:paraId="5CDEC92A" w14:textId="77777777" w:rsidR="00F50D70" w:rsidRPr="00BE4F47" w:rsidRDefault="00000000" w:rsidP="008E113B">
      <w:pPr>
        <w:spacing w:after="130" w:line="360" w:lineRule="auto"/>
        <w:ind w:left="360"/>
        <w:rPr>
          <w:rFonts w:ascii="Aptos" w:hAnsi="Aptos"/>
        </w:rPr>
      </w:pPr>
      <w:bookmarkStart w:id="458" w:name="_Toc241083151"/>
      <w:r w:rsidRPr="00BE4F47">
        <w:rPr>
          <w:rFonts w:ascii="Aptos" w:eastAsia="Calibri" w:hAnsi="Aptos" w:cs="Calibri"/>
          <w:color w:val="1A1A19"/>
          <w:sz w:val="20"/>
          <w:szCs w:val="20"/>
        </w:rPr>
        <w:t>Le travail est défini, chiffré en heures puis en dollars. Il reste à le placer dans le temps. Cette section construit le calendrier du mandat à partir du trimestre universitaire, le découpe en phases, et fixe les six jalons auxquels l’avancement est mesuré.</w:t>
      </w:r>
      <w:bookmarkEnd w:id="458"/>
    </w:p>
    <w:p w14:paraId="69D835A2" w14:textId="77777777" w:rsidR="00F50D70" w:rsidRPr="00BE4F47" w:rsidRDefault="00000000" w:rsidP="008E113B">
      <w:pPr>
        <w:spacing w:after="130" w:line="360" w:lineRule="auto"/>
        <w:ind w:left="360"/>
        <w:rPr>
          <w:rFonts w:ascii="Aptos" w:hAnsi="Aptos"/>
        </w:rPr>
      </w:pPr>
      <w:bookmarkStart w:id="459" w:name="_Toc241083152"/>
      <w:r w:rsidRPr="00BE4F47">
        <w:rPr>
          <w:rFonts w:ascii="Aptos" w:eastAsia="Calibri" w:hAnsi="Aptos" w:cs="Calibri"/>
          <w:color w:val="1A1A19"/>
          <w:sz w:val="20"/>
          <w:szCs w:val="20"/>
        </w:rPr>
        <w:t>Le carnet de projet en développement de logiciels demande trois échéanciers successifs. L’échéancier préliminaire est établi au plan de projet. Les échéanciers intérimaires sont produits à chaque jalon. L’échéancier final est remis avec le rapport. Seul l’échéancier préliminaire sera traité ci-dessous.</w:t>
      </w:r>
      <w:bookmarkEnd w:id="459"/>
    </w:p>
    <w:p w14:paraId="268E7ED7" w14:textId="77777777" w:rsidR="00F50D70" w:rsidRPr="00B36301" w:rsidRDefault="00000000" w:rsidP="008E113B">
      <w:pPr>
        <w:pStyle w:val="Titre2"/>
        <w:spacing w:line="360" w:lineRule="auto"/>
      </w:pPr>
      <w:bookmarkStart w:id="460" w:name="_Toc241083153"/>
      <w:r w:rsidRPr="00B36301">
        <w:t>Structure de découpage du projet</w:t>
      </w:r>
      <w:bookmarkEnd w:id="460"/>
    </w:p>
    <w:p w14:paraId="43A4C2AA" w14:textId="77777777" w:rsidR="00F50D70" w:rsidRPr="00BE4F47" w:rsidRDefault="00000000" w:rsidP="008E113B">
      <w:pPr>
        <w:spacing w:after="130" w:line="360" w:lineRule="auto"/>
        <w:ind w:left="360"/>
        <w:rPr>
          <w:rFonts w:ascii="Aptos" w:hAnsi="Aptos"/>
        </w:rPr>
      </w:pPr>
      <w:bookmarkStart w:id="461" w:name="_Toc241083154"/>
      <w:r w:rsidRPr="00BE4F47">
        <w:rPr>
          <w:rFonts w:ascii="Aptos" w:eastAsia="Calibri" w:hAnsi="Aptos" w:cs="Calibri"/>
          <w:color w:val="1A1A19"/>
          <w:sz w:val="20"/>
          <w:szCs w:val="20"/>
        </w:rPr>
        <w:t>La structure de découpage ci-dessous décompose le mandat en six ensembles, puis chaque ensemble en activités. Elle relie les lots de la section 8, qui portent l’effort, les livrables de la section 2, qui portent la valeur, et les activités, qui portent les durées.</w:t>
      </w:r>
      <w:bookmarkEnd w:id="461"/>
    </w:p>
    <w:p w14:paraId="22CCD551" w14:textId="77777777" w:rsidR="00F50D70" w:rsidRPr="00BE4F47" w:rsidRDefault="002A1CE1" w:rsidP="008E113B">
      <w:pPr>
        <w:spacing w:after="130" w:line="360" w:lineRule="auto"/>
        <w:ind w:left="360"/>
        <w:rPr>
          <w:rFonts w:ascii="Aptos" w:hAnsi="Aptos"/>
        </w:rPr>
      </w:pPr>
      <w:bookmarkStart w:id="462" w:name="_Toc241083155"/>
      <w:r>
        <w:rPr>
          <w:rFonts w:ascii="Aptos" w:hAnsi="Aptos"/>
          <w:noProof/>
        </w:rPr>
        <w:drawing>
          <wp:anchor distT="0" distB="0" distL="114300" distR="114300" simplePos="0" relativeHeight="251657728" behindDoc="0" locked="0" layoutInCell="1" allowOverlap="1" wp14:anchorId="25BD99B5" wp14:editId="62832836">
            <wp:simplePos x="0" y="0"/>
            <wp:positionH relativeFrom="column">
              <wp:posOffset>174625</wp:posOffset>
            </wp:positionH>
            <wp:positionV relativeFrom="paragraph">
              <wp:posOffset>1031875</wp:posOffset>
            </wp:positionV>
            <wp:extent cx="5440680" cy="2179320"/>
            <wp:effectExtent l="0" t="0" r="0" b="0"/>
            <wp:wrapTopAndBottom/>
            <wp:docPr id="12668380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40680" cy="2179320"/>
                    </a:xfrm>
                    <a:prstGeom prst="rect">
                      <a:avLst/>
                    </a:prstGeom>
                    <a:noFill/>
                  </pic:spPr>
                </pic:pic>
              </a:graphicData>
            </a:graphic>
            <wp14:sizeRelH relativeFrom="page">
              <wp14:pctWidth>0</wp14:pctWidth>
            </wp14:sizeRelH>
            <wp14:sizeRelV relativeFrom="page">
              <wp14:pctHeight>0</wp14:pctHeight>
            </wp14:sizeRelV>
          </wp:anchor>
        </w:drawing>
      </w:r>
      <w:r w:rsidR="00273A91" w:rsidRPr="00BE4F47">
        <w:rPr>
          <w:rFonts w:ascii="Aptos" w:eastAsia="Calibri" w:hAnsi="Aptos" w:cs="Calibri"/>
          <w:color w:val="1A1A19"/>
          <w:sz w:val="20"/>
          <w:szCs w:val="20"/>
        </w:rPr>
        <w:t>Le découpage suit le cycle de vie plutôt que l’organigramme de l’équipe. Un découpage par personne aurait figé l’affectation et rendu l’échéancier dépendant des disponibilités individuelles. Un découpage par phase permet de déplacer une personne d’une activité à une autre sans refaire la planification.</w:t>
      </w:r>
      <w:bookmarkEnd w:id="462"/>
    </w:p>
    <w:p w14:paraId="27204AEF" w14:textId="77777777" w:rsidR="00F50D70" w:rsidRPr="00BE4F47" w:rsidRDefault="00F50D70" w:rsidP="008E113B">
      <w:pPr>
        <w:spacing w:line="360" w:lineRule="auto"/>
        <w:jc w:val="center"/>
        <w:rPr>
          <w:rFonts w:ascii="Aptos" w:hAnsi="Aptos"/>
        </w:rPr>
      </w:pPr>
    </w:p>
    <w:p w14:paraId="1CE789BE" w14:textId="77777777" w:rsidR="00F50D70" w:rsidRPr="00BE4F47" w:rsidRDefault="00000000" w:rsidP="008E113B">
      <w:pPr>
        <w:pStyle w:val="Lgende"/>
        <w:spacing w:line="360" w:lineRule="auto"/>
        <w:rPr>
          <w:rFonts w:ascii="Aptos" w:hAnsi="Aptos"/>
        </w:rPr>
      </w:pPr>
      <w:bookmarkStart w:id="463" w:name="_Toc241083156"/>
      <w:r w:rsidRPr="00BE4F47">
        <w:rPr>
          <w:rFonts w:ascii="Aptos" w:hAnsi="Aptos"/>
        </w:rPr>
        <w:t>Figure 10-1. Structure de découpage du projet</w:t>
      </w:r>
      <w:bookmarkEnd w:id="463"/>
    </w:p>
    <w:p w14:paraId="799C0C78" w14:textId="77777777" w:rsidR="00F50D70" w:rsidRPr="00BE4F47" w:rsidRDefault="00000000" w:rsidP="008E113B">
      <w:pPr>
        <w:spacing w:after="130" w:line="360" w:lineRule="auto"/>
        <w:ind w:left="360"/>
        <w:rPr>
          <w:rFonts w:ascii="Aptos" w:hAnsi="Aptos"/>
        </w:rPr>
      </w:pPr>
      <w:bookmarkStart w:id="464" w:name="_Toc241083157"/>
      <w:r w:rsidRPr="00BE4F47">
        <w:rPr>
          <w:rFonts w:ascii="Aptos" w:eastAsia="Calibri" w:hAnsi="Aptos" w:cs="Calibri"/>
          <w:color w:val="1A1A19"/>
          <w:sz w:val="20"/>
          <w:szCs w:val="20"/>
        </w:rPr>
        <w:t>Chaque feuille de l’arbre porte le lot de travail qui la finance, et, lorsqu’elle s’y rattache, l’état GEMMA ou l’identifiant de fonction qu’elle réalise. C’est ce double rattachement qui permet de calculer la valeur acquise : une activité terminée fait avancer un lot dont l’effort est connu, donc une valeur chiffrable.</w:t>
      </w:r>
      <w:bookmarkEnd w:id="464"/>
    </w:p>
    <w:p w14:paraId="72975E9D" w14:textId="77777777" w:rsidR="00F50D70" w:rsidRPr="00BE4F47" w:rsidRDefault="00000000" w:rsidP="008E113B">
      <w:pPr>
        <w:spacing w:after="130" w:line="360" w:lineRule="auto"/>
        <w:ind w:left="360"/>
        <w:rPr>
          <w:rFonts w:ascii="Aptos" w:hAnsi="Aptos"/>
        </w:rPr>
      </w:pPr>
      <w:bookmarkStart w:id="465" w:name="_Toc241083158"/>
      <w:r w:rsidRPr="00BE4F47">
        <w:rPr>
          <w:rFonts w:ascii="Aptos" w:eastAsia="Calibri" w:hAnsi="Aptos" w:cs="Calibri"/>
          <w:color w:val="1A1A19"/>
          <w:sz w:val="20"/>
          <w:szCs w:val="20"/>
        </w:rPr>
        <w:t xml:space="preserve">Les activités se répartissent en trois familles pour l’ordonnancement. Les activités séquentielles, où la suivante ne peut commencer sans le résultat de la précédente : le modèle de référence précède la comparaison, qui précède la détection. Les activités parallèles, menées de front par des </w:t>
      </w:r>
      <w:r w:rsidRPr="00BE4F47">
        <w:rPr>
          <w:rFonts w:ascii="Aptos" w:eastAsia="Calibri" w:hAnsi="Aptos" w:cs="Calibri"/>
          <w:color w:val="1A1A19"/>
          <w:sz w:val="20"/>
          <w:szCs w:val="20"/>
        </w:rPr>
        <w:lastRenderedPageBreak/>
        <w:t xml:space="preserve">membres différents : la veille normative et l’architecture logicielle n’ont aucune dépendance entre elles. Et les activités à ressource partagée, où deux tâches réclament la même compétence rare et doivent donc être décalées : c’est le cas de tout ce qui touche la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du lot L4.</w:t>
      </w:r>
      <w:bookmarkEnd w:id="465"/>
    </w:p>
    <w:p w14:paraId="3415932A" w14:textId="77777777" w:rsidR="00F50D70" w:rsidRPr="00B36301" w:rsidRDefault="00000000" w:rsidP="008E113B">
      <w:pPr>
        <w:pStyle w:val="Titre2"/>
        <w:spacing w:line="360" w:lineRule="auto"/>
      </w:pPr>
      <w:bookmarkStart w:id="466" w:name="_Toc241083159"/>
      <w:r w:rsidRPr="00B36301">
        <w:t>Base de calendrier et capacité de l’équipe</w:t>
      </w:r>
      <w:bookmarkEnd w:id="466"/>
    </w:p>
    <w:p w14:paraId="3ABB7BEA"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67" w:name="_Toc241083160"/>
      <w:r w:rsidRPr="00BE4F47">
        <w:rPr>
          <w:rFonts w:ascii="Aptos" w:eastAsia="Calibri" w:hAnsi="Aptos" w:cs="Calibri"/>
          <w:color w:val="1A1A19"/>
          <w:sz w:val="20"/>
          <w:szCs w:val="20"/>
        </w:rPr>
        <w:t>L’échéancier est construit sur le calendrier du trimestre d’automne 2026 de l’UQAC, qui s’étend du 31 août au 22 décembre 2026 [46]. Trois congés fériés interrompent la période : le 7 septembre, le 30 septembre et le 12 octobre. Un congé pédagogique sans enseignement couvre du 13 au 16 octobre. La date limite d’abandon sans mention d’échec, le 10 novembre, sert de repère pour la gestion du risque d’équipe.</w:t>
      </w:r>
      <w:bookmarkEnd w:id="467"/>
    </w:p>
    <w:p w14:paraId="458D88B0"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68" w:name="_Toc241083161"/>
      <w:r w:rsidRPr="00BE4F47">
        <w:rPr>
          <w:rFonts w:ascii="Aptos" w:eastAsia="Calibri" w:hAnsi="Aptos" w:cs="Calibri"/>
          <w:color w:val="1A1A19"/>
          <w:sz w:val="20"/>
          <w:szCs w:val="20"/>
        </w:rPr>
        <w:t>L’équipe dispose de trois créneaux fixes chaque semaine : l’atelier du mercredi soir et les séances de laboratoire du jeudi et du vendredi midi.</w:t>
      </w:r>
      <w:bookmarkEnd w:id="468"/>
    </w:p>
    <w:p w14:paraId="61C1A91E"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69" w:name="_Toc241083162"/>
      <w:r w:rsidRPr="00BE4F47">
        <w:rPr>
          <w:rFonts w:ascii="Aptos" w:eastAsia="Calibri" w:hAnsi="Aptos" w:cs="Calibri"/>
          <w:color w:val="1A1A19"/>
          <w:sz w:val="20"/>
          <w:szCs w:val="20"/>
        </w:rPr>
        <w:t>La capacité d’une équipe étudiante n’est pas constante : elle baisse pendant les examens de mi-session et pendant les travaux de fin de session. L’échéancier tient compte de cette variation plutôt que de répartir les 1 080 heures uniformément.</w:t>
      </w:r>
      <w:bookmarkEnd w:id="469"/>
    </w:p>
    <w:p w14:paraId="5D81D44A" w14:textId="77777777" w:rsidR="00F50D70" w:rsidRPr="00B36301" w:rsidRDefault="00000000" w:rsidP="008E113B">
      <w:pPr>
        <w:pStyle w:val="Titre2"/>
        <w:spacing w:line="360" w:lineRule="auto"/>
      </w:pPr>
      <w:bookmarkStart w:id="470" w:name="_Toc241083163"/>
      <w:r w:rsidRPr="00B36301">
        <w:t>Découpage en phases, jalons et livrables</w:t>
      </w:r>
      <w:bookmarkEnd w:id="470"/>
    </w:p>
    <w:p w14:paraId="58BA0667"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71" w:name="_Toc241083164"/>
      <w:r w:rsidRPr="00BE4F47">
        <w:rPr>
          <w:rFonts w:ascii="Aptos" w:eastAsia="Calibri" w:hAnsi="Aptos" w:cs="Calibri"/>
          <w:color w:val="1A1A19"/>
          <w:sz w:val="20"/>
          <w:szCs w:val="20"/>
        </w:rPr>
        <w:t>Le projet est découpé en six phases séparées par des jalons. Un jalon est un point de contrôle assorti d’un livrable identifié. Il est franchi ou il ne l’est pas. Il n’y a pas d’état intermédiaire.</w:t>
      </w:r>
      <w:bookmarkEnd w:id="471"/>
    </w:p>
    <w:p w14:paraId="7394905B" w14:textId="77777777" w:rsidR="00F50D70" w:rsidRPr="00BE4F47" w:rsidRDefault="00000000" w:rsidP="008E113B">
      <w:pPr>
        <w:pStyle w:val="Lgende"/>
        <w:spacing w:line="360" w:lineRule="auto"/>
        <w:rPr>
          <w:rFonts w:ascii="Aptos" w:hAnsi="Aptos"/>
        </w:rPr>
      </w:pPr>
      <w:bookmarkStart w:id="472" w:name="_Toc241083165"/>
      <w:r w:rsidRPr="00BE4F47">
        <w:rPr>
          <w:rFonts w:ascii="Aptos" w:hAnsi="Aptos"/>
        </w:rPr>
        <w:t>Tableau 10-1. Phases, jalons et livrables de l’échéancier préliminaire</w:t>
      </w:r>
      <w:bookmarkEnd w:id="472"/>
    </w:p>
    <w:tbl>
      <w:tblPr>
        <w:tblpPr w:leftFromText="141" w:vertAnchor="text" w:horzAnchor="margin" w:tblpXSpec="right" w:tblpY="64"/>
        <w:tblW w:w="8441" w:type="dxa"/>
        <w:tblLayout w:type="fixed"/>
        <w:tblCellMar>
          <w:top w:w="55" w:type="dxa"/>
          <w:left w:w="85" w:type="dxa"/>
          <w:bottom w:w="55" w:type="dxa"/>
          <w:right w:w="85" w:type="dxa"/>
        </w:tblCellMar>
        <w:tblLook w:val="04A0" w:firstRow="1" w:lastRow="0" w:firstColumn="1" w:lastColumn="0" w:noHBand="0" w:noVBand="1"/>
      </w:tblPr>
      <w:tblGrid>
        <w:gridCol w:w="493"/>
        <w:gridCol w:w="1879"/>
        <w:gridCol w:w="1483"/>
        <w:gridCol w:w="751"/>
        <w:gridCol w:w="612"/>
        <w:gridCol w:w="3223"/>
      </w:tblGrid>
      <w:tr w:rsidR="00F50D70" w:rsidRPr="00BE4F47" w14:paraId="5AD4E00A" w14:textId="77777777">
        <w:trPr>
          <w:trHeight w:val="248"/>
          <w:tblHeader/>
        </w:trPr>
        <w:tc>
          <w:tcPr>
            <w:tcW w:w="493" w:type="dxa"/>
            <w:tcBorders>
              <w:top w:val="single" w:sz="4" w:space="0" w:color="000000"/>
              <w:left w:val="single" w:sz="4" w:space="0" w:color="000000"/>
              <w:bottom w:val="single" w:sz="4" w:space="0" w:color="000000"/>
              <w:right w:val="single" w:sz="4" w:space="0" w:color="000000"/>
            </w:tcBorders>
            <w:shd w:val="clear" w:color="auto" w:fill="EFF4FB"/>
          </w:tcPr>
          <w:p w14:paraId="2572E55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Ph.</w:t>
            </w:r>
          </w:p>
        </w:tc>
        <w:tc>
          <w:tcPr>
            <w:tcW w:w="1879" w:type="dxa"/>
            <w:tcBorders>
              <w:top w:val="single" w:sz="4" w:space="0" w:color="000000"/>
              <w:left w:val="single" w:sz="4" w:space="0" w:color="000000"/>
              <w:bottom w:val="single" w:sz="4" w:space="0" w:color="000000"/>
              <w:right w:val="single" w:sz="4" w:space="0" w:color="000000"/>
            </w:tcBorders>
            <w:shd w:val="clear" w:color="auto" w:fill="EFF4FB"/>
          </w:tcPr>
          <w:p w14:paraId="43D47B2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Intitulé</w:t>
            </w:r>
          </w:p>
        </w:tc>
        <w:tc>
          <w:tcPr>
            <w:tcW w:w="1483" w:type="dxa"/>
            <w:tcBorders>
              <w:top w:val="single" w:sz="4" w:space="0" w:color="000000"/>
              <w:left w:val="single" w:sz="4" w:space="0" w:color="000000"/>
              <w:bottom w:val="single" w:sz="4" w:space="0" w:color="000000"/>
              <w:right w:val="single" w:sz="4" w:space="0" w:color="000000"/>
            </w:tcBorders>
            <w:shd w:val="clear" w:color="auto" w:fill="EFF4FB"/>
          </w:tcPr>
          <w:p w14:paraId="4984F3B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Période</w:t>
            </w:r>
          </w:p>
        </w:tc>
        <w:tc>
          <w:tcPr>
            <w:tcW w:w="751" w:type="dxa"/>
            <w:tcBorders>
              <w:top w:val="single" w:sz="4" w:space="0" w:color="000000"/>
              <w:left w:val="single" w:sz="4" w:space="0" w:color="000000"/>
              <w:bottom w:val="single" w:sz="4" w:space="0" w:color="000000"/>
              <w:right w:val="single" w:sz="4" w:space="0" w:color="000000"/>
            </w:tcBorders>
            <w:shd w:val="clear" w:color="auto" w:fill="EFF4FB"/>
          </w:tcPr>
          <w:p w14:paraId="0C85781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Effort</w:t>
            </w:r>
          </w:p>
        </w:tc>
        <w:tc>
          <w:tcPr>
            <w:tcW w:w="612" w:type="dxa"/>
            <w:tcBorders>
              <w:top w:val="single" w:sz="4" w:space="0" w:color="000000"/>
              <w:left w:val="single" w:sz="4" w:space="0" w:color="000000"/>
              <w:bottom w:val="single" w:sz="4" w:space="0" w:color="000000"/>
              <w:right w:val="single" w:sz="4" w:space="0" w:color="000000"/>
            </w:tcBorders>
            <w:shd w:val="clear" w:color="auto" w:fill="EFF4FB"/>
          </w:tcPr>
          <w:p w14:paraId="775CB2F7"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Part</w:t>
            </w:r>
          </w:p>
        </w:tc>
        <w:tc>
          <w:tcPr>
            <w:tcW w:w="3223" w:type="dxa"/>
            <w:tcBorders>
              <w:top w:val="single" w:sz="4" w:space="0" w:color="000000"/>
              <w:left w:val="single" w:sz="4" w:space="0" w:color="000000"/>
              <w:bottom w:val="single" w:sz="4" w:space="0" w:color="000000"/>
              <w:right w:val="single" w:sz="4" w:space="0" w:color="000000"/>
            </w:tcBorders>
            <w:shd w:val="clear" w:color="auto" w:fill="EFF4FB"/>
          </w:tcPr>
          <w:p w14:paraId="3A4A98C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Jalon de fin et livrables</w:t>
            </w:r>
          </w:p>
        </w:tc>
      </w:tr>
      <w:tr w:rsidR="00F50D70" w:rsidRPr="00BE4F47" w14:paraId="779559AA" w14:textId="77777777">
        <w:trPr>
          <w:cantSplit/>
          <w:trHeight w:val="248"/>
        </w:trPr>
        <w:tc>
          <w:tcPr>
            <w:tcW w:w="493" w:type="dxa"/>
            <w:tcBorders>
              <w:top w:val="single" w:sz="4" w:space="0" w:color="000000"/>
              <w:left w:val="single" w:sz="4" w:space="0" w:color="000000"/>
              <w:bottom w:val="single" w:sz="4" w:space="0" w:color="000000"/>
              <w:right w:val="single" w:sz="4" w:space="0" w:color="000000"/>
            </w:tcBorders>
          </w:tcPr>
          <w:p w14:paraId="33A3CB3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P0</w:t>
            </w:r>
          </w:p>
        </w:tc>
        <w:tc>
          <w:tcPr>
            <w:tcW w:w="1879" w:type="dxa"/>
            <w:tcBorders>
              <w:top w:val="single" w:sz="4" w:space="0" w:color="000000"/>
              <w:left w:val="single" w:sz="4" w:space="0" w:color="000000"/>
              <w:bottom w:val="single" w:sz="4" w:space="0" w:color="000000"/>
              <w:right w:val="single" w:sz="4" w:space="0" w:color="000000"/>
            </w:tcBorders>
          </w:tcPr>
          <w:p w14:paraId="2DB869FB"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Démarrage et cadrage</w:t>
            </w:r>
          </w:p>
        </w:tc>
        <w:tc>
          <w:tcPr>
            <w:tcW w:w="1483" w:type="dxa"/>
            <w:tcBorders>
              <w:top w:val="single" w:sz="4" w:space="0" w:color="000000"/>
              <w:left w:val="single" w:sz="4" w:space="0" w:color="000000"/>
              <w:bottom w:val="single" w:sz="4" w:space="0" w:color="000000"/>
              <w:right w:val="single" w:sz="4" w:space="0" w:color="000000"/>
            </w:tcBorders>
          </w:tcPr>
          <w:p w14:paraId="16C689F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31 août au 13 sept.</w:t>
            </w:r>
          </w:p>
        </w:tc>
        <w:tc>
          <w:tcPr>
            <w:tcW w:w="751" w:type="dxa"/>
            <w:tcBorders>
              <w:top w:val="single" w:sz="4" w:space="0" w:color="000000"/>
              <w:left w:val="single" w:sz="4" w:space="0" w:color="000000"/>
              <w:bottom w:val="single" w:sz="4" w:space="0" w:color="000000"/>
              <w:right w:val="single" w:sz="4" w:space="0" w:color="000000"/>
            </w:tcBorders>
          </w:tcPr>
          <w:p w14:paraId="59A7A30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81 h</w:t>
            </w:r>
          </w:p>
        </w:tc>
        <w:tc>
          <w:tcPr>
            <w:tcW w:w="612" w:type="dxa"/>
            <w:tcBorders>
              <w:top w:val="single" w:sz="4" w:space="0" w:color="000000"/>
              <w:left w:val="single" w:sz="4" w:space="0" w:color="000000"/>
              <w:bottom w:val="single" w:sz="4" w:space="0" w:color="000000"/>
              <w:right w:val="single" w:sz="4" w:space="0" w:color="000000"/>
            </w:tcBorders>
          </w:tcPr>
          <w:p w14:paraId="0F25CBF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7,5 %</w:t>
            </w:r>
          </w:p>
        </w:tc>
        <w:tc>
          <w:tcPr>
            <w:tcW w:w="3223" w:type="dxa"/>
            <w:tcBorders>
              <w:top w:val="single" w:sz="4" w:space="0" w:color="000000"/>
              <w:left w:val="single" w:sz="4" w:space="0" w:color="000000"/>
              <w:bottom w:val="single" w:sz="4" w:space="0" w:color="000000"/>
              <w:right w:val="single" w:sz="4" w:space="0" w:color="000000"/>
            </w:tcBorders>
          </w:tcPr>
          <w:p w14:paraId="380D76D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J0 (12 sept.). Plan de projet remis. Livrable L07.</w:t>
            </w:r>
          </w:p>
        </w:tc>
      </w:tr>
      <w:tr w:rsidR="00F50D70" w:rsidRPr="00BE4F47" w14:paraId="59FFE7A9" w14:textId="77777777">
        <w:trPr>
          <w:cantSplit/>
          <w:trHeight w:val="629"/>
        </w:trPr>
        <w:tc>
          <w:tcPr>
            <w:tcW w:w="493" w:type="dxa"/>
            <w:tcBorders>
              <w:top w:val="single" w:sz="4" w:space="0" w:color="000000"/>
              <w:left w:val="single" w:sz="4" w:space="0" w:color="000000"/>
              <w:bottom w:val="single" w:sz="4" w:space="0" w:color="000000"/>
              <w:right w:val="single" w:sz="4" w:space="0" w:color="000000"/>
            </w:tcBorders>
          </w:tcPr>
          <w:p w14:paraId="379DD21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P1</w:t>
            </w:r>
          </w:p>
        </w:tc>
        <w:tc>
          <w:tcPr>
            <w:tcW w:w="1879" w:type="dxa"/>
            <w:tcBorders>
              <w:top w:val="single" w:sz="4" w:space="0" w:color="000000"/>
              <w:left w:val="single" w:sz="4" w:space="0" w:color="000000"/>
              <w:bottom w:val="single" w:sz="4" w:space="0" w:color="000000"/>
              <w:right w:val="single" w:sz="4" w:space="0" w:color="000000"/>
            </w:tcBorders>
          </w:tcPr>
          <w:p w14:paraId="3C923FA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Exigences et cahier des charges</w:t>
            </w:r>
          </w:p>
        </w:tc>
        <w:tc>
          <w:tcPr>
            <w:tcW w:w="1483" w:type="dxa"/>
            <w:tcBorders>
              <w:top w:val="single" w:sz="4" w:space="0" w:color="000000"/>
              <w:left w:val="single" w:sz="4" w:space="0" w:color="000000"/>
              <w:bottom w:val="single" w:sz="4" w:space="0" w:color="000000"/>
              <w:right w:val="single" w:sz="4" w:space="0" w:color="000000"/>
            </w:tcBorders>
          </w:tcPr>
          <w:p w14:paraId="51A1E94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14 au 27 sept.</w:t>
            </w:r>
          </w:p>
        </w:tc>
        <w:tc>
          <w:tcPr>
            <w:tcW w:w="751" w:type="dxa"/>
            <w:tcBorders>
              <w:top w:val="single" w:sz="4" w:space="0" w:color="000000"/>
              <w:left w:val="single" w:sz="4" w:space="0" w:color="000000"/>
              <w:bottom w:val="single" w:sz="4" w:space="0" w:color="000000"/>
              <w:right w:val="single" w:sz="4" w:space="0" w:color="000000"/>
            </w:tcBorders>
          </w:tcPr>
          <w:p w14:paraId="4B8008D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149 h</w:t>
            </w:r>
          </w:p>
        </w:tc>
        <w:tc>
          <w:tcPr>
            <w:tcW w:w="612" w:type="dxa"/>
            <w:tcBorders>
              <w:top w:val="single" w:sz="4" w:space="0" w:color="000000"/>
              <w:left w:val="single" w:sz="4" w:space="0" w:color="000000"/>
              <w:bottom w:val="single" w:sz="4" w:space="0" w:color="000000"/>
              <w:right w:val="single" w:sz="4" w:space="0" w:color="000000"/>
            </w:tcBorders>
          </w:tcPr>
          <w:p w14:paraId="09DEE53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13,8 %</w:t>
            </w:r>
          </w:p>
        </w:tc>
        <w:tc>
          <w:tcPr>
            <w:tcW w:w="3223" w:type="dxa"/>
            <w:tcBorders>
              <w:top w:val="single" w:sz="4" w:space="0" w:color="000000"/>
              <w:left w:val="single" w:sz="4" w:space="0" w:color="000000"/>
              <w:bottom w:val="single" w:sz="4" w:space="0" w:color="000000"/>
              <w:right w:val="single" w:sz="4" w:space="0" w:color="000000"/>
            </w:tcBorders>
          </w:tcPr>
          <w:p w14:paraId="470D083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J1 (25 sept.). Cahier des charges fonctionnel, registre des exigences vérifiables, GEMMA et structure de découpage. Livrables L03 et L04.</w:t>
            </w:r>
          </w:p>
        </w:tc>
      </w:tr>
      <w:tr w:rsidR="00F50D70" w:rsidRPr="00BE4F47" w14:paraId="48045826" w14:textId="77777777">
        <w:trPr>
          <w:cantSplit/>
          <w:trHeight w:val="629"/>
        </w:trPr>
        <w:tc>
          <w:tcPr>
            <w:tcW w:w="493" w:type="dxa"/>
            <w:tcBorders>
              <w:top w:val="single" w:sz="4" w:space="0" w:color="000000"/>
              <w:left w:val="single" w:sz="4" w:space="0" w:color="000000"/>
              <w:bottom w:val="single" w:sz="4" w:space="0" w:color="000000"/>
              <w:right w:val="single" w:sz="4" w:space="0" w:color="000000"/>
            </w:tcBorders>
          </w:tcPr>
          <w:p w14:paraId="4967308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P2</w:t>
            </w:r>
          </w:p>
        </w:tc>
        <w:tc>
          <w:tcPr>
            <w:tcW w:w="1879" w:type="dxa"/>
            <w:tcBorders>
              <w:top w:val="single" w:sz="4" w:space="0" w:color="000000"/>
              <w:left w:val="single" w:sz="4" w:space="0" w:color="000000"/>
              <w:bottom w:val="single" w:sz="4" w:space="0" w:color="000000"/>
              <w:right w:val="single" w:sz="4" w:space="0" w:color="000000"/>
            </w:tcBorders>
          </w:tcPr>
          <w:p w14:paraId="16BCDD9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Conception préliminaire : modèle et architecture</w:t>
            </w:r>
          </w:p>
        </w:tc>
        <w:tc>
          <w:tcPr>
            <w:tcW w:w="1483" w:type="dxa"/>
            <w:tcBorders>
              <w:top w:val="single" w:sz="4" w:space="0" w:color="000000"/>
              <w:left w:val="single" w:sz="4" w:space="0" w:color="000000"/>
              <w:bottom w:val="single" w:sz="4" w:space="0" w:color="000000"/>
              <w:right w:val="single" w:sz="4" w:space="0" w:color="000000"/>
            </w:tcBorders>
          </w:tcPr>
          <w:p w14:paraId="668CE48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28 sept. au 25 oct.</w:t>
            </w:r>
          </w:p>
        </w:tc>
        <w:tc>
          <w:tcPr>
            <w:tcW w:w="751" w:type="dxa"/>
            <w:tcBorders>
              <w:top w:val="single" w:sz="4" w:space="0" w:color="000000"/>
              <w:left w:val="single" w:sz="4" w:space="0" w:color="000000"/>
              <w:bottom w:val="single" w:sz="4" w:space="0" w:color="000000"/>
              <w:right w:val="single" w:sz="4" w:space="0" w:color="000000"/>
            </w:tcBorders>
          </w:tcPr>
          <w:p w14:paraId="4629167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230 h</w:t>
            </w:r>
          </w:p>
        </w:tc>
        <w:tc>
          <w:tcPr>
            <w:tcW w:w="612" w:type="dxa"/>
            <w:tcBorders>
              <w:top w:val="single" w:sz="4" w:space="0" w:color="000000"/>
              <w:left w:val="single" w:sz="4" w:space="0" w:color="000000"/>
              <w:bottom w:val="single" w:sz="4" w:space="0" w:color="000000"/>
              <w:right w:val="single" w:sz="4" w:space="0" w:color="000000"/>
            </w:tcBorders>
          </w:tcPr>
          <w:p w14:paraId="314FCF3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21,3 %</w:t>
            </w:r>
          </w:p>
        </w:tc>
        <w:tc>
          <w:tcPr>
            <w:tcW w:w="3223" w:type="dxa"/>
            <w:tcBorders>
              <w:top w:val="single" w:sz="4" w:space="0" w:color="000000"/>
              <w:left w:val="single" w:sz="4" w:space="0" w:color="000000"/>
              <w:bottom w:val="single" w:sz="4" w:space="0" w:color="000000"/>
              <w:right w:val="single" w:sz="4" w:space="0" w:color="000000"/>
            </w:tcBorders>
          </w:tcPr>
          <w:p w14:paraId="5DCE223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J2 (23 oct.). Dossier de conception préliminaire, modèle de référence validé, plan de vérification et de validation. Livrable L05.</w:t>
            </w:r>
          </w:p>
        </w:tc>
      </w:tr>
      <w:tr w:rsidR="00F50D70" w:rsidRPr="00BE4F47" w14:paraId="2F92BF41" w14:textId="77777777">
        <w:trPr>
          <w:cantSplit/>
          <w:trHeight w:val="629"/>
        </w:trPr>
        <w:tc>
          <w:tcPr>
            <w:tcW w:w="493" w:type="dxa"/>
            <w:tcBorders>
              <w:top w:val="single" w:sz="4" w:space="0" w:color="000000"/>
              <w:left w:val="single" w:sz="4" w:space="0" w:color="000000"/>
              <w:bottom w:val="single" w:sz="4" w:space="0" w:color="000000"/>
              <w:right w:val="single" w:sz="4" w:space="0" w:color="000000"/>
            </w:tcBorders>
          </w:tcPr>
          <w:p w14:paraId="69B68969"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P3</w:t>
            </w:r>
          </w:p>
        </w:tc>
        <w:tc>
          <w:tcPr>
            <w:tcW w:w="1879" w:type="dxa"/>
            <w:tcBorders>
              <w:top w:val="single" w:sz="4" w:space="0" w:color="000000"/>
              <w:left w:val="single" w:sz="4" w:space="0" w:color="000000"/>
              <w:bottom w:val="single" w:sz="4" w:space="0" w:color="000000"/>
              <w:right w:val="single" w:sz="4" w:space="0" w:color="000000"/>
            </w:tcBorders>
          </w:tcPr>
          <w:p w14:paraId="1AC278A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Conception détaillée et développement, trois itérations</w:t>
            </w:r>
          </w:p>
        </w:tc>
        <w:tc>
          <w:tcPr>
            <w:tcW w:w="1483" w:type="dxa"/>
            <w:tcBorders>
              <w:top w:val="single" w:sz="4" w:space="0" w:color="000000"/>
              <w:left w:val="single" w:sz="4" w:space="0" w:color="000000"/>
              <w:bottom w:val="single" w:sz="4" w:space="0" w:color="000000"/>
              <w:right w:val="single" w:sz="4" w:space="0" w:color="000000"/>
            </w:tcBorders>
          </w:tcPr>
          <w:p w14:paraId="319B940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26 oct. au 22 nov.</w:t>
            </w:r>
          </w:p>
        </w:tc>
        <w:tc>
          <w:tcPr>
            <w:tcW w:w="751" w:type="dxa"/>
            <w:tcBorders>
              <w:top w:val="single" w:sz="4" w:space="0" w:color="000000"/>
              <w:left w:val="single" w:sz="4" w:space="0" w:color="000000"/>
              <w:bottom w:val="single" w:sz="4" w:space="0" w:color="000000"/>
              <w:right w:val="single" w:sz="4" w:space="0" w:color="000000"/>
            </w:tcBorders>
          </w:tcPr>
          <w:p w14:paraId="3889D57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337 h</w:t>
            </w:r>
          </w:p>
        </w:tc>
        <w:tc>
          <w:tcPr>
            <w:tcW w:w="612" w:type="dxa"/>
            <w:tcBorders>
              <w:top w:val="single" w:sz="4" w:space="0" w:color="000000"/>
              <w:left w:val="single" w:sz="4" w:space="0" w:color="000000"/>
              <w:bottom w:val="single" w:sz="4" w:space="0" w:color="000000"/>
              <w:right w:val="single" w:sz="4" w:space="0" w:color="000000"/>
            </w:tcBorders>
          </w:tcPr>
          <w:p w14:paraId="1ACDF2D2"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31,2 %</w:t>
            </w:r>
          </w:p>
        </w:tc>
        <w:tc>
          <w:tcPr>
            <w:tcW w:w="3223" w:type="dxa"/>
            <w:tcBorders>
              <w:top w:val="single" w:sz="4" w:space="0" w:color="000000"/>
              <w:left w:val="single" w:sz="4" w:space="0" w:color="000000"/>
              <w:bottom w:val="single" w:sz="4" w:space="0" w:color="000000"/>
              <w:right w:val="single" w:sz="4" w:space="0" w:color="000000"/>
            </w:tcBorders>
          </w:tcPr>
          <w:p w14:paraId="69E9208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J3 (20 nov.). Gel des fonctionnalités. Prototype du jumeau et interface d’aide à la décision. Livrables L01 et L02.</w:t>
            </w:r>
          </w:p>
        </w:tc>
      </w:tr>
      <w:tr w:rsidR="00F50D70" w:rsidRPr="00BE4F47" w14:paraId="38B067C8" w14:textId="77777777">
        <w:trPr>
          <w:cantSplit/>
          <w:trHeight w:val="433"/>
        </w:trPr>
        <w:tc>
          <w:tcPr>
            <w:tcW w:w="493" w:type="dxa"/>
            <w:tcBorders>
              <w:top w:val="single" w:sz="4" w:space="0" w:color="000000"/>
              <w:left w:val="single" w:sz="4" w:space="0" w:color="000000"/>
              <w:bottom w:val="single" w:sz="4" w:space="0" w:color="000000"/>
              <w:right w:val="single" w:sz="4" w:space="0" w:color="000000"/>
            </w:tcBorders>
          </w:tcPr>
          <w:p w14:paraId="2BBFE806"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P4</w:t>
            </w:r>
          </w:p>
        </w:tc>
        <w:tc>
          <w:tcPr>
            <w:tcW w:w="1879" w:type="dxa"/>
            <w:tcBorders>
              <w:top w:val="single" w:sz="4" w:space="0" w:color="000000"/>
              <w:left w:val="single" w:sz="4" w:space="0" w:color="000000"/>
              <w:bottom w:val="single" w:sz="4" w:space="0" w:color="000000"/>
              <w:right w:val="single" w:sz="4" w:space="0" w:color="000000"/>
            </w:tcBorders>
          </w:tcPr>
          <w:p w14:paraId="7C34E5A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Intégration, V&amp;V et campagne d’essais</w:t>
            </w:r>
          </w:p>
        </w:tc>
        <w:tc>
          <w:tcPr>
            <w:tcW w:w="1483" w:type="dxa"/>
            <w:tcBorders>
              <w:top w:val="single" w:sz="4" w:space="0" w:color="000000"/>
              <w:left w:val="single" w:sz="4" w:space="0" w:color="000000"/>
              <w:bottom w:val="single" w:sz="4" w:space="0" w:color="000000"/>
              <w:right w:val="single" w:sz="4" w:space="0" w:color="000000"/>
            </w:tcBorders>
          </w:tcPr>
          <w:p w14:paraId="145A14DA"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23 nov. au 6 déc.</w:t>
            </w:r>
          </w:p>
        </w:tc>
        <w:tc>
          <w:tcPr>
            <w:tcW w:w="751" w:type="dxa"/>
            <w:tcBorders>
              <w:top w:val="single" w:sz="4" w:space="0" w:color="000000"/>
              <w:left w:val="single" w:sz="4" w:space="0" w:color="000000"/>
              <w:bottom w:val="single" w:sz="4" w:space="0" w:color="000000"/>
              <w:right w:val="single" w:sz="4" w:space="0" w:color="000000"/>
            </w:tcBorders>
          </w:tcPr>
          <w:p w14:paraId="5EDEAE0F"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176 h</w:t>
            </w:r>
          </w:p>
        </w:tc>
        <w:tc>
          <w:tcPr>
            <w:tcW w:w="612" w:type="dxa"/>
            <w:tcBorders>
              <w:top w:val="single" w:sz="4" w:space="0" w:color="000000"/>
              <w:left w:val="single" w:sz="4" w:space="0" w:color="000000"/>
              <w:bottom w:val="single" w:sz="4" w:space="0" w:color="000000"/>
              <w:right w:val="single" w:sz="4" w:space="0" w:color="000000"/>
            </w:tcBorders>
          </w:tcPr>
          <w:p w14:paraId="1FC85E8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16,3 %</w:t>
            </w:r>
          </w:p>
        </w:tc>
        <w:tc>
          <w:tcPr>
            <w:tcW w:w="3223" w:type="dxa"/>
            <w:tcBorders>
              <w:top w:val="single" w:sz="4" w:space="0" w:color="000000"/>
              <w:left w:val="single" w:sz="4" w:space="0" w:color="000000"/>
              <w:bottom w:val="single" w:sz="4" w:space="0" w:color="000000"/>
              <w:right w:val="single" w:sz="4" w:space="0" w:color="000000"/>
            </w:tcBorders>
          </w:tcPr>
          <w:p w14:paraId="64DE214D"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J4 (4 déc.). Rapport d’essais et résultats de validation. Livrable L06.</w:t>
            </w:r>
          </w:p>
        </w:tc>
      </w:tr>
      <w:tr w:rsidR="00F50D70" w:rsidRPr="00BE4F47" w14:paraId="6AFA2051" w14:textId="77777777">
        <w:trPr>
          <w:cantSplit/>
          <w:trHeight w:val="629"/>
        </w:trPr>
        <w:tc>
          <w:tcPr>
            <w:tcW w:w="493" w:type="dxa"/>
            <w:tcBorders>
              <w:top w:val="single" w:sz="4" w:space="0" w:color="000000"/>
              <w:left w:val="single" w:sz="4" w:space="0" w:color="000000"/>
              <w:bottom w:val="single" w:sz="4" w:space="0" w:color="000000"/>
              <w:right w:val="single" w:sz="4" w:space="0" w:color="000000"/>
            </w:tcBorders>
          </w:tcPr>
          <w:p w14:paraId="628A313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P5</w:t>
            </w:r>
          </w:p>
        </w:tc>
        <w:tc>
          <w:tcPr>
            <w:tcW w:w="1879" w:type="dxa"/>
            <w:tcBorders>
              <w:top w:val="single" w:sz="4" w:space="0" w:color="000000"/>
              <w:left w:val="single" w:sz="4" w:space="0" w:color="000000"/>
              <w:bottom w:val="single" w:sz="4" w:space="0" w:color="000000"/>
              <w:right w:val="single" w:sz="4" w:space="0" w:color="000000"/>
            </w:tcBorders>
          </w:tcPr>
          <w:p w14:paraId="6A8E980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Recommandation, rapport final et soutenance</w:t>
            </w:r>
          </w:p>
        </w:tc>
        <w:tc>
          <w:tcPr>
            <w:tcW w:w="1483" w:type="dxa"/>
            <w:tcBorders>
              <w:top w:val="single" w:sz="4" w:space="0" w:color="000000"/>
              <w:left w:val="single" w:sz="4" w:space="0" w:color="000000"/>
              <w:bottom w:val="single" w:sz="4" w:space="0" w:color="000000"/>
              <w:right w:val="single" w:sz="4" w:space="0" w:color="000000"/>
            </w:tcBorders>
          </w:tcPr>
          <w:p w14:paraId="7B6AC28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7 au 14 déc.</w:t>
            </w:r>
          </w:p>
        </w:tc>
        <w:tc>
          <w:tcPr>
            <w:tcW w:w="751" w:type="dxa"/>
            <w:tcBorders>
              <w:top w:val="single" w:sz="4" w:space="0" w:color="000000"/>
              <w:left w:val="single" w:sz="4" w:space="0" w:color="000000"/>
              <w:bottom w:val="single" w:sz="4" w:space="0" w:color="000000"/>
              <w:right w:val="single" w:sz="4" w:space="0" w:color="000000"/>
            </w:tcBorders>
          </w:tcPr>
          <w:p w14:paraId="49B545D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107 h</w:t>
            </w:r>
          </w:p>
        </w:tc>
        <w:tc>
          <w:tcPr>
            <w:tcW w:w="612" w:type="dxa"/>
            <w:tcBorders>
              <w:top w:val="single" w:sz="4" w:space="0" w:color="000000"/>
              <w:left w:val="single" w:sz="4" w:space="0" w:color="000000"/>
              <w:bottom w:val="single" w:sz="4" w:space="0" w:color="000000"/>
              <w:right w:val="single" w:sz="4" w:space="0" w:color="000000"/>
            </w:tcBorders>
          </w:tcPr>
          <w:p w14:paraId="4A44A3DE"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9,9 %</w:t>
            </w:r>
          </w:p>
        </w:tc>
        <w:tc>
          <w:tcPr>
            <w:tcW w:w="3223" w:type="dxa"/>
            <w:tcBorders>
              <w:top w:val="single" w:sz="4" w:space="0" w:color="000000"/>
              <w:left w:val="single" w:sz="4" w:space="0" w:color="000000"/>
              <w:bottom w:val="single" w:sz="4" w:space="0" w:color="000000"/>
              <w:right w:val="single" w:sz="4" w:space="0" w:color="000000"/>
            </w:tcBorders>
          </w:tcPr>
          <w:p w14:paraId="464F4AE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J5 (18 déc.). Recommandation d’ingénierie, rapport final, présentation orale. Livrables L08 et L09.</w:t>
            </w:r>
          </w:p>
        </w:tc>
      </w:tr>
      <w:tr w:rsidR="00F50D70" w:rsidRPr="00BE4F47" w14:paraId="74A1D86E" w14:textId="77777777">
        <w:trPr>
          <w:cantSplit/>
          <w:trHeight w:val="320"/>
        </w:trPr>
        <w:tc>
          <w:tcPr>
            <w:tcW w:w="493" w:type="dxa"/>
            <w:tcBorders>
              <w:top w:val="single" w:sz="4" w:space="0" w:color="000000"/>
              <w:left w:val="single" w:sz="4" w:space="0" w:color="000000"/>
              <w:bottom w:val="single" w:sz="4" w:space="0" w:color="000000"/>
              <w:right w:val="single" w:sz="4" w:space="0" w:color="000000"/>
            </w:tcBorders>
          </w:tcPr>
          <w:p w14:paraId="18B6A270"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c>
          <w:tcPr>
            <w:tcW w:w="1879" w:type="dxa"/>
            <w:tcBorders>
              <w:top w:val="single" w:sz="4" w:space="0" w:color="000000"/>
              <w:left w:val="single" w:sz="4" w:space="0" w:color="000000"/>
              <w:bottom w:val="single" w:sz="4" w:space="0" w:color="000000"/>
              <w:right w:val="single" w:sz="4" w:space="0" w:color="000000"/>
            </w:tcBorders>
          </w:tcPr>
          <w:p w14:paraId="31826274"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Réserve d’échéancier</w:t>
            </w:r>
          </w:p>
        </w:tc>
        <w:tc>
          <w:tcPr>
            <w:tcW w:w="1483" w:type="dxa"/>
            <w:tcBorders>
              <w:top w:val="single" w:sz="4" w:space="0" w:color="000000"/>
              <w:left w:val="single" w:sz="4" w:space="0" w:color="000000"/>
              <w:bottom w:val="single" w:sz="4" w:space="0" w:color="000000"/>
              <w:right w:val="single" w:sz="4" w:space="0" w:color="000000"/>
            </w:tcBorders>
          </w:tcPr>
          <w:p w14:paraId="7207C5B8"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15 au 18 déc.</w:t>
            </w:r>
          </w:p>
        </w:tc>
        <w:tc>
          <w:tcPr>
            <w:tcW w:w="751" w:type="dxa"/>
            <w:tcBorders>
              <w:top w:val="single" w:sz="4" w:space="0" w:color="000000"/>
              <w:left w:val="single" w:sz="4" w:space="0" w:color="000000"/>
              <w:bottom w:val="single" w:sz="4" w:space="0" w:color="000000"/>
              <w:right w:val="single" w:sz="4" w:space="0" w:color="000000"/>
            </w:tcBorders>
          </w:tcPr>
          <w:p w14:paraId="2F390BEC"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w:t>
            </w:r>
          </w:p>
        </w:tc>
        <w:tc>
          <w:tcPr>
            <w:tcW w:w="612" w:type="dxa"/>
            <w:tcBorders>
              <w:top w:val="single" w:sz="4" w:space="0" w:color="000000"/>
              <w:left w:val="single" w:sz="4" w:space="0" w:color="000000"/>
              <w:bottom w:val="single" w:sz="4" w:space="0" w:color="000000"/>
              <w:right w:val="single" w:sz="4" w:space="0" w:color="000000"/>
            </w:tcBorders>
          </w:tcPr>
          <w:p w14:paraId="3A8B1BC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w:t>
            </w:r>
          </w:p>
        </w:tc>
        <w:tc>
          <w:tcPr>
            <w:tcW w:w="3223" w:type="dxa"/>
            <w:tcBorders>
              <w:top w:val="single" w:sz="4" w:space="0" w:color="000000"/>
              <w:left w:val="single" w:sz="4" w:space="0" w:color="000000"/>
              <w:bottom w:val="single" w:sz="4" w:space="0" w:color="000000"/>
              <w:right w:val="single" w:sz="4" w:space="0" w:color="000000"/>
            </w:tcBorders>
          </w:tcPr>
          <w:p w14:paraId="05B4656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Tampon non alloué. Marge conservée pour absorber un glissement des phases P3 ou P4.</w:t>
            </w:r>
          </w:p>
        </w:tc>
      </w:tr>
      <w:tr w:rsidR="00F50D70" w:rsidRPr="00BE4F47" w14:paraId="3CAA815F" w14:textId="77777777">
        <w:trPr>
          <w:cantSplit/>
          <w:trHeight w:val="310"/>
        </w:trPr>
        <w:tc>
          <w:tcPr>
            <w:tcW w:w="493" w:type="dxa"/>
            <w:tcBorders>
              <w:top w:val="single" w:sz="4" w:space="0" w:color="000000"/>
              <w:left w:val="single" w:sz="4" w:space="0" w:color="000000"/>
              <w:bottom w:val="single" w:sz="4" w:space="0" w:color="000000"/>
              <w:right w:val="single" w:sz="4" w:space="0" w:color="000000"/>
            </w:tcBorders>
          </w:tcPr>
          <w:p w14:paraId="7FF8FBE1"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c>
          <w:tcPr>
            <w:tcW w:w="1879" w:type="dxa"/>
            <w:tcBorders>
              <w:top w:val="single" w:sz="4" w:space="0" w:color="000000"/>
              <w:left w:val="single" w:sz="4" w:space="0" w:color="000000"/>
              <w:bottom w:val="single" w:sz="4" w:space="0" w:color="000000"/>
              <w:right w:val="single" w:sz="4" w:space="0" w:color="000000"/>
            </w:tcBorders>
          </w:tcPr>
          <w:p w14:paraId="0DE3D3C3"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Total</w:t>
            </w:r>
          </w:p>
        </w:tc>
        <w:tc>
          <w:tcPr>
            <w:tcW w:w="1483" w:type="dxa"/>
            <w:tcBorders>
              <w:top w:val="single" w:sz="4" w:space="0" w:color="000000"/>
              <w:left w:val="single" w:sz="4" w:space="0" w:color="000000"/>
              <w:bottom w:val="single" w:sz="4" w:space="0" w:color="000000"/>
              <w:right w:val="single" w:sz="4" w:space="0" w:color="000000"/>
            </w:tcBorders>
          </w:tcPr>
          <w:p w14:paraId="783F9E67"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c>
          <w:tcPr>
            <w:tcW w:w="751" w:type="dxa"/>
            <w:tcBorders>
              <w:top w:val="single" w:sz="4" w:space="0" w:color="000000"/>
              <w:left w:val="single" w:sz="4" w:space="0" w:color="000000"/>
              <w:bottom w:val="single" w:sz="4" w:space="0" w:color="000000"/>
              <w:right w:val="single" w:sz="4" w:space="0" w:color="000000"/>
            </w:tcBorders>
          </w:tcPr>
          <w:p w14:paraId="3BACC8F5"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1 080 h</w:t>
            </w:r>
          </w:p>
        </w:tc>
        <w:tc>
          <w:tcPr>
            <w:tcW w:w="612" w:type="dxa"/>
            <w:tcBorders>
              <w:top w:val="single" w:sz="4" w:space="0" w:color="000000"/>
              <w:left w:val="single" w:sz="4" w:space="0" w:color="000000"/>
              <w:bottom w:val="single" w:sz="4" w:space="0" w:color="000000"/>
              <w:right w:val="single" w:sz="4" w:space="0" w:color="000000"/>
            </w:tcBorders>
          </w:tcPr>
          <w:p w14:paraId="6EA63C70" w14:textId="77777777" w:rsidR="00F50D70" w:rsidRPr="00BE4F47" w:rsidRDefault="00000000"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100 %</w:t>
            </w:r>
          </w:p>
        </w:tc>
        <w:tc>
          <w:tcPr>
            <w:tcW w:w="3223" w:type="dxa"/>
            <w:tcBorders>
              <w:top w:val="single" w:sz="4" w:space="0" w:color="000000"/>
              <w:left w:val="single" w:sz="4" w:space="0" w:color="000000"/>
              <w:bottom w:val="single" w:sz="4" w:space="0" w:color="000000"/>
              <w:right w:val="single" w:sz="4" w:space="0" w:color="000000"/>
            </w:tcBorders>
          </w:tcPr>
          <w:p w14:paraId="7A6981EE"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r>
    </w:tbl>
    <w:p w14:paraId="7431E15D" w14:textId="77777777" w:rsidR="00F50D70" w:rsidRPr="00BE4F47" w:rsidRDefault="00F50D70" w:rsidP="008E113B">
      <w:pPr>
        <w:spacing w:after="130" w:line="360" w:lineRule="auto"/>
        <w:ind w:left="0"/>
        <w:rPr>
          <w:rFonts w:ascii="Aptos" w:hAnsi="Aptos"/>
        </w:rPr>
      </w:pPr>
    </w:p>
    <w:p w14:paraId="389FB468"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73" w:name="_Toc241083166"/>
      <w:r w:rsidRPr="00BE4F47">
        <w:rPr>
          <w:rFonts w:ascii="Aptos" w:eastAsia="Calibri" w:hAnsi="Aptos" w:cs="Calibri"/>
          <w:color w:val="1A1A19"/>
          <w:sz w:val="20"/>
          <w:szCs w:val="20"/>
        </w:rPr>
        <w:lastRenderedPageBreak/>
        <w:t>Les trois itérations de la phase P3 durent chacune deux semaines. Chacune se termine par une démonstration interne du produit en état de fonctionner. C’est le volet agile du modèle hybride retenu. Les phases P0 à P2 restent en cascade, car les exigences et l’architecture doivent être stabilisées avant de développer.</w:t>
      </w:r>
      <w:bookmarkEnd w:id="473"/>
    </w:p>
    <w:p w14:paraId="61D8CAED" w14:textId="77777777" w:rsidR="00F50D70" w:rsidRPr="00BE4F47" w:rsidRDefault="00000000" w:rsidP="008E113B">
      <w:pPr>
        <w:spacing w:after="130" w:line="360" w:lineRule="auto"/>
        <w:ind w:left="425"/>
        <w:rPr>
          <w:rFonts w:ascii="Aptos" w:eastAsia="Calibri" w:hAnsi="Aptos" w:cs="Calibri"/>
          <w:color w:val="1A1A19"/>
          <w:sz w:val="20"/>
          <w:szCs w:val="20"/>
        </w:rPr>
      </w:pPr>
      <w:bookmarkStart w:id="474" w:name="_Toc241083167"/>
      <w:r w:rsidRPr="00BE4F47">
        <w:rPr>
          <w:rFonts w:ascii="Aptos" w:eastAsia="Calibri" w:hAnsi="Aptos" w:cs="Calibri"/>
          <w:color w:val="1A1A19"/>
          <w:sz w:val="20"/>
          <w:szCs w:val="20"/>
        </w:rPr>
        <w:t>Les codes de livrables L01 à L09 renvoient au tableau des livrables de la section 2. Les codes de lots L1 à L9 renvoient au tableau de répartition de l’effort de la section 8.</w:t>
      </w:r>
      <w:bookmarkEnd w:id="474"/>
    </w:p>
    <w:p w14:paraId="54EDDB6F" w14:textId="77777777" w:rsidR="00F50D70" w:rsidRPr="00BE4F47" w:rsidRDefault="00000000" w:rsidP="008E113B">
      <w:pPr>
        <w:pStyle w:val="Titre2"/>
        <w:spacing w:line="360" w:lineRule="auto"/>
        <w:rPr>
          <w:rFonts w:ascii="Aptos" w:hAnsi="Aptos"/>
        </w:rPr>
      </w:pPr>
      <w:bookmarkStart w:id="475" w:name="_Toc241083168"/>
      <w:r w:rsidRPr="00BE4F47">
        <w:rPr>
          <w:rFonts w:ascii="Aptos" w:hAnsi="Aptos"/>
        </w:rPr>
        <w:t>Représentation graphique</w:t>
      </w:r>
      <w:bookmarkEnd w:id="475"/>
    </w:p>
    <w:p w14:paraId="44081C66" w14:textId="77777777" w:rsidR="00F50D70" w:rsidRPr="00BE4F47" w:rsidRDefault="00000000" w:rsidP="008E113B">
      <w:pPr>
        <w:spacing w:after="130" w:line="360" w:lineRule="auto"/>
        <w:ind w:left="360"/>
        <w:rPr>
          <w:rFonts w:ascii="Aptos" w:hAnsi="Aptos"/>
        </w:rPr>
      </w:pPr>
      <w:bookmarkStart w:id="476" w:name="_Toc241083169"/>
      <w:r w:rsidRPr="00BE4F47">
        <w:rPr>
          <w:rFonts w:ascii="Aptos" w:eastAsia="Calibri" w:hAnsi="Aptos" w:cs="Calibri"/>
          <w:color w:val="1A1A19"/>
          <w:sz w:val="20"/>
          <w:szCs w:val="20"/>
        </w:rPr>
        <w:t>[ INSÉRER ICI LE DIAGRAMME DE GANTT ]</w:t>
      </w:r>
      <w:bookmarkEnd w:id="476"/>
    </w:p>
    <w:p w14:paraId="06363E30" w14:textId="77777777" w:rsidR="00F50D70" w:rsidRPr="00BE4F47" w:rsidRDefault="00F50D70" w:rsidP="008E113B">
      <w:pPr>
        <w:pStyle w:val="Corpsdetexte"/>
        <w:spacing w:line="360" w:lineRule="auto"/>
        <w:ind w:left="720"/>
        <w:outlineLvl w:val="9"/>
        <w:rPr>
          <w:rFonts w:ascii="Aptos" w:hAnsi="Aptos"/>
          <w:b w:val="0"/>
        </w:rPr>
      </w:pPr>
    </w:p>
    <w:p w14:paraId="69FC75B3" w14:textId="77777777" w:rsidR="00F50D70" w:rsidRPr="00BE4F47" w:rsidRDefault="00000000" w:rsidP="008E113B">
      <w:pPr>
        <w:pStyle w:val="Lgende"/>
        <w:spacing w:line="360" w:lineRule="auto"/>
        <w:rPr>
          <w:rFonts w:ascii="Aptos" w:hAnsi="Aptos"/>
        </w:rPr>
      </w:pPr>
      <w:bookmarkStart w:id="477" w:name="_Toc241083170"/>
      <w:r w:rsidRPr="00BE4F47">
        <w:rPr>
          <w:rFonts w:ascii="Aptos" w:hAnsi="Aptos"/>
        </w:rPr>
        <w:t>Figure 10-2. Diagramme de Gantt de l’échéancier préliminaire</w:t>
      </w:r>
      <w:bookmarkEnd w:id="477"/>
    </w:p>
    <w:p w14:paraId="153C520F" w14:textId="77777777" w:rsidR="00F50D70" w:rsidRPr="00B36301" w:rsidRDefault="00000000" w:rsidP="008E113B">
      <w:pPr>
        <w:pStyle w:val="Titre2"/>
        <w:spacing w:line="360" w:lineRule="auto"/>
      </w:pPr>
      <w:bookmarkStart w:id="478" w:name="_Toc241083171"/>
      <w:r w:rsidRPr="00B36301">
        <w:t>Courbe en S de la valeur planifiée</w:t>
      </w:r>
      <w:bookmarkEnd w:id="478"/>
    </w:p>
    <w:p w14:paraId="4624D0DB" w14:textId="77777777" w:rsidR="00F50D70" w:rsidRPr="00BE4F47" w:rsidRDefault="00000000" w:rsidP="008E113B">
      <w:pPr>
        <w:spacing w:after="130" w:line="360" w:lineRule="auto"/>
        <w:ind w:left="360"/>
        <w:rPr>
          <w:rFonts w:ascii="Aptos" w:hAnsi="Aptos"/>
        </w:rPr>
      </w:pPr>
      <w:bookmarkStart w:id="479" w:name="_Toc241083172"/>
      <w:r w:rsidRPr="00BE4F47">
        <w:rPr>
          <w:rFonts w:ascii="Aptos" w:eastAsia="Calibri" w:hAnsi="Aptos" w:cs="Calibri"/>
          <w:color w:val="1A1A19"/>
          <w:sz w:val="20"/>
          <w:szCs w:val="20"/>
        </w:rPr>
        <w:t>La courbe ci-dessous représente la valeur planifiée, c’est à dire le budget que le projet prévoit d’avoir consommé à chaque date. Elle sert de référence unique au suivi financier : à chaque jalon, la valeur acquise réelle sera reportée sur ce même graphique, et l’écart entre les deux courbes donnera l’avancement en dollars plutôt qu’en impression.</w:t>
      </w:r>
      <w:bookmarkEnd w:id="479"/>
    </w:p>
    <w:p w14:paraId="0D6D3F5F" w14:textId="77777777" w:rsidR="00F50D70" w:rsidRPr="00BE4F47" w:rsidRDefault="00000000" w:rsidP="008E113B">
      <w:pPr>
        <w:spacing w:after="130" w:line="360" w:lineRule="auto"/>
        <w:ind w:left="360"/>
        <w:rPr>
          <w:rFonts w:ascii="Aptos" w:hAnsi="Aptos"/>
        </w:rPr>
      </w:pPr>
      <w:bookmarkStart w:id="480" w:name="_Toc241083173"/>
      <w:r w:rsidRPr="00BE4F47">
        <w:rPr>
          <w:rFonts w:ascii="Aptos" w:eastAsia="Calibri" w:hAnsi="Aptos" w:cs="Calibri"/>
          <w:color w:val="1A1A19"/>
          <w:sz w:val="20"/>
          <w:szCs w:val="20"/>
        </w:rPr>
        <w:t>La forme en S décrit une réalité de conduite de projet. Le début est lent parce que l’équipe cadre, lit et décide plus qu’elle ne produit. Le milieu est raide parce que la phase P3 concentre le développement. La fin s’aplatit parce que la rédaction et la soutenance mobilisent moins d’heures que la construction.</w:t>
      </w:r>
      <w:bookmarkEnd w:id="480"/>
    </w:p>
    <w:p w14:paraId="3324E2E0" w14:textId="77777777" w:rsidR="00F50D70" w:rsidRPr="00BE4F47" w:rsidRDefault="002A1CE1" w:rsidP="008E113B">
      <w:pPr>
        <w:spacing w:line="360" w:lineRule="auto"/>
        <w:jc w:val="center"/>
        <w:rPr>
          <w:rFonts w:ascii="Aptos" w:hAnsi="Aptos"/>
        </w:rPr>
      </w:pPr>
      <w:bookmarkStart w:id="481" w:name="_Toc241083174"/>
      <w:r>
        <w:rPr>
          <w:rFonts w:ascii="Aptos" w:hAnsi="Aptos"/>
          <w:noProof/>
        </w:rPr>
        <w:drawing>
          <wp:anchor distT="0" distB="0" distL="114300" distR="114300" simplePos="0" relativeHeight="251656704" behindDoc="0" locked="0" layoutInCell="1" allowOverlap="1" wp14:anchorId="1E159E8F" wp14:editId="4EAD1ECB">
            <wp:simplePos x="0" y="0"/>
            <wp:positionH relativeFrom="column">
              <wp:posOffset>180340</wp:posOffset>
            </wp:positionH>
            <wp:positionV relativeFrom="paragraph">
              <wp:posOffset>62230</wp:posOffset>
            </wp:positionV>
            <wp:extent cx="5440680" cy="2662555"/>
            <wp:effectExtent l="0" t="0" r="0" b="0"/>
            <wp:wrapTopAndBottom/>
            <wp:docPr id="7004798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40680" cy="2662555"/>
                    </a:xfrm>
                    <a:prstGeom prst="rect">
                      <a:avLst/>
                    </a:prstGeom>
                    <a:noFill/>
                  </pic:spPr>
                </pic:pic>
              </a:graphicData>
            </a:graphic>
            <wp14:sizeRelH relativeFrom="page">
              <wp14:pctWidth>0</wp14:pctWidth>
            </wp14:sizeRelH>
            <wp14:sizeRelV relativeFrom="page">
              <wp14:pctHeight>0</wp14:pctHeight>
            </wp14:sizeRelV>
          </wp:anchor>
        </w:drawing>
      </w:r>
      <w:bookmarkEnd w:id="481"/>
    </w:p>
    <w:p w14:paraId="29206A2B" w14:textId="77777777" w:rsidR="00F50D70" w:rsidRPr="00BE4F47" w:rsidRDefault="00000000" w:rsidP="008E113B">
      <w:pPr>
        <w:pStyle w:val="Lgende"/>
        <w:spacing w:line="360" w:lineRule="auto"/>
        <w:rPr>
          <w:rFonts w:ascii="Aptos" w:hAnsi="Aptos"/>
        </w:rPr>
      </w:pPr>
      <w:bookmarkStart w:id="482" w:name="_Toc241083175"/>
      <w:r w:rsidRPr="00BE4F47">
        <w:rPr>
          <w:rFonts w:ascii="Aptos" w:hAnsi="Aptos"/>
        </w:rPr>
        <w:t>Figure 10-3. Courbe en S de la valeur planifiée du mandat</w:t>
      </w:r>
      <w:bookmarkEnd w:id="482"/>
    </w:p>
    <w:p w14:paraId="5B95AF56" w14:textId="77777777" w:rsidR="00F50D70" w:rsidRPr="00BE4F47" w:rsidRDefault="00000000" w:rsidP="008E113B">
      <w:pPr>
        <w:spacing w:after="130" w:line="360" w:lineRule="auto"/>
        <w:ind w:left="360"/>
        <w:rPr>
          <w:rFonts w:ascii="Aptos" w:hAnsi="Aptos"/>
        </w:rPr>
      </w:pPr>
      <w:bookmarkStart w:id="483" w:name="_Toc241083176"/>
      <w:r w:rsidRPr="00BE4F47">
        <w:rPr>
          <w:rFonts w:ascii="Aptos" w:eastAsia="Calibri" w:hAnsi="Aptos" w:cs="Calibri"/>
          <w:color w:val="1A1A19"/>
          <w:sz w:val="20"/>
          <w:szCs w:val="20"/>
        </w:rPr>
        <w:lastRenderedPageBreak/>
        <w:t>Deux repères s’y lisent directement. Le point d’inflexion se situe autour du jalon J2, fin octobre : c’est le moment où la production devient plus rapide que la préparation, et donc le dernier moment utile pour corriger le périmètre. Et la pente entre J2 et J3 est la plus forte du projet, ce qui signifie qu’un retard pris sur cette portion se traduit immédiatement par un écart de valeur acquise important. Le suivi sera resserré sur cette période, conformément au traitement du risque RP1.</w:t>
      </w:r>
      <w:bookmarkEnd w:id="483"/>
    </w:p>
    <w:p w14:paraId="18746D88" w14:textId="77777777" w:rsidR="00F50D70" w:rsidRPr="00B36301" w:rsidRDefault="00000000" w:rsidP="008E113B">
      <w:pPr>
        <w:pStyle w:val="Titre2"/>
        <w:spacing w:line="360" w:lineRule="auto"/>
      </w:pPr>
      <w:bookmarkStart w:id="484" w:name="_Toc241083177"/>
      <w:r w:rsidRPr="00B36301">
        <w:t>Bordereau des prix et flux de trésorerie</w:t>
      </w:r>
      <w:bookmarkEnd w:id="484"/>
    </w:p>
    <w:p w14:paraId="459AB47A" w14:textId="77777777" w:rsidR="00F50D70" w:rsidRPr="00BE4F47" w:rsidRDefault="00000000" w:rsidP="008E113B">
      <w:pPr>
        <w:spacing w:after="130" w:line="360" w:lineRule="auto"/>
        <w:ind w:left="360"/>
        <w:rPr>
          <w:rFonts w:ascii="Aptos" w:hAnsi="Aptos"/>
        </w:rPr>
      </w:pPr>
      <w:bookmarkStart w:id="485" w:name="_Toc241083178"/>
      <w:r w:rsidRPr="00BE4F47">
        <w:rPr>
          <w:rFonts w:ascii="Aptos" w:eastAsia="Calibri" w:hAnsi="Aptos" w:cs="Calibri"/>
          <w:color w:val="1A1A19"/>
          <w:sz w:val="20"/>
          <w:szCs w:val="20"/>
        </w:rPr>
        <w:t>Le bordereau des prix est le document remis au client. Il diffère de la planification financière de la section 9 sur deux points : il porte des prix et non des coûts, et il fixe les moments où une somme devient exigible. Le modèle de facturation retenu est la facturation par jalon. Une somme n’est exigible que lorsque le livrable correspondant a été remis et accepté.</w:t>
      </w:r>
      <w:bookmarkEnd w:id="485"/>
    </w:p>
    <w:p w14:paraId="5B0A7D64" w14:textId="77777777" w:rsidR="00F50D70" w:rsidRPr="00BE4F47" w:rsidRDefault="00000000" w:rsidP="008E113B">
      <w:pPr>
        <w:spacing w:after="130" w:line="360" w:lineRule="auto"/>
        <w:ind w:left="360"/>
        <w:rPr>
          <w:rFonts w:ascii="Aptos" w:hAnsi="Aptos"/>
        </w:rPr>
      </w:pPr>
      <w:bookmarkStart w:id="486" w:name="_Toc241083179"/>
      <w:r w:rsidRPr="00BE4F47">
        <w:rPr>
          <w:rFonts w:ascii="Aptos" w:eastAsia="Calibri" w:hAnsi="Aptos" w:cs="Calibri"/>
          <w:color w:val="1A1A19"/>
          <w:sz w:val="20"/>
          <w:szCs w:val="20"/>
        </w:rPr>
        <w:t>Les montants ci-dessous répartissent le total du bordereau, 68 310 $, au prorata de l’effort de chaque phase. La réserve du propriétaire, 3 415,50 $, n’y figure pas : elle est conservée par le client et n’est facturée que si celui-ci décide d’un changement de périmètre.</w:t>
      </w:r>
      <w:bookmarkEnd w:id="486"/>
    </w:p>
    <w:p w14:paraId="3C7953B3" w14:textId="77777777" w:rsidR="00F50D70" w:rsidRPr="00BE4F47" w:rsidRDefault="00000000" w:rsidP="008E113B">
      <w:pPr>
        <w:pStyle w:val="Lgende"/>
        <w:spacing w:line="360" w:lineRule="auto"/>
        <w:rPr>
          <w:rFonts w:ascii="Aptos" w:hAnsi="Aptos"/>
        </w:rPr>
      </w:pPr>
      <w:bookmarkStart w:id="487" w:name="_Toc241083180"/>
      <w:r w:rsidRPr="00BE4F47">
        <w:rPr>
          <w:rFonts w:ascii="Aptos" w:hAnsi="Aptos"/>
        </w:rPr>
        <w:t>Tableau 10-2. Bordereau des prix et échéancier de facturation</w:t>
      </w:r>
      <w:bookmarkEnd w:id="487"/>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900"/>
        <w:gridCol w:w="3600"/>
        <w:gridCol w:w="1650"/>
        <w:gridCol w:w="1707"/>
      </w:tblGrid>
      <w:tr w:rsidR="00F50D70" w:rsidRPr="00BE4F47" w14:paraId="6889CDC4" w14:textId="77777777" w:rsidTr="008E113B">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58CC2D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Jalon</w:t>
            </w:r>
          </w:p>
        </w:tc>
        <w:tc>
          <w:tcPr>
            <w:tcW w:w="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41C3AA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Date</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A03E6F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Livrable conditionnant le paiement</w:t>
            </w:r>
          </w:p>
        </w:tc>
        <w:tc>
          <w:tcPr>
            <w:tcW w:w="16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2C1B0E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Montant exigible</w:t>
            </w:r>
          </w:p>
        </w:tc>
        <w:tc>
          <w:tcPr>
            <w:tcW w:w="170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BACA02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Cumul facturé</w:t>
            </w:r>
          </w:p>
        </w:tc>
      </w:tr>
      <w:tr w:rsidR="00F50D70" w:rsidRPr="00BE4F47" w14:paraId="32A7A9CA"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9A7B5D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J0</w:t>
            </w:r>
          </w:p>
        </w:tc>
        <w:tc>
          <w:tcPr>
            <w:tcW w:w="900" w:type="dxa"/>
            <w:tcBorders>
              <w:top w:val="single" w:sz="4" w:space="0" w:color="000000"/>
              <w:left w:val="single" w:sz="4" w:space="0" w:color="000000"/>
              <w:bottom w:val="single" w:sz="4" w:space="0" w:color="000000"/>
              <w:right w:val="single" w:sz="4" w:space="0" w:color="000000"/>
            </w:tcBorders>
          </w:tcPr>
          <w:p w14:paraId="01F8BB1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12 sept.</w:t>
            </w:r>
          </w:p>
        </w:tc>
        <w:tc>
          <w:tcPr>
            <w:tcW w:w="3600" w:type="dxa"/>
            <w:tcBorders>
              <w:top w:val="single" w:sz="4" w:space="0" w:color="000000"/>
              <w:left w:val="single" w:sz="4" w:space="0" w:color="000000"/>
              <w:bottom w:val="single" w:sz="4" w:space="0" w:color="000000"/>
              <w:right w:val="single" w:sz="4" w:space="0" w:color="000000"/>
            </w:tcBorders>
          </w:tcPr>
          <w:p w14:paraId="3E2D8EEF"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Plan de projet remis et accepté. Livrable L07.</w:t>
            </w:r>
          </w:p>
        </w:tc>
        <w:tc>
          <w:tcPr>
            <w:tcW w:w="1650" w:type="dxa"/>
            <w:tcBorders>
              <w:top w:val="single" w:sz="4" w:space="0" w:color="000000"/>
              <w:left w:val="single" w:sz="4" w:space="0" w:color="000000"/>
              <w:bottom w:val="single" w:sz="4" w:space="0" w:color="000000"/>
              <w:right w:val="single" w:sz="4" w:space="0" w:color="000000"/>
            </w:tcBorders>
          </w:tcPr>
          <w:p w14:paraId="74D1482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5 123,25 $</w:t>
            </w:r>
          </w:p>
        </w:tc>
        <w:tc>
          <w:tcPr>
            <w:tcW w:w="1707" w:type="dxa"/>
            <w:tcBorders>
              <w:top w:val="single" w:sz="4" w:space="0" w:color="000000"/>
              <w:left w:val="single" w:sz="4" w:space="0" w:color="000000"/>
              <w:bottom w:val="single" w:sz="4" w:space="0" w:color="000000"/>
              <w:right w:val="single" w:sz="4" w:space="0" w:color="000000"/>
            </w:tcBorders>
          </w:tcPr>
          <w:p w14:paraId="1BCA158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5 123,25 $</w:t>
            </w:r>
          </w:p>
        </w:tc>
      </w:tr>
      <w:tr w:rsidR="00F50D70" w:rsidRPr="00BE4F47" w14:paraId="0878C2AC"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5297F8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J1</w:t>
            </w:r>
          </w:p>
        </w:tc>
        <w:tc>
          <w:tcPr>
            <w:tcW w:w="900" w:type="dxa"/>
            <w:tcBorders>
              <w:top w:val="single" w:sz="4" w:space="0" w:color="000000"/>
              <w:left w:val="single" w:sz="4" w:space="0" w:color="000000"/>
              <w:bottom w:val="single" w:sz="4" w:space="0" w:color="000000"/>
              <w:right w:val="single" w:sz="4" w:space="0" w:color="000000"/>
            </w:tcBorders>
          </w:tcPr>
          <w:p w14:paraId="040D388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25 sept.</w:t>
            </w:r>
          </w:p>
        </w:tc>
        <w:tc>
          <w:tcPr>
            <w:tcW w:w="3600" w:type="dxa"/>
            <w:tcBorders>
              <w:top w:val="single" w:sz="4" w:space="0" w:color="000000"/>
              <w:left w:val="single" w:sz="4" w:space="0" w:color="000000"/>
              <w:bottom w:val="single" w:sz="4" w:space="0" w:color="000000"/>
              <w:right w:val="single" w:sz="4" w:space="0" w:color="000000"/>
            </w:tcBorders>
          </w:tcPr>
          <w:p w14:paraId="0A3E638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Cahier des charges, registre des exigences, GEMMA et structure de découpage. Livrables L03 et L04.</w:t>
            </w:r>
          </w:p>
        </w:tc>
        <w:tc>
          <w:tcPr>
            <w:tcW w:w="1650" w:type="dxa"/>
            <w:tcBorders>
              <w:top w:val="single" w:sz="4" w:space="0" w:color="000000"/>
              <w:left w:val="single" w:sz="4" w:space="0" w:color="000000"/>
              <w:bottom w:val="single" w:sz="4" w:space="0" w:color="000000"/>
              <w:right w:val="single" w:sz="4" w:space="0" w:color="000000"/>
            </w:tcBorders>
          </w:tcPr>
          <w:p w14:paraId="167C9BF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9 424,25 $</w:t>
            </w:r>
          </w:p>
        </w:tc>
        <w:tc>
          <w:tcPr>
            <w:tcW w:w="1707" w:type="dxa"/>
            <w:tcBorders>
              <w:top w:val="single" w:sz="4" w:space="0" w:color="000000"/>
              <w:left w:val="single" w:sz="4" w:space="0" w:color="000000"/>
              <w:bottom w:val="single" w:sz="4" w:space="0" w:color="000000"/>
              <w:right w:val="single" w:sz="4" w:space="0" w:color="000000"/>
            </w:tcBorders>
          </w:tcPr>
          <w:p w14:paraId="45772FF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14 547,50 $</w:t>
            </w:r>
          </w:p>
        </w:tc>
      </w:tr>
      <w:tr w:rsidR="00F50D70" w:rsidRPr="00BE4F47" w14:paraId="6625B78B"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1BD0F815"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J2</w:t>
            </w:r>
          </w:p>
        </w:tc>
        <w:tc>
          <w:tcPr>
            <w:tcW w:w="900" w:type="dxa"/>
            <w:tcBorders>
              <w:top w:val="single" w:sz="4" w:space="0" w:color="000000"/>
              <w:left w:val="single" w:sz="4" w:space="0" w:color="000000"/>
              <w:bottom w:val="single" w:sz="4" w:space="0" w:color="000000"/>
              <w:right w:val="single" w:sz="4" w:space="0" w:color="000000"/>
            </w:tcBorders>
          </w:tcPr>
          <w:p w14:paraId="3ACA0EE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23 oct.</w:t>
            </w:r>
          </w:p>
        </w:tc>
        <w:tc>
          <w:tcPr>
            <w:tcW w:w="3600" w:type="dxa"/>
            <w:tcBorders>
              <w:top w:val="single" w:sz="4" w:space="0" w:color="000000"/>
              <w:left w:val="single" w:sz="4" w:space="0" w:color="000000"/>
              <w:bottom w:val="single" w:sz="4" w:space="0" w:color="000000"/>
              <w:right w:val="single" w:sz="4" w:space="0" w:color="000000"/>
            </w:tcBorders>
          </w:tcPr>
          <w:p w14:paraId="74AB7701"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Dossier de conception préliminaire, modèle de référence validé, plan de V&amp;V. Livrable L05.</w:t>
            </w:r>
          </w:p>
        </w:tc>
        <w:tc>
          <w:tcPr>
            <w:tcW w:w="1650" w:type="dxa"/>
            <w:tcBorders>
              <w:top w:val="single" w:sz="4" w:space="0" w:color="000000"/>
              <w:left w:val="single" w:sz="4" w:space="0" w:color="000000"/>
              <w:bottom w:val="single" w:sz="4" w:space="0" w:color="000000"/>
              <w:right w:val="single" w:sz="4" w:space="0" w:color="000000"/>
            </w:tcBorders>
          </w:tcPr>
          <w:p w14:paraId="71016A8E"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14 547,50 $</w:t>
            </w:r>
          </w:p>
        </w:tc>
        <w:tc>
          <w:tcPr>
            <w:tcW w:w="1707" w:type="dxa"/>
            <w:tcBorders>
              <w:top w:val="single" w:sz="4" w:space="0" w:color="000000"/>
              <w:left w:val="single" w:sz="4" w:space="0" w:color="000000"/>
              <w:bottom w:val="single" w:sz="4" w:space="0" w:color="000000"/>
              <w:right w:val="single" w:sz="4" w:space="0" w:color="000000"/>
            </w:tcBorders>
          </w:tcPr>
          <w:p w14:paraId="5E61B9E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29 095,00 $</w:t>
            </w:r>
          </w:p>
        </w:tc>
      </w:tr>
      <w:tr w:rsidR="00F50D70" w:rsidRPr="00BE4F47" w14:paraId="56549D6F"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4FFF4D86"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J3</w:t>
            </w:r>
          </w:p>
        </w:tc>
        <w:tc>
          <w:tcPr>
            <w:tcW w:w="900" w:type="dxa"/>
            <w:tcBorders>
              <w:top w:val="single" w:sz="4" w:space="0" w:color="000000"/>
              <w:left w:val="single" w:sz="4" w:space="0" w:color="000000"/>
              <w:bottom w:val="single" w:sz="4" w:space="0" w:color="000000"/>
              <w:right w:val="single" w:sz="4" w:space="0" w:color="000000"/>
            </w:tcBorders>
          </w:tcPr>
          <w:p w14:paraId="104DFB7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 nov.</w:t>
            </w:r>
          </w:p>
        </w:tc>
        <w:tc>
          <w:tcPr>
            <w:tcW w:w="3600" w:type="dxa"/>
            <w:tcBorders>
              <w:top w:val="single" w:sz="4" w:space="0" w:color="000000"/>
              <w:left w:val="single" w:sz="4" w:space="0" w:color="000000"/>
              <w:bottom w:val="single" w:sz="4" w:space="0" w:color="000000"/>
              <w:right w:val="single" w:sz="4" w:space="0" w:color="000000"/>
            </w:tcBorders>
          </w:tcPr>
          <w:p w14:paraId="1AB44897"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Prototype du jumeau et interface d’aide à la décision. Livrables L01 et L02.</w:t>
            </w:r>
          </w:p>
        </w:tc>
        <w:tc>
          <w:tcPr>
            <w:tcW w:w="1650" w:type="dxa"/>
            <w:tcBorders>
              <w:top w:val="single" w:sz="4" w:space="0" w:color="000000"/>
              <w:left w:val="single" w:sz="4" w:space="0" w:color="000000"/>
              <w:bottom w:val="single" w:sz="4" w:space="0" w:color="000000"/>
              <w:right w:val="single" w:sz="4" w:space="0" w:color="000000"/>
            </w:tcBorders>
          </w:tcPr>
          <w:p w14:paraId="11518C3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21 315,25 $</w:t>
            </w:r>
          </w:p>
        </w:tc>
        <w:tc>
          <w:tcPr>
            <w:tcW w:w="1707" w:type="dxa"/>
            <w:tcBorders>
              <w:top w:val="single" w:sz="4" w:space="0" w:color="000000"/>
              <w:left w:val="single" w:sz="4" w:space="0" w:color="000000"/>
              <w:bottom w:val="single" w:sz="4" w:space="0" w:color="000000"/>
              <w:right w:val="single" w:sz="4" w:space="0" w:color="000000"/>
            </w:tcBorders>
          </w:tcPr>
          <w:p w14:paraId="007CFF2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50 410,25 $</w:t>
            </w:r>
          </w:p>
        </w:tc>
      </w:tr>
      <w:tr w:rsidR="00F50D70" w:rsidRPr="00BE4F47" w14:paraId="3ACDB27A"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7287C4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J4</w:t>
            </w:r>
          </w:p>
        </w:tc>
        <w:tc>
          <w:tcPr>
            <w:tcW w:w="900" w:type="dxa"/>
            <w:tcBorders>
              <w:top w:val="single" w:sz="4" w:space="0" w:color="000000"/>
              <w:left w:val="single" w:sz="4" w:space="0" w:color="000000"/>
              <w:bottom w:val="single" w:sz="4" w:space="0" w:color="000000"/>
              <w:right w:val="single" w:sz="4" w:space="0" w:color="000000"/>
            </w:tcBorders>
          </w:tcPr>
          <w:p w14:paraId="373368C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déc.</w:t>
            </w:r>
          </w:p>
        </w:tc>
        <w:tc>
          <w:tcPr>
            <w:tcW w:w="3600" w:type="dxa"/>
            <w:tcBorders>
              <w:top w:val="single" w:sz="4" w:space="0" w:color="000000"/>
              <w:left w:val="single" w:sz="4" w:space="0" w:color="000000"/>
              <w:bottom w:val="single" w:sz="4" w:space="0" w:color="000000"/>
              <w:right w:val="single" w:sz="4" w:space="0" w:color="000000"/>
            </w:tcBorders>
          </w:tcPr>
          <w:p w14:paraId="4A47B01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Rapport d’essais et résultats de validation. Livrable L06.</w:t>
            </w:r>
          </w:p>
        </w:tc>
        <w:tc>
          <w:tcPr>
            <w:tcW w:w="1650" w:type="dxa"/>
            <w:tcBorders>
              <w:top w:val="single" w:sz="4" w:space="0" w:color="000000"/>
              <w:left w:val="single" w:sz="4" w:space="0" w:color="000000"/>
              <w:bottom w:val="single" w:sz="4" w:space="0" w:color="000000"/>
              <w:right w:val="single" w:sz="4" w:space="0" w:color="000000"/>
            </w:tcBorders>
          </w:tcPr>
          <w:p w14:paraId="3B3AA690"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11 132,00 $</w:t>
            </w:r>
          </w:p>
        </w:tc>
        <w:tc>
          <w:tcPr>
            <w:tcW w:w="1707" w:type="dxa"/>
            <w:tcBorders>
              <w:top w:val="single" w:sz="4" w:space="0" w:color="000000"/>
              <w:left w:val="single" w:sz="4" w:space="0" w:color="000000"/>
              <w:bottom w:val="single" w:sz="4" w:space="0" w:color="000000"/>
              <w:right w:val="single" w:sz="4" w:space="0" w:color="000000"/>
            </w:tcBorders>
          </w:tcPr>
          <w:p w14:paraId="5414BE19"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61 542,25 $</w:t>
            </w:r>
          </w:p>
        </w:tc>
      </w:tr>
      <w:tr w:rsidR="00F50D70" w:rsidRPr="00BE4F47" w14:paraId="3AE10A81"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044D3A8"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J5</w:t>
            </w:r>
          </w:p>
        </w:tc>
        <w:tc>
          <w:tcPr>
            <w:tcW w:w="900" w:type="dxa"/>
            <w:tcBorders>
              <w:top w:val="single" w:sz="4" w:space="0" w:color="000000"/>
              <w:left w:val="single" w:sz="4" w:space="0" w:color="000000"/>
              <w:bottom w:val="single" w:sz="4" w:space="0" w:color="000000"/>
              <w:right w:val="single" w:sz="4" w:space="0" w:color="000000"/>
            </w:tcBorders>
          </w:tcPr>
          <w:p w14:paraId="6B7885A2"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18 déc.</w:t>
            </w:r>
          </w:p>
        </w:tc>
        <w:tc>
          <w:tcPr>
            <w:tcW w:w="3600" w:type="dxa"/>
            <w:tcBorders>
              <w:top w:val="single" w:sz="4" w:space="0" w:color="000000"/>
              <w:left w:val="single" w:sz="4" w:space="0" w:color="000000"/>
              <w:bottom w:val="single" w:sz="4" w:space="0" w:color="000000"/>
              <w:right w:val="single" w:sz="4" w:space="0" w:color="000000"/>
            </w:tcBorders>
          </w:tcPr>
          <w:p w14:paraId="09AB7B23"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Recommandation d’ingénierie, rapport final, présentation. Livrables L08 et L09.</w:t>
            </w:r>
          </w:p>
        </w:tc>
        <w:tc>
          <w:tcPr>
            <w:tcW w:w="1650" w:type="dxa"/>
            <w:tcBorders>
              <w:top w:val="single" w:sz="4" w:space="0" w:color="000000"/>
              <w:left w:val="single" w:sz="4" w:space="0" w:color="000000"/>
              <w:bottom w:val="single" w:sz="4" w:space="0" w:color="000000"/>
              <w:right w:val="single" w:sz="4" w:space="0" w:color="000000"/>
            </w:tcBorders>
          </w:tcPr>
          <w:p w14:paraId="129FA324"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6 767,75 $</w:t>
            </w:r>
          </w:p>
        </w:tc>
        <w:tc>
          <w:tcPr>
            <w:tcW w:w="1707" w:type="dxa"/>
            <w:tcBorders>
              <w:top w:val="single" w:sz="4" w:space="0" w:color="000000"/>
              <w:left w:val="single" w:sz="4" w:space="0" w:color="000000"/>
              <w:bottom w:val="single" w:sz="4" w:space="0" w:color="000000"/>
              <w:right w:val="single" w:sz="4" w:space="0" w:color="000000"/>
            </w:tcBorders>
          </w:tcPr>
          <w:p w14:paraId="1142631D"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68 310,00 $</w:t>
            </w:r>
          </w:p>
        </w:tc>
      </w:tr>
      <w:tr w:rsidR="00F50D70" w:rsidRPr="00BE4F47" w14:paraId="46E8D322"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65CCED4"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c>
          <w:tcPr>
            <w:tcW w:w="900" w:type="dxa"/>
            <w:tcBorders>
              <w:top w:val="single" w:sz="4" w:space="0" w:color="000000"/>
              <w:left w:val="single" w:sz="4" w:space="0" w:color="000000"/>
              <w:bottom w:val="single" w:sz="4" w:space="0" w:color="000000"/>
              <w:right w:val="single" w:sz="4" w:space="0" w:color="000000"/>
            </w:tcBorders>
          </w:tcPr>
          <w:p w14:paraId="11777E4C"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Total</w:t>
            </w:r>
          </w:p>
        </w:tc>
        <w:tc>
          <w:tcPr>
            <w:tcW w:w="3600" w:type="dxa"/>
            <w:tcBorders>
              <w:top w:val="single" w:sz="4" w:space="0" w:color="000000"/>
              <w:left w:val="single" w:sz="4" w:space="0" w:color="000000"/>
              <w:bottom w:val="single" w:sz="4" w:space="0" w:color="000000"/>
              <w:right w:val="single" w:sz="4" w:space="0" w:color="000000"/>
            </w:tcBorders>
          </w:tcPr>
          <w:p w14:paraId="3034F6F0"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c>
          <w:tcPr>
            <w:tcW w:w="1650" w:type="dxa"/>
            <w:tcBorders>
              <w:top w:val="single" w:sz="4" w:space="0" w:color="000000"/>
              <w:left w:val="single" w:sz="4" w:space="0" w:color="000000"/>
              <w:bottom w:val="single" w:sz="4" w:space="0" w:color="000000"/>
              <w:right w:val="single" w:sz="4" w:space="0" w:color="000000"/>
            </w:tcBorders>
          </w:tcPr>
          <w:p w14:paraId="7AF21A0B" w14:textId="77777777" w:rsidR="00F50D70" w:rsidRPr="00BE4F47" w:rsidRDefault="00000000"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68 310,00 $</w:t>
            </w:r>
          </w:p>
        </w:tc>
        <w:tc>
          <w:tcPr>
            <w:tcW w:w="1707" w:type="dxa"/>
            <w:tcBorders>
              <w:top w:val="single" w:sz="4" w:space="0" w:color="000000"/>
              <w:left w:val="single" w:sz="4" w:space="0" w:color="000000"/>
              <w:bottom w:val="single" w:sz="4" w:space="0" w:color="000000"/>
              <w:right w:val="single" w:sz="4" w:space="0" w:color="000000"/>
            </w:tcBorders>
          </w:tcPr>
          <w:p w14:paraId="34DE156D"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bl>
    <w:p w14:paraId="6CF8A5B4" w14:textId="77777777" w:rsidR="00F50D70" w:rsidRPr="00BE4F47" w:rsidRDefault="00000000" w:rsidP="008E113B">
      <w:pPr>
        <w:spacing w:after="130" w:line="360" w:lineRule="auto"/>
        <w:ind w:left="360"/>
        <w:rPr>
          <w:rFonts w:ascii="Aptos" w:hAnsi="Aptos"/>
        </w:rPr>
      </w:pPr>
      <w:bookmarkStart w:id="488" w:name="_Toc241083181"/>
      <w:r w:rsidRPr="00BE4F47">
        <w:rPr>
          <w:rFonts w:ascii="Aptos" w:eastAsia="Calibri" w:hAnsi="Aptos" w:cs="Calibri"/>
          <w:color w:val="1A1A19"/>
          <w:sz w:val="20"/>
          <w:szCs w:val="20"/>
        </w:rPr>
        <w:t>Le flux de trésorerie qui en découle est défavorable à l’équipe en début de mandat et le redevient à la fin. Au jalon J2, l’équipe a facturé 29 095 $ pour un coût engagé de 23 000 $, soit une position positive. Au jalon J3, elle a facturé 50 410 $ pour 39 850 $ engagés. L’écart entre les deux courbes est la marge, reconnue au fur et à mesure et non à la fin. C’est l’intérêt de la facturation par jalon : elle évite que l’équipe finance le mandat sur ses propres fonds jusqu’à la livraison finale.</w:t>
      </w:r>
      <w:bookmarkEnd w:id="488"/>
    </w:p>
    <w:p w14:paraId="19F9C8E1" w14:textId="77777777" w:rsidR="00F50D70" w:rsidRPr="00BE4F47" w:rsidRDefault="00000000" w:rsidP="008E113B">
      <w:pPr>
        <w:pStyle w:val="Titre4"/>
        <w:spacing w:line="360" w:lineRule="auto"/>
        <w:rPr>
          <w:rFonts w:eastAsia="DengXian Light"/>
          <w:color w:val="2F5496"/>
          <w:sz w:val="32"/>
          <w:szCs w:val="32"/>
          <w:lang w:eastAsia="en-US"/>
        </w:rPr>
      </w:pPr>
      <w:r w:rsidRPr="00BE4F47">
        <w:rPr>
          <w:lang w:eastAsia="en-US"/>
        </w:rPr>
        <w:t>Conclusion</w:t>
      </w:r>
    </w:p>
    <w:p w14:paraId="1E9C152A" w14:textId="77777777" w:rsidR="00F50D70" w:rsidRPr="00BE4F47" w:rsidRDefault="00000000" w:rsidP="008E113B">
      <w:pPr>
        <w:spacing w:after="130" w:line="360" w:lineRule="auto"/>
        <w:ind w:left="360"/>
        <w:rPr>
          <w:rFonts w:ascii="Aptos" w:hAnsi="Aptos"/>
        </w:rPr>
      </w:pPr>
      <w:bookmarkStart w:id="489" w:name="_Toc241083182"/>
      <w:r w:rsidRPr="00BE4F47">
        <w:rPr>
          <w:rFonts w:ascii="Aptos" w:eastAsia="Calibri" w:hAnsi="Aptos" w:cs="Calibri"/>
          <w:color w:val="1A1A19"/>
          <w:sz w:val="20"/>
          <w:szCs w:val="20"/>
        </w:rPr>
        <w:t xml:space="preserve">Le plan de projet avait trois objets : établir ce que le client attend, décider comment l’équipe compte y répondre, et chiffrer ce que cela demande en temps et en argent. Les onze sections qui précèdent y répondent, et l’objectif directeur énoncé à la section 1 en donne le fil : démontrer qu’un jumeau </w:t>
      </w:r>
      <w:r w:rsidRPr="00BE4F47">
        <w:rPr>
          <w:rFonts w:ascii="Aptos" w:eastAsia="Calibri" w:hAnsi="Aptos" w:cs="Calibri"/>
          <w:color w:val="1A1A19"/>
          <w:sz w:val="20"/>
          <w:szCs w:val="20"/>
        </w:rPr>
        <w:lastRenderedPageBreak/>
        <w:t xml:space="preserve">numérique d’une boucle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simplifiée peut détecter une dérive, dire avec quelle confiance, et déclarer son incertitude au lieu de conclure à tort.</w:t>
      </w:r>
      <w:bookmarkEnd w:id="489"/>
    </w:p>
    <w:p w14:paraId="64E4B34A" w14:textId="77777777" w:rsidR="00F50D70" w:rsidRPr="00BE4F47" w:rsidRDefault="00000000" w:rsidP="008E113B">
      <w:pPr>
        <w:spacing w:after="130" w:line="360" w:lineRule="auto"/>
        <w:ind w:left="360"/>
        <w:rPr>
          <w:rFonts w:ascii="Aptos" w:hAnsi="Aptos"/>
        </w:rPr>
      </w:pPr>
      <w:bookmarkStart w:id="490" w:name="_Toc241083183"/>
      <w:r w:rsidRPr="00BE4F47">
        <w:rPr>
          <w:rFonts w:ascii="Aptos" w:eastAsia="Calibri" w:hAnsi="Aptos" w:cs="Calibri"/>
          <w:color w:val="1A1A19"/>
          <w:sz w:val="20"/>
          <w:szCs w:val="20"/>
        </w:rPr>
        <w:t>Ce plan repose sur quatre hypothèses dont tout le reste dépend. L’enveloppe de 1 080 heures est une contrainte du mandat et non une estimation ; si elle change, tout le chiffrage change. Aucun banc d’essai physique n’est disponible, et le système de référence est un second modèle numérique développé indépendamment. Le taux de 50,00 $ l’heure est un coût de revient et non un prix facturé, ce qui permet au mandat de dégager une marge. Et les huit membres restent disponibles pendant tout le trimestre. Le registre complet figure à la section 8.</w:t>
      </w:r>
      <w:bookmarkEnd w:id="490"/>
    </w:p>
    <w:p w14:paraId="34BEFF37" w14:textId="77777777" w:rsidR="00F50D70" w:rsidRPr="00BE4F47" w:rsidRDefault="00000000" w:rsidP="008E113B">
      <w:pPr>
        <w:spacing w:after="130" w:line="360" w:lineRule="auto"/>
        <w:ind w:left="360"/>
        <w:rPr>
          <w:rFonts w:ascii="Aptos" w:hAnsi="Aptos"/>
        </w:rPr>
      </w:pPr>
      <w:bookmarkStart w:id="491" w:name="_Toc241083184"/>
      <w:r w:rsidRPr="00BE4F47">
        <w:rPr>
          <w:rFonts w:ascii="Aptos" w:eastAsia="Calibri" w:hAnsi="Aptos" w:cs="Calibri"/>
          <w:color w:val="1A1A19"/>
          <w:sz w:val="20"/>
          <w:szCs w:val="20"/>
        </w:rPr>
        <w:t>L’équipe formule quatre recommandations. Accepter le mandat dans le périmètre défini, en tenant l’exclusion de toute commande automatique pour ce qu’elle est : une décision de conception, non une limite technique. Conserver le banc d’essai numérique plutôt qu’une boucle physique, parce qu’un banc physique ferait basculer le projet dans une autre classe de budget. Geler les exigences au jalon J1, parce que la planification financière montre que près des trois quarts du budget sont engagés avant le jalon J3. Et maintenir les activités de vérification et de validation avant toute réduction de contenu, en réduisant d’abord les rangs 7 et 8 de la priorisation de la section 1.</w:t>
      </w:r>
      <w:bookmarkEnd w:id="491"/>
    </w:p>
    <w:p w14:paraId="1E51B8F3" w14:textId="77777777" w:rsidR="00F50D70" w:rsidRPr="00BE4F47" w:rsidRDefault="00000000" w:rsidP="008E113B">
      <w:pPr>
        <w:spacing w:after="130" w:line="360" w:lineRule="auto"/>
        <w:ind w:left="360"/>
        <w:rPr>
          <w:rFonts w:ascii="Aptos" w:hAnsi="Aptos"/>
        </w:rPr>
      </w:pPr>
      <w:bookmarkStart w:id="492" w:name="_Toc241083185"/>
      <w:r w:rsidRPr="00BE4F47">
        <w:rPr>
          <w:rFonts w:ascii="Aptos" w:eastAsia="Calibri" w:hAnsi="Aptos" w:cs="Calibri"/>
          <w:color w:val="1A1A19"/>
          <w:sz w:val="20"/>
          <w:szCs w:val="20"/>
        </w:rPr>
        <w:t>Sur la faisabilité, l’avis de l’équipe est favorable, et il est assorti de conditions. Le projet est réalisable dans l’enveloppe de 1 080 heures pour le périmètre inclus, soit la boucle simplifiée, les trois variables de procédé, la détection de dérive, la quantification de l’incertitude et l’interface d’aide à la décision. Il ne l’est pas si le périmètre s’étend à un écoulement diphasique, à des données d’exploitation réelles, à un fonctionnement en temps réel ou à une commande de l’installation. Les trois conditions de réussite sont le gel des exigences au jalon J1, le maintien de l’effectif, et l’acceptation par le client du domaine de validité énoncé à la section 2.</w:t>
      </w:r>
      <w:bookmarkEnd w:id="492"/>
    </w:p>
    <w:p w14:paraId="4030FF32" w14:textId="77777777" w:rsidR="00F50D70" w:rsidRPr="00BE4F47" w:rsidRDefault="00000000" w:rsidP="008E113B">
      <w:pPr>
        <w:spacing w:after="130" w:line="360" w:lineRule="auto"/>
        <w:ind w:left="360"/>
        <w:rPr>
          <w:rFonts w:ascii="Aptos" w:hAnsi="Aptos"/>
        </w:rPr>
      </w:pPr>
      <w:bookmarkStart w:id="493" w:name="_Toc241083186"/>
      <w:r w:rsidRPr="00BE4F47">
        <w:rPr>
          <w:rFonts w:ascii="Aptos" w:eastAsia="Calibri" w:hAnsi="Aptos" w:cs="Calibri"/>
          <w:color w:val="1A1A19"/>
          <w:sz w:val="20"/>
          <w:szCs w:val="20"/>
        </w:rPr>
        <w:t>La suite du travail est déjà cadrée. Le jalon J1 produit le cahier des charges fonctionnel et reclasse l’estimation de coûts en classe 4, ce qui resserrera la fourchette actuelle. Le jalon J2 fixe l’architecture et le plan de vérification et de validation. Le rapport d’ingénierie des concepts reprendra la gestion des risques au stade de la mitigation, que le présent plan n’avait pas à détailler. Enfin, l’échéancier et la courbe en S de la section 10 seront mis à jour à chaque jalon, de sorte que l’écart entre ce qui était prévu et ce qui est fait reste mesurable tout au long du mandat plutôt que constaté à la fin.</w:t>
      </w:r>
      <w:bookmarkEnd w:id="493"/>
    </w:p>
    <w:p w14:paraId="32BAEE7E" w14:textId="77777777" w:rsidR="00F50D70" w:rsidRPr="00B36301" w:rsidRDefault="00000000" w:rsidP="008E113B">
      <w:pPr>
        <w:pStyle w:val="Titre1"/>
        <w:spacing w:line="360" w:lineRule="auto"/>
      </w:pPr>
      <w:bookmarkStart w:id="494" w:name="__RefHeading___Toc240715289"/>
      <w:bookmarkStart w:id="495" w:name="_Toc241083187"/>
      <w:bookmarkEnd w:id="494"/>
      <w:r w:rsidRPr="00B36301">
        <w:t>Références pertinentes au projet</w:t>
      </w:r>
      <w:bookmarkEnd w:id="495"/>
    </w:p>
    <w:p w14:paraId="485C1CA2" w14:textId="77777777" w:rsidR="00F50D70" w:rsidRPr="00BE4F47" w:rsidRDefault="00000000" w:rsidP="008E113B">
      <w:pPr>
        <w:spacing w:after="130" w:line="360" w:lineRule="auto"/>
        <w:ind w:left="360"/>
        <w:rPr>
          <w:rFonts w:ascii="Aptos" w:hAnsi="Aptos"/>
        </w:rPr>
      </w:pPr>
      <w:bookmarkStart w:id="496" w:name="_Toc241083188"/>
      <w:r w:rsidRPr="00BE4F47">
        <w:rPr>
          <w:rFonts w:ascii="Aptos" w:eastAsia="Calibri" w:hAnsi="Aptos" w:cs="Calibri"/>
          <w:color w:val="1A1A19"/>
          <w:sz w:val="20"/>
          <w:szCs w:val="20"/>
        </w:rPr>
        <w:t>Les sources citées dans les dix sections précédentes sont rassemblées ici. Elles sont numérotées selon leur ordre d’apparition dans le document et le même numéro désigne partout la même source.</w:t>
      </w:r>
      <w:bookmarkEnd w:id="496"/>
    </w:p>
    <w:p w14:paraId="10C349EC" w14:textId="77777777" w:rsidR="00F50D70" w:rsidRPr="00BE4F47" w:rsidRDefault="00000000" w:rsidP="008E113B">
      <w:pPr>
        <w:spacing w:after="130" w:line="360" w:lineRule="auto"/>
        <w:ind w:left="360"/>
        <w:rPr>
          <w:rFonts w:ascii="Aptos" w:hAnsi="Aptos"/>
        </w:rPr>
      </w:pPr>
      <w:bookmarkStart w:id="497" w:name="_Toc241083189"/>
      <w:r w:rsidRPr="00BE4F47">
        <w:rPr>
          <w:rFonts w:ascii="Aptos" w:eastAsia="Calibri" w:hAnsi="Aptos" w:cs="Calibri"/>
          <w:color w:val="1A1A19"/>
          <w:sz w:val="20"/>
          <w:szCs w:val="20"/>
        </w:rPr>
        <w:t>Le style de citation est celui de l’IEEE. Les liens ont été vérifiés le 20 septembre 2026.</w:t>
      </w:r>
      <w:bookmarkEnd w:id="497"/>
    </w:p>
    <w:p w14:paraId="2EF798C2" w14:textId="77777777" w:rsidR="00F50D70" w:rsidRPr="00BE4F47" w:rsidRDefault="00000000" w:rsidP="008E113B">
      <w:pPr>
        <w:spacing w:after="80" w:line="360" w:lineRule="auto"/>
        <w:ind w:left="480" w:hanging="480"/>
        <w:jc w:val="left"/>
        <w:rPr>
          <w:rFonts w:ascii="Aptos" w:hAnsi="Aptos"/>
        </w:rPr>
      </w:pPr>
      <w:bookmarkStart w:id="498" w:name="_Toc241083190"/>
      <w:r w:rsidRPr="00BE4F47">
        <w:rPr>
          <w:rFonts w:ascii="Aptos" w:eastAsia="Calibri" w:hAnsi="Aptos" w:cs="Calibri"/>
          <w:color w:val="1A1A19"/>
          <w:sz w:val="20"/>
          <w:szCs w:val="20"/>
        </w:rPr>
        <w:lastRenderedPageBreak/>
        <w:t>[1</w:t>
      </w:r>
      <w:proofErr w:type="gramStart"/>
      <w:r w:rsidRPr="00BE4F47">
        <w:rPr>
          <w:rFonts w:ascii="Aptos" w:eastAsia="Calibri" w:hAnsi="Aptos" w:cs="Calibri"/>
          <w:color w:val="1A1A19"/>
          <w:sz w:val="20"/>
          <w:szCs w:val="20"/>
        </w:rPr>
        <w:t>]  Commission</w:t>
      </w:r>
      <w:proofErr w:type="gramEnd"/>
      <w:r w:rsidRPr="00BE4F47">
        <w:rPr>
          <w:rFonts w:ascii="Aptos" w:eastAsia="Calibri" w:hAnsi="Aptos" w:cs="Calibri"/>
          <w:color w:val="1A1A19"/>
          <w:sz w:val="20"/>
          <w:szCs w:val="20"/>
        </w:rPr>
        <w:t xml:space="preserve"> canadienne de sûreté nucléaire, REGDOC-2.5.2, Conception d’installations dotées de réacteurs : centrales nucléaires, version 2.1.  </w:t>
      </w:r>
      <w:hyperlink r:id="rId16">
        <w:r w:rsidR="00F50D70" w:rsidRPr="00BE4F47">
          <w:rPr>
            <w:rFonts w:ascii="Aptos" w:hAnsi="Aptos"/>
            <w:color w:val="1155CC"/>
            <w:sz w:val="18"/>
            <w:u w:val="single"/>
          </w:rPr>
          <w:t>https://www.cnsc-ccsn.gc.ca/fra/acts-and-regulations/regulatory-documents/published/html/regdoc2-5-2-v2-1/</w:t>
        </w:r>
        <w:bookmarkEnd w:id="498"/>
      </w:hyperlink>
    </w:p>
    <w:p w14:paraId="6BAC22E4" w14:textId="77777777" w:rsidR="00F50D70" w:rsidRPr="00BE4F47" w:rsidRDefault="00000000" w:rsidP="008E113B">
      <w:pPr>
        <w:spacing w:after="80" w:line="360" w:lineRule="auto"/>
        <w:ind w:left="480" w:hanging="480"/>
        <w:jc w:val="left"/>
        <w:rPr>
          <w:rFonts w:ascii="Aptos" w:hAnsi="Aptos"/>
          <w:lang w:val="en-CA"/>
        </w:rPr>
      </w:pPr>
      <w:bookmarkStart w:id="499" w:name="_Toc241083191"/>
      <w:r w:rsidRPr="00BE4F47">
        <w:rPr>
          <w:rFonts w:ascii="Aptos" w:eastAsia="Calibri" w:hAnsi="Aptos" w:cs="Calibri"/>
          <w:color w:val="1A1A19"/>
          <w:sz w:val="20"/>
          <w:szCs w:val="20"/>
        </w:rPr>
        <w:t>[2</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/IEC/IEEE 12207:2026, Ingénierie des systèmes et du logiciel, Processus du cycle de vie du logiciel.  </w:t>
      </w:r>
      <w:hyperlink r:id="rId17">
        <w:r w:rsidR="00F50D70" w:rsidRPr="00BE4F47">
          <w:rPr>
            <w:rFonts w:ascii="Aptos" w:hAnsi="Aptos"/>
            <w:color w:val="1155CC"/>
            <w:sz w:val="18"/>
            <w:u w:val="single"/>
            <w:lang w:val="en-CA"/>
          </w:rPr>
          <w:t>https://www.iso.org/fr/standard/90219.html</w:t>
        </w:r>
        <w:bookmarkEnd w:id="499"/>
      </w:hyperlink>
    </w:p>
    <w:p w14:paraId="45C36B8E" w14:textId="77777777" w:rsidR="00F50D70" w:rsidRPr="00BE4F47" w:rsidRDefault="00000000" w:rsidP="008E113B">
      <w:pPr>
        <w:spacing w:after="80" w:line="360" w:lineRule="auto"/>
        <w:ind w:left="480" w:hanging="480"/>
        <w:jc w:val="left"/>
        <w:rPr>
          <w:rFonts w:ascii="Aptos" w:hAnsi="Aptos"/>
          <w:lang w:val="en-CA"/>
        </w:rPr>
      </w:pPr>
      <w:bookmarkStart w:id="500" w:name="_Toc241083192"/>
      <w:r w:rsidRPr="00BE4F47">
        <w:rPr>
          <w:rFonts w:ascii="Aptos" w:eastAsia="Calibri" w:hAnsi="Aptos" w:cs="Calibri"/>
          <w:color w:val="1A1A19"/>
          <w:sz w:val="20"/>
          <w:szCs w:val="20"/>
          <w:lang w:val="en-CA"/>
        </w:rPr>
        <w:t>[3</w:t>
      </w:r>
      <w:proofErr w:type="gramStart"/>
      <w:r w:rsidRPr="00BE4F47">
        <w:rPr>
          <w:rFonts w:ascii="Aptos" w:eastAsia="Calibri" w:hAnsi="Aptos" w:cs="Calibri"/>
          <w:color w:val="1A1A19"/>
          <w:sz w:val="20"/>
          <w:szCs w:val="20"/>
          <w:lang w:val="en-CA"/>
        </w:rPr>
        <w:t>]  M.</w:t>
      </w:r>
      <w:proofErr w:type="gramEnd"/>
      <w:r w:rsidRPr="00BE4F47">
        <w:rPr>
          <w:rFonts w:ascii="Aptos" w:eastAsia="Calibri" w:hAnsi="Aptos" w:cs="Calibri"/>
          <w:color w:val="1A1A19"/>
          <w:sz w:val="20"/>
          <w:szCs w:val="20"/>
          <w:lang w:val="en-CA"/>
        </w:rPr>
        <w:t xml:space="preserve"> Hu et al., « Current status of digital twin architecture and application in nuclear energy field », Annals of Nuclear Energy, vol. 202, art. 110491, 2024.  </w:t>
      </w:r>
      <w:hyperlink r:id="rId18">
        <w:r w:rsidR="00F50D70" w:rsidRPr="00BE4F47">
          <w:rPr>
            <w:rFonts w:ascii="Aptos" w:hAnsi="Aptos"/>
            <w:color w:val="1155CC"/>
            <w:sz w:val="18"/>
            <w:u w:val="single"/>
            <w:lang w:val="en-CA"/>
          </w:rPr>
          <w:t>https://doi.org/10.1016/j.anucene.2024.110491</w:t>
        </w:r>
        <w:bookmarkEnd w:id="500"/>
      </w:hyperlink>
    </w:p>
    <w:p w14:paraId="7502019F" w14:textId="77777777" w:rsidR="00F50D70" w:rsidRPr="00BE4F47" w:rsidRDefault="00000000" w:rsidP="008E113B">
      <w:pPr>
        <w:spacing w:after="80" w:line="360" w:lineRule="auto"/>
        <w:ind w:left="480" w:hanging="480"/>
        <w:jc w:val="left"/>
        <w:rPr>
          <w:rFonts w:ascii="Aptos" w:hAnsi="Aptos"/>
          <w:lang w:val="en-CA"/>
        </w:rPr>
      </w:pPr>
      <w:bookmarkStart w:id="501" w:name="_Toc241083193"/>
      <w:r w:rsidRPr="00BE4F47">
        <w:rPr>
          <w:rFonts w:ascii="Aptos" w:eastAsia="Calibri" w:hAnsi="Aptos" w:cs="Calibri"/>
          <w:color w:val="1A1A19"/>
          <w:sz w:val="20"/>
          <w:szCs w:val="20"/>
          <w:lang w:val="en-CA"/>
        </w:rPr>
        <w:t>[4</w:t>
      </w:r>
      <w:proofErr w:type="gramStart"/>
      <w:r w:rsidRPr="00BE4F47">
        <w:rPr>
          <w:rFonts w:ascii="Aptos" w:eastAsia="Calibri" w:hAnsi="Aptos" w:cs="Calibri"/>
          <w:color w:val="1A1A19"/>
          <w:sz w:val="20"/>
          <w:szCs w:val="20"/>
          <w:lang w:val="en-CA"/>
        </w:rPr>
        <w:t>]  Q.</w:t>
      </w:r>
      <w:proofErr w:type="gramEnd"/>
      <w:r w:rsidRPr="00BE4F47">
        <w:rPr>
          <w:rFonts w:ascii="Aptos" w:eastAsia="Calibri" w:hAnsi="Aptos" w:cs="Calibri"/>
          <w:color w:val="1A1A19"/>
          <w:sz w:val="20"/>
          <w:szCs w:val="20"/>
          <w:lang w:val="en-CA"/>
        </w:rPr>
        <w:t xml:space="preserve"> Huang et al., « Shaping the future of nuclear reactors with digital twins: current developments and perspectives », Applied Energy, vol. 402, art. 126922, 2025.  </w:t>
      </w:r>
      <w:hyperlink r:id="rId19">
        <w:r w:rsidR="00F50D70" w:rsidRPr="00BE4F47">
          <w:rPr>
            <w:rFonts w:ascii="Aptos" w:hAnsi="Aptos"/>
            <w:color w:val="1155CC"/>
            <w:sz w:val="18"/>
            <w:u w:val="single"/>
            <w:lang w:val="en-CA"/>
          </w:rPr>
          <w:t>https://doi.org/10.1016/j.apenergy.2025.126922</w:t>
        </w:r>
        <w:bookmarkEnd w:id="501"/>
      </w:hyperlink>
    </w:p>
    <w:p w14:paraId="69052533" w14:textId="77777777" w:rsidR="00F50D70" w:rsidRPr="00BE4F47" w:rsidRDefault="00000000" w:rsidP="008E113B">
      <w:pPr>
        <w:spacing w:after="80" w:line="360" w:lineRule="auto"/>
        <w:ind w:left="480" w:hanging="480"/>
        <w:jc w:val="left"/>
        <w:rPr>
          <w:rFonts w:ascii="Aptos" w:hAnsi="Aptos"/>
          <w:lang w:val="en-CA"/>
        </w:rPr>
      </w:pPr>
      <w:bookmarkStart w:id="502" w:name="_Toc241083194"/>
      <w:r w:rsidRPr="00BE4F47">
        <w:rPr>
          <w:rFonts w:ascii="Aptos" w:eastAsia="Calibri" w:hAnsi="Aptos" w:cs="Calibri"/>
          <w:color w:val="1A1A19"/>
          <w:sz w:val="20"/>
          <w:szCs w:val="20"/>
          <w:lang w:val="en-CA"/>
        </w:rPr>
        <w:t>[5</w:t>
      </w:r>
      <w:proofErr w:type="gramStart"/>
      <w:r w:rsidRPr="00BE4F47">
        <w:rPr>
          <w:rFonts w:ascii="Aptos" w:eastAsia="Calibri" w:hAnsi="Aptos" w:cs="Calibri"/>
          <w:color w:val="1A1A19"/>
          <w:sz w:val="20"/>
          <w:szCs w:val="20"/>
          <w:lang w:val="en-CA"/>
        </w:rPr>
        <w:t>]  H.</w:t>
      </w:r>
      <w:proofErr w:type="gramEnd"/>
      <w:r w:rsidRPr="00BE4F47">
        <w:rPr>
          <w:rFonts w:ascii="Aptos" w:eastAsia="Calibri" w:hAnsi="Aptos" w:cs="Calibri"/>
          <w:color w:val="1A1A19"/>
          <w:sz w:val="20"/>
          <w:szCs w:val="20"/>
          <w:lang w:val="en-CA"/>
        </w:rPr>
        <w:t xml:space="preserve"> Huang, L. Yang, Y. Wang, X. Xu et Y. Lu, « Digital twin-driven online anomaly detection for an automation system based on edge intelligence », Journal of Manufacturing Systems, vol. 59, p. 138-150, 2021.  </w:t>
      </w:r>
      <w:hyperlink r:id="rId20">
        <w:r w:rsidR="00F50D70" w:rsidRPr="00BE4F47">
          <w:rPr>
            <w:rFonts w:ascii="Aptos" w:hAnsi="Aptos"/>
            <w:color w:val="1155CC"/>
            <w:sz w:val="18"/>
            <w:u w:val="single"/>
            <w:lang w:val="en-CA"/>
          </w:rPr>
          <w:t>https://doi.org/10.1016/j.jmsy.2021.02.010</w:t>
        </w:r>
        <w:bookmarkEnd w:id="502"/>
      </w:hyperlink>
    </w:p>
    <w:p w14:paraId="0570F9DC" w14:textId="77777777" w:rsidR="00F50D70" w:rsidRPr="00BE4F47" w:rsidRDefault="00000000" w:rsidP="008E113B">
      <w:pPr>
        <w:spacing w:after="80" w:line="360" w:lineRule="auto"/>
        <w:ind w:left="480" w:hanging="480"/>
        <w:jc w:val="left"/>
        <w:rPr>
          <w:rFonts w:ascii="Aptos" w:hAnsi="Aptos"/>
          <w:lang w:val="en-CA"/>
        </w:rPr>
      </w:pPr>
      <w:bookmarkStart w:id="503" w:name="_Toc241083195"/>
      <w:r w:rsidRPr="00BE4F47">
        <w:rPr>
          <w:rFonts w:ascii="Aptos" w:eastAsia="Calibri" w:hAnsi="Aptos" w:cs="Calibri"/>
          <w:color w:val="1A1A19"/>
          <w:sz w:val="20"/>
          <w:szCs w:val="20"/>
          <w:lang w:val="en-CA"/>
        </w:rPr>
        <w:t>[6</w:t>
      </w:r>
      <w:proofErr w:type="gramStart"/>
      <w:r w:rsidRPr="00BE4F47">
        <w:rPr>
          <w:rFonts w:ascii="Aptos" w:eastAsia="Calibri" w:hAnsi="Aptos" w:cs="Calibri"/>
          <w:color w:val="1A1A19"/>
          <w:sz w:val="20"/>
          <w:szCs w:val="20"/>
          <w:lang w:val="en-CA"/>
        </w:rPr>
        <w:t>]  C.</w:t>
      </w:r>
      <w:proofErr w:type="gramEnd"/>
      <w:r w:rsidRPr="00BE4F47">
        <w:rPr>
          <w:rFonts w:ascii="Aptos" w:eastAsia="Calibri" w:hAnsi="Aptos" w:cs="Calibri"/>
          <w:color w:val="1A1A19"/>
          <w:sz w:val="20"/>
          <w:szCs w:val="20"/>
          <w:lang w:val="en-CA"/>
        </w:rPr>
        <w:t xml:space="preserve"> Alcaraz et J. Lopez, « Digital twin-assisted anomaly detection for industrial scenarios », International Journal of Critical Infrastructure Protection, vol. 47, art. 100721, 2024.  </w:t>
      </w:r>
      <w:hyperlink r:id="rId21">
        <w:r w:rsidR="00F50D70" w:rsidRPr="00BE4F47">
          <w:rPr>
            <w:rFonts w:ascii="Aptos" w:hAnsi="Aptos"/>
            <w:color w:val="1155CC"/>
            <w:sz w:val="18"/>
            <w:u w:val="single"/>
            <w:lang w:val="en-CA"/>
          </w:rPr>
          <w:t>https://doi.org/10.1016/j.ijcip.2024.100721</w:t>
        </w:r>
        <w:bookmarkEnd w:id="503"/>
      </w:hyperlink>
    </w:p>
    <w:p w14:paraId="5A2E28B7" w14:textId="77777777" w:rsidR="00F50D70" w:rsidRPr="00BE4F47" w:rsidRDefault="00000000" w:rsidP="008E113B">
      <w:pPr>
        <w:spacing w:after="80" w:line="360" w:lineRule="auto"/>
        <w:ind w:left="480" w:hanging="480"/>
        <w:jc w:val="left"/>
        <w:rPr>
          <w:rFonts w:ascii="Aptos" w:hAnsi="Aptos"/>
          <w:lang w:val="en-CA"/>
        </w:rPr>
      </w:pPr>
      <w:bookmarkStart w:id="504" w:name="_Toc241083196"/>
      <w:r w:rsidRPr="00BE4F47">
        <w:rPr>
          <w:rFonts w:ascii="Aptos" w:eastAsia="Calibri" w:hAnsi="Aptos" w:cs="Calibri"/>
          <w:color w:val="1A1A19"/>
          <w:sz w:val="20"/>
          <w:szCs w:val="20"/>
          <w:lang w:val="en-CA"/>
        </w:rPr>
        <w:t>[7</w:t>
      </w:r>
      <w:proofErr w:type="gramStart"/>
      <w:r w:rsidRPr="00BE4F47">
        <w:rPr>
          <w:rFonts w:ascii="Aptos" w:eastAsia="Calibri" w:hAnsi="Aptos" w:cs="Calibri"/>
          <w:color w:val="1A1A19"/>
          <w:sz w:val="20"/>
          <w:szCs w:val="20"/>
          <w:lang w:val="en-CA"/>
        </w:rPr>
        <w:t>]  K.</w:t>
      </w:r>
      <w:proofErr w:type="gramEnd"/>
      <w:r w:rsidRPr="00BE4F47">
        <w:rPr>
          <w:rFonts w:ascii="Aptos" w:eastAsia="Calibri" w:hAnsi="Aptos" w:cs="Calibri"/>
          <w:color w:val="1A1A19"/>
          <w:sz w:val="20"/>
          <w:szCs w:val="20"/>
          <w:lang w:val="en-CA"/>
        </w:rPr>
        <w:t xml:space="preserve"> Kobayashi, D. Kumar et S. B. Alam, « AI-driven non-intrusive uncertainty quantification of advanced nuclear fuels for digital twin-enabling technology », Progress in Nuclear Energy, vol. 172, art. 105177, 2024.  </w:t>
      </w:r>
      <w:hyperlink r:id="rId22">
        <w:r w:rsidR="00F50D70" w:rsidRPr="00BE4F47">
          <w:rPr>
            <w:rFonts w:ascii="Aptos" w:hAnsi="Aptos"/>
            <w:color w:val="1155CC"/>
            <w:sz w:val="18"/>
            <w:u w:val="single"/>
            <w:lang w:val="en-CA"/>
          </w:rPr>
          <w:t>https://doi.org/10.1016/j.pnucene.2024.105177</w:t>
        </w:r>
        <w:bookmarkEnd w:id="504"/>
      </w:hyperlink>
    </w:p>
    <w:p w14:paraId="37DCCC5F" w14:textId="77777777" w:rsidR="00F50D70" w:rsidRPr="00BE4F47" w:rsidRDefault="00000000" w:rsidP="008E113B">
      <w:pPr>
        <w:spacing w:after="80" w:line="360" w:lineRule="auto"/>
        <w:ind w:left="480" w:hanging="480"/>
        <w:jc w:val="left"/>
        <w:rPr>
          <w:rFonts w:ascii="Aptos" w:hAnsi="Aptos"/>
        </w:rPr>
      </w:pPr>
      <w:bookmarkStart w:id="505" w:name="_Toc241083197"/>
      <w:r w:rsidRPr="00BE4F47">
        <w:rPr>
          <w:rFonts w:ascii="Aptos" w:eastAsia="Calibri" w:hAnsi="Aptos" w:cs="Calibri"/>
          <w:color w:val="1A1A19"/>
          <w:sz w:val="20"/>
          <w:szCs w:val="20"/>
          <w:lang w:val="en-CA"/>
        </w:rPr>
        <w:t>[8</w:t>
      </w:r>
      <w:proofErr w:type="gramStart"/>
      <w:r w:rsidRPr="00BE4F47">
        <w:rPr>
          <w:rFonts w:ascii="Aptos" w:eastAsia="Calibri" w:hAnsi="Aptos" w:cs="Calibri"/>
          <w:color w:val="1A1A19"/>
          <w:sz w:val="20"/>
          <w:szCs w:val="20"/>
          <w:lang w:val="en-CA"/>
        </w:rPr>
        <w:t>]  A.</w:t>
      </w:r>
      <w:proofErr w:type="gramEnd"/>
      <w:r w:rsidRPr="00BE4F47">
        <w:rPr>
          <w:rFonts w:ascii="Aptos" w:eastAsia="Calibri" w:hAnsi="Aptos" w:cs="Calibri"/>
          <w:color w:val="1A1A19"/>
          <w:sz w:val="20"/>
          <w:szCs w:val="20"/>
          <w:lang w:val="en-CA"/>
        </w:rPr>
        <w:t xml:space="preserve"> </w:t>
      </w:r>
      <w:proofErr w:type="spellStart"/>
      <w:r w:rsidRPr="00BE4F47">
        <w:rPr>
          <w:rFonts w:ascii="Aptos" w:eastAsia="Calibri" w:hAnsi="Aptos" w:cs="Calibri"/>
          <w:color w:val="1A1A19"/>
          <w:sz w:val="20"/>
          <w:szCs w:val="20"/>
          <w:lang w:val="en-CA"/>
        </w:rPr>
        <w:t>Sayghe</w:t>
      </w:r>
      <w:proofErr w:type="spellEnd"/>
      <w:r w:rsidRPr="00BE4F47">
        <w:rPr>
          <w:rFonts w:ascii="Aptos" w:eastAsia="Calibri" w:hAnsi="Aptos" w:cs="Calibri"/>
          <w:color w:val="1A1A19"/>
          <w:sz w:val="20"/>
          <w:szCs w:val="20"/>
          <w:lang w:val="en-CA"/>
        </w:rPr>
        <w:t xml:space="preserve">, « Digital twin-driven intrusion detection for industrial SCADA: a cyber-physical case study », Sensors, vol. 25, n° 16, art. 4963, 2025.  </w:t>
      </w:r>
      <w:hyperlink r:id="rId23">
        <w:r w:rsidR="00F50D70" w:rsidRPr="00BE4F47">
          <w:rPr>
            <w:rFonts w:ascii="Aptos" w:hAnsi="Aptos"/>
            <w:color w:val="1155CC"/>
            <w:sz w:val="18"/>
            <w:u w:val="single"/>
          </w:rPr>
          <w:t>https://doi.org/10.3390/s25164963</w:t>
        </w:r>
        <w:bookmarkEnd w:id="505"/>
      </w:hyperlink>
    </w:p>
    <w:p w14:paraId="2C9934D3" w14:textId="77777777" w:rsidR="00F50D70" w:rsidRPr="00BE4F47" w:rsidRDefault="00000000" w:rsidP="008E113B">
      <w:pPr>
        <w:spacing w:after="80" w:line="360" w:lineRule="auto"/>
        <w:ind w:left="480" w:hanging="480"/>
        <w:jc w:val="left"/>
        <w:rPr>
          <w:rFonts w:ascii="Aptos" w:hAnsi="Aptos"/>
        </w:rPr>
      </w:pPr>
      <w:bookmarkStart w:id="506" w:name="_Toc241083198"/>
      <w:r w:rsidRPr="00BE4F47">
        <w:rPr>
          <w:rFonts w:ascii="Aptos" w:eastAsia="Calibri" w:hAnsi="Aptos" w:cs="Calibri"/>
          <w:color w:val="1A1A19"/>
          <w:sz w:val="20"/>
          <w:szCs w:val="20"/>
        </w:rPr>
        <w:t>[9</w:t>
      </w:r>
      <w:proofErr w:type="gramStart"/>
      <w:r w:rsidRPr="00BE4F47">
        <w:rPr>
          <w:rFonts w:ascii="Aptos" w:eastAsia="Calibri" w:hAnsi="Aptos" w:cs="Calibri"/>
          <w:color w:val="1A1A19"/>
          <w:sz w:val="20"/>
          <w:szCs w:val="20"/>
        </w:rPr>
        <w:t>]  Brevet</w:t>
      </w:r>
      <w:proofErr w:type="gramEnd"/>
      <w:r w:rsidRPr="00BE4F47">
        <w:rPr>
          <w:rFonts w:ascii="Aptos" w:eastAsia="Calibri" w:hAnsi="Aptos" w:cs="Calibri"/>
          <w:color w:val="1A1A19"/>
          <w:sz w:val="20"/>
          <w:szCs w:val="20"/>
        </w:rPr>
        <w:t xml:space="preserve"> CN118709527B, « </w:t>
      </w:r>
      <w:proofErr w:type="spellStart"/>
      <w:r w:rsidRPr="00BE4F47">
        <w:rPr>
          <w:rFonts w:ascii="Aptos" w:eastAsia="Calibri" w:hAnsi="Aptos" w:cs="Calibri"/>
          <w:color w:val="1A1A19"/>
          <w:sz w:val="20"/>
          <w:szCs w:val="20"/>
        </w:rPr>
        <w:t>Implementation</w:t>
      </w:r>
      <w:proofErr w:type="spellEnd"/>
      <w:r w:rsidRPr="00BE4F47">
        <w:rPr>
          <w:rFonts w:ascii="Aptos" w:eastAsia="Calibri" w:hAnsi="Aptos" w:cs="Calibri"/>
          <w:color w:val="1A1A19"/>
          <w:sz w:val="20"/>
          <w:szCs w:val="20"/>
        </w:rPr>
        <w:t xml:space="preserve"> </w:t>
      </w:r>
      <w:proofErr w:type="spellStart"/>
      <w:r w:rsidRPr="00BE4F47">
        <w:rPr>
          <w:rFonts w:ascii="Aptos" w:eastAsia="Calibri" w:hAnsi="Aptos" w:cs="Calibri"/>
          <w:color w:val="1A1A19"/>
          <w:sz w:val="20"/>
          <w:szCs w:val="20"/>
        </w:rPr>
        <w:t>method</w:t>
      </w:r>
      <w:proofErr w:type="spellEnd"/>
      <w:r w:rsidRPr="00BE4F47">
        <w:rPr>
          <w:rFonts w:ascii="Aptos" w:eastAsia="Calibri" w:hAnsi="Aptos" w:cs="Calibri"/>
          <w:color w:val="1A1A19"/>
          <w:sz w:val="20"/>
          <w:szCs w:val="20"/>
        </w:rPr>
        <w:t xml:space="preserve"> of digital </w:t>
      </w:r>
      <w:proofErr w:type="spellStart"/>
      <w:r w:rsidRPr="00BE4F47">
        <w:rPr>
          <w:rFonts w:ascii="Aptos" w:eastAsia="Calibri" w:hAnsi="Aptos" w:cs="Calibri"/>
          <w:color w:val="1A1A19"/>
          <w:sz w:val="20"/>
          <w:szCs w:val="20"/>
        </w:rPr>
        <w:t>twin</w:t>
      </w:r>
      <w:proofErr w:type="spellEnd"/>
      <w:r w:rsidRPr="00BE4F47">
        <w:rPr>
          <w:rFonts w:ascii="Aptos" w:eastAsia="Calibri" w:hAnsi="Aptos" w:cs="Calibri"/>
          <w:color w:val="1A1A19"/>
          <w:sz w:val="20"/>
          <w:szCs w:val="20"/>
        </w:rPr>
        <w:t xml:space="preserve"> model of </w:t>
      </w:r>
      <w:proofErr w:type="spellStart"/>
      <w:r w:rsidRPr="00BE4F47">
        <w:rPr>
          <w:rFonts w:ascii="Aptos" w:eastAsia="Calibri" w:hAnsi="Aptos" w:cs="Calibri"/>
          <w:color w:val="1A1A19"/>
          <w:sz w:val="20"/>
          <w:szCs w:val="20"/>
        </w:rPr>
        <w:t>nuclear</w:t>
      </w:r>
      <w:proofErr w:type="spellEnd"/>
      <w:r w:rsidRPr="00BE4F47">
        <w:rPr>
          <w:rFonts w:ascii="Aptos" w:eastAsia="Calibri" w:hAnsi="Aptos" w:cs="Calibri"/>
          <w:color w:val="1A1A19"/>
          <w:sz w:val="20"/>
          <w:szCs w:val="20"/>
        </w:rPr>
        <w:t xml:space="preserve"> power plant </w:t>
      </w:r>
      <w:proofErr w:type="spellStart"/>
      <w:r w:rsidRPr="00BE4F47">
        <w:rPr>
          <w:rFonts w:ascii="Aptos" w:eastAsia="Calibri" w:hAnsi="Aptos" w:cs="Calibri"/>
          <w:color w:val="1A1A19"/>
          <w:sz w:val="20"/>
          <w:szCs w:val="20"/>
        </w:rPr>
        <w:t>based</w:t>
      </w:r>
      <w:proofErr w:type="spellEnd"/>
      <w:r w:rsidRPr="00BE4F47">
        <w:rPr>
          <w:rFonts w:ascii="Aptos" w:eastAsia="Calibri" w:hAnsi="Aptos" w:cs="Calibri"/>
          <w:color w:val="1A1A19"/>
          <w:sz w:val="20"/>
          <w:szCs w:val="20"/>
        </w:rPr>
        <w:t xml:space="preserve"> on </w:t>
      </w:r>
      <w:proofErr w:type="spellStart"/>
      <w:r w:rsidRPr="00BE4F47">
        <w:rPr>
          <w:rFonts w:ascii="Aptos" w:eastAsia="Calibri" w:hAnsi="Aptos" w:cs="Calibri"/>
          <w:color w:val="1A1A19"/>
          <w:sz w:val="20"/>
          <w:szCs w:val="20"/>
        </w:rPr>
        <w:t>physical</w:t>
      </w:r>
      <w:proofErr w:type="spellEnd"/>
      <w:r w:rsidRPr="00BE4F47">
        <w:rPr>
          <w:rFonts w:ascii="Aptos" w:eastAsia="Calibri" w:hAnsi="Aptos" w:cs="Calibri"/>
          <w:color w:val="1A1A19"/>
          <w:sz w:val="20"/>
          <w:szCs w:val="20"/>
        </w:rPr>
        <w:t xml:space="preserve">-data </w:t>
      </w:r>
      <w:proofErr w:type="spellStart"/>
      <w:r w:rsidRPr="00BE4F47">
        <w:rPr>
          <w:rFonts w:ascii="Aptos" w:eastAsia="Calibri" w:hAnsi="Aptos" w:cs="Calibri"/>
          <w:color w:val="1A1A19"/>
          <w:sz w:val="20"/>
          <w:szCs w:val="20"/>
        </w:rPr>
        <w:t>hybrid</w:t>
      </w:r>
      <w:proofErr w:type="spellEnd"/>
      <w:r w:rsidRPr="00BE4F47">
        <w:rPr>
          <w:rFonts w:ascii="Aptos" w:eastAsia="Calibri" w:hAnsi="Aptos" w:cs="Calibri"/>
          <w:color w:val="1A1A19"/>
          <w:sz w:val="20"/>
          <w:szCs w:val="20"/>
        </w:rPr>
        <w:t xml:space="preserve"> drive », Université Jiao Tong de Shanghai, déposé le 4 juin 2024, délivré le 1er avril 2025.  </w:t>
      </w:r>
      <w:hyperlink r:id="rId24">
        <w:r w:rsidR="00F50D70" w:rsidRPr="00BE4F47">
          <w:rPr>
            <w:rFonts w:ascii="Aptos" w:hAnsi="Aptos"/>
            <w:color w:val="1155CC"/>
            <w:sz w:val="18"/>
            <w:u w:val="single"/>
          </w:rPr>
          <w:t>https://patents.google.com/patent/CN118709527B/en</w:t>
        </w:r>
        <w:bookmarkEnd w:id="506"/>
      </w:hyperlink>
    </w:p>
    <w:p w14:paraId="0C8C541A" w14:textId="77777777" w:rsidR="00F50D70" w:rsidRPr="00BE4F47" w:rsidRDefault="00000000" w:rsidP="008E113B">
      <w:pPr>
        <w:spacing w:after="80" w:line="360" w:lineRule="auto"/>
        <w:ind w:left="480" w:hanging="480"/>
        <w:jc w:val="left"/>
        <w:rPr>
          <w:rFonts w:ascii="Aptos" w:hAnsi="Aptos"/>
          <w:lang w:val="en-CA"/>
        </w:rPr>
      </w:pPr>
      <w:bookmarkStart w:id="507" w:name="_Toc241083199"/>
      <w:r w:rsidRPr="00BE4F47">
        <w:rPr>
          <w:rFonts w:ascii="Aptos" w:eastAsia="Calibri" w:hAnsi="Aptos" w:cs="Calibri"/>
          <w:color w:val="1A1A19"/>
          <w:sz w:val="20"/>
          <w:szCs w:val="20"/>
        </w:rPr>
        <w:t>[10</w:t>
      </w:r>
      <w:proofErr w:type="gramStart"/>
      <w:r w:rsidRPr="00BE4F47">
        <w:rPr>
          <w:rFonts w:ascii="Aptos" w:eastAsia="Calibri" w:hAnsi="Aptos" w:cs="Calibri"/>
          <w:color w:val="1A1A19"/>
          <w:sz w:val="20"/>
          <w:szCs w:val="20"/>
        </w:rPr>
        <w:t>]  Demande</w:t>
      </w:r>
      <w:proofErr w:type="gramEnd"/>
      <w:r w:rsidRPr="00BE4F47">
        <w:rPr>
          <w:rFonts w:ascii="Aptos" w:eastAsia="Calibri" w:hAnsi="Aptos" w:cs="Calibri"/>
          <w:color w:val="1A1A19"/>
          <w:sz w:val="20"/>
          <w:szCs w:val="20"/>
        </w:rPr>
        <w:t xml:space="preserve"> de brevet CN118228587A, « </w:t>
      </w:r>
      <w:proofErr w:type="spellStart"/>
      <w:r w:rsidRPr="00BE4F47">
        <w:rPr>
          <w:rFonts w:ascii="Aptos" w:eastAsia="Calibri" w:hAnsi="Aptos" w:cs="Calibri"/>
          <w:color w:val="1A1A19"/>
          <w:sz w:val="20"/>
          <w:szCs w:val="20"/>
        </w:rPr>
        <w:t>Uncertainty</w:t>
      </w:r>
      <w:proofErr w:type="spellEnd"/>
      <w:r w:rsidRPr="00BE4F47">
        <w:rPr>
          <w:rFonts w:ascii="Aptos" w:eastAsia="Calibri" w:hAnsi="Aptos" w:cs="Calibri"/>
          <w:color w:val="1A1A19"/>
          <w:sz w:val="20"/>
          <w:szCs w:val="20"/>
        </w:rPr>
        <w:t xml:space="preserve"> </w:t>
      </w:r>
      <w:proofErr w:type="spellStart"/>
      <w:r w:rsidRPr="00BE4F47">
        <w:rPr>
          <w:rFonts w:ascii="Aptos" w:eastAsia="Calibri" w:hAnsi="Aptos" w:cs="Calibri"/>
          <w:color w:val="1A1A19"/>
          <w:sz w:val="20"/>
          <w:szCs w:val="20"/>
        </w:rPr>
        <w:t>analysis</w:t>
      </w:r>
      <w:proofErr w:type="spellEnd"/>
      <w:r w:rsidRPr="00BE4F47">
        <w:rPr>
          <w:rFonts w:ascii="Aptos" w:eastAsia="Calibri" w:hAnsi="Aptos" w:cs="Calibri"/>
          <w:color w:val="1A1A19"/>
          <w:sz w:val="20"/>
          <w:szCs w:val="20"/>
        </w:rPr>
        <w:t xml:space="preserve"> </w:t>
      </w:r>
      <w:proofErr w:type="spellStart"/>
      <w:r w:rsidRPr="00BE4F47">
        <w:rPr>
          <w:rFonts w:ascii="Aptos" w:eastAsia="Calibri" w:hAnsi="Aptos" w:cs="Calibri"/>
          <w:color w:val="1A1A19"/>
          <w:sz w:val="20"/>
          <w:szCs w:val="20"/>
        </w:rPr>
        <w:t>method</w:t>
      </w:r>
      <w:proofErr w:type="spellEnd"/>
      <w:r w:rsidRPr="00BE4F47">
        <w:rPr>
          <w:rFonts w:ascii="Aptos" w:eastAsia="Calibri" w:hAnsi="Aptos" w:cs="Calibri"/>
          <w:color w:val="1A1A19"/>
          <w:sz w:val="20"/>
          <w:szCs w:val="20"/>
        </w:rPr>
        <w:t xml:space="preserve"> of </w:t>
      </w:r>
      <w:proofErr w:type="spellStart"/>
      <w:r w:rsidRPr="00BE4F47">
        <w:rPr>
          <w:rFonts w:ascii="Aptos" w:eastAsia="Calibri" w:hAnsi="Aptos" w:cs="Calibri"/>
          <w:color w:val="1A1A19"/>
          <w:sz w:val="20"/>
          <w:szCs w:val="20"/>
        </w:rPr>
        <w:t>core</w:t>
      </w:r>
      <w:proofErr w:type="spellEnd"/>
      <w:r w:rsidRPr="00BE4F47">
        <w:rPr>
          <w:rFonts w:ascii="Aptos" w:eastAsia="Calibri" w:hAnsi="Aptos" w:cs="Calibri"/>
          <w:color w:val="1A1A19"/>
          <w:sz w:val="20"/>
          <w:szCs w:val="20"/>
        </w:rPr>
        <w:t xml:space="preserve"> digital </w:t>
      </w:r>
      <w:proofErr w:type="spellStart"/>
      <w:r w:rsidRPr="00BE4F47">
        <w:rPr>
          <w:rFonts w:ascii="Aptos" w:eastAsia="Calibri" w:hAnsi="Aptos" w:cs="Calibri"/>
          <w:color w:val="1A1A19"/>
          <w:sz w:val="20"/>
          <w:szCs w:val="20"/>
        </w:rPr>
        <w:t>twin</w:t>
      </w:r>
      <w:proofErr w:type="spellEnd"/>
      <w:r w:rsidRPr="00BE4F47">
        <w:rPr>
          <w:rFonts w:ascii="Aptos" w:eastAsia="Calibri" w:hAnsi="Aptos" w:cs="Calibri"/>
          <w:color w:val="1A1A19"/>
          <w:sz w:val="20"/>
          <w:szCs w:val="20"/>
        </w:rPr>
        <w:t xml:space="preserve"> system </w:t>
      </w:r>
      <w:proofErr w:type="spellStart"/>
      <w:r w:rsidRPr="00BE4F47">
        <w:rPr>
          <w:rFonts w:ascii="Aptos" w:eastAsia="Calibri" w:hAnsi="Aptos" w:cs="Calibri"/>
          <w:color w:val="1A1A19"/>
          <w:sz w:val="20"/>
          <w:szCs w:val="20"/>
        </w:rPr>
        <w:t>based</w:t>
      </w:r>
      <w:proofErr w:type="spellEnd"/>
      <w:r w:rsidRPr="00BE4F47">
        <w:rPr>
          <w:rFonts w:ascii="Aptos" w:eastAsia="Calibri" w:hAnsi="Aptos" w:cs="Calibri"/>
          <w:color w:val="1A1A19"/>
          <w:sz w:val="20"/>
          <w:szCs w:val="20"/>
        </w:rPr>
        <w:t xml:space="preserve"> on MCMC », Université Jiao Tong de Shanghai, déposée le 26 mars 2024, publiée le 21 juin 2024, rejetée après publication.  </w:t>
      </w:r>
      <w:hyperlink r:id="rId25">
        <w:r w:rsidR="00F50D70" w:rsidRPr="00BE4F47">
          <w:rPr>
            <w:rFonts w:ascii="Aptos" w:hAnsi="Aptos"/>
            <w:color w:val="1155CC"/>
            <w:sz w:val="18"/>
            <w:u w:val="single"/>
            <w:lang w:val="en-CA"/>
          </w:rPr>
          <w:t>https://patents.google.com/patent/CN118228587A/en</w:t>
        </w:r>
        <w:bookmarkEnd w:id="507"/>
      </w:hyperlink>
    </w:p>
    <w:p w14:paraId="7E832DED" w14:textId="77777777" w:rsidR="00F50D70" w:rsidRPr="00BE4F47" w:rsidRDefault="00000000" w:rsidP="008E113B">
      <w:pPr>
        <w:spacing w:after="80" w:line="360" w:lineRule="auto"/>
        <w:ind w:left="480" w:hanging="480"/>
        <w:jc w:val="left"/>
        <w:rPr>
          <w:rFonts w:ascii="Aptos" w:hAnsi="Aptos"/>
        </w:rPr>
      </w:pPr>
      <w:bookmarkStart w:id="508" w:name="_Toc241083200"/>
      <w:r w:rsidRPr="00BE4F47">
        <w:rPr>
          <w:rFonts w:ascii="Aptos" w:eastAsia="Calibri" w:hAnsi="Aptos" w:cs="Calibri"/>
          <w:color w:val="1A1A19"/>
          <w:sz w:val="20"/>
          <w:szCs w:val="20"/>
          <w:lang w:val="en-CA"/>
        </w:rPr>
        <w:t>[11</w:t>
      </w:r>
      <w:proofErr w:type="gramStart"/>
      <w:r w:rsidRPr="00BE4F47">
        <w:rPr>
          <w:rFonts w:ascii="Aptos" w:eastAsia="Calibri" w:hAnsi="Aptos" w:cs="Calibri"/>
          <w:color w:val="1A1A19"/>
          <w:sz w:val="20"/>
          <w:szCs w:val="20"/>
          <w:lang w:val="en-CA"/>
        </w:rPr>
        <w:t xml:space="preserve">]  </w:t>
      </w:r>
      <w:proofErr w:type="spellStart"/>
      <w:r w:rsidRPr="00BE4F47">
        <w:rPr>
          <w:rFonts w:ascii="Aptos" w:eastAsia="Calibri" w:hAnsi="Aptos" w:cs="Calibri"/>
          <w:color w:val="1A1A19"/>
          <w:sz w:val="20"/>
          <w:szCs w:val="20"/>
          <w:lang w:val="en-CA"/>
        </w:rPr>
        <w:t>Demande</w:t>
      </w:r>
      <w:proofErr w:type="spellEnd"/>
      <w:proofErr w:type="gramEnd"/>
      <w:r w:rsidRPr="00BE4F47">
        <w:rPr>
          <w:rFonts w:ascii="Aptos" w:eastAsia="Calibri" w:hAnsi="Aptos" w:cs="Calibri"/>
          <w:color w:val="1A1A19"/>
          <w:sz w:val="20"/>
          <w:szCs w:val="20"/>
          <w:lang w:val="en-CA"/>
        </w:rPr>
        <w:t xml:space="preserve"> de brevet CN118779601A, « Long-term online prediction and uncertainty analysis method of multi-parameters of digital twin of nuclear power plant », Université Jiao Tong de Shanghai, </w:t>
      </w:r>
      <w:proofErr w:type="spellStart"/>
      <w:r w:rsidRPr="00BE4F47">
        <w:rPr>
          <w:rFonts w:ascii="Aptos" w:eastAsia="Calibri" w:hAnsi="Aptos" w:cs="Calibri"/>
          <w:color w:val="1A1A19"/>
          <w:sz w:val="20"/>
          <w:szCs w:val="20"/>
          <w:lang w:val="en-CA"/>
        </w:rPr>
        <w:t>déposée</w:t>
      </w:r>
      <w:proofErr w:type="spellEnd"/>
      <w:r w:rsidRPr="00BE4F47">
        <w:rPr>
          <w:rFonts w:ascii="Aptos" w:eastAsia="Calibri" w:hAnsi="Aptos" w:cs="Calibri"/>
          <w:color w:val="1A1A19"/>
          <w:sz w:val="20"/>
          <w:szCs w:val="20"/>
          <w:lang w:val="en-CA"/>
        </w:rPr>
        <w:t xml:space="preserve"> le 14 </w:t>
      </w:r>
      <w:proofErr w:type="spellStart"/>
      <w:r w:rsidRPr="00BE4F47">
        <w:rPr>
          <w:rFonts w:ascii="Aptos" w:eastAsia="Calibri" w:hAnsi="Aptos" w:cs="Calibri"/>
          <w:color w:val="1A1A19"/>
          <w:sz w:val="20"/>
          <w:szCs w:val="20"/>
          <w:lang w:val="en-CA"/>
        </w:rPr>
        <w:t>juin</w:t>
      </w:r>
      <w:proofErr w:type="spellEnd"/>
      <w:r w:rsidRPr="00BE4F47">
        <w:rPr>
          <w:rFonts w:ascii="Aptos" w:eastAsia="Calibri" w:hAnsi="Aptos" w:cs="Calibri"/>
          <w:color w:val="1A1A19"/>
          <w:sz w:val="20"/>
          <w:szCs w:val="20"/>
          <w:lang w:val="en-CA"/>
        </w:rPr>
        <w:t xml:space="preserve"> 2024, </w:t>
      </w:r>
      <w:proofErr w:type="spellStart"/>
      <w:r w:rsidRPr="00BE4F47">
        <w:rPr>
          <w:rFonts w:ascii="Aptos" w:eastAsia="Calibri" w:hAnsi="Aptos" w:cs="Calibri"/>
          <w:color w:val="1A1A19"/>
          <w:sz w:val="20"/>
          <w:szCs w:val="20"/>
          <w:lang w:val="en-CA"/>
        </w:rPr>
        <w:t>publiée</w:t>
      </w:r>
      <w:proofErr w:type="spellEnd"/>
      <w:r w:rsidRPr="00BE4F47">
        <w:rPr>
          <w:rFonts w:ascii="Aptos" w:eastAsia="Calibri" w:hAnsi="Aptos" w:cs="Calibri"/>
          <w:color w:val="1A1A19"/>
          <w:sz w:val="20"/>
          <w:szCs w:val="20"/>
          <w:lang w:val="en-CA"/>
        </w:rPr>
        <w:t xml:space="preserve"> le 15 </w:t>
      </w:r>
      <w:proofErr w:type="spellStart"/>
      <w:r w:rsidRPr="00BE4F47">
        <w:rPr>
          <w:rFonts w:ascii="Aptos" w:eastAsia="Calibri" w:hAnsi="Aptos" w:cs="Calibri"/>
          <w:color w:val="1A1A19"/>
          <w:sz w:val="20"/>
          <w:szCs w:val="20"/>
          <w:lang w:val="en-CA"/>
        </w:rPr>
        <w:t>octobre</w:t>
      </w:r>
      <w:proofErr w:type="spellEnd"/>
      <w:r w:rsidRPr="00BE4F47">
        <w:rPr>
          <w:rFonts w:ascii="Aptos" w:eastAsia="Calibri" w:hAnsi="Aptos" w:cs="Calibri"/>
          <w:color w:val="1A1A19"/>
          <w:sz w:val="20"/>
          <w:szCs w:val="20"/>
          <w:lang w:val="en-CA"/>
        </w:rPr>
        <w:t xml:space="preserve"> 2024.  </w:t>
      </w:r>
      <w:hyperlink r:id="rId26">
        <w:r w:rsidR="00F50D70" w:rsidRPr="00BE4F47">
          <w:rPr>
            <w:rFonts w:ascii="Aptos" w:hAnsi="Aptos"/>
            <w:color w:val="1155CC"/>
            <w:sz w:val="18"/>
            <w:u w:val="single"/>
          </w:rPr>
          <w:t>https://patents.google.com/patent/CN118779601A/en</w:t>
        </w:r>
        <w:bookmarkEnd w:id="508"/>
      </w:hyperlink>
    </w:p>
    <w:p w14:paraId="0985DE0E" w14:textId="77777777" w:rsidR="00F50D70" w:rsidRPr="00BE4F47" w:rsidRDefault="00000000" w:rsidP="008E113B">
      <w:pPr>
        <w:spacing w:after="80" w:line="360" w:lineRule="auto"/>
        <w:ind w:left="480" w:hanging="480"/>
        <w:jc w:val="left"/>
        <w:rPr>
          <w:rFonts w:ascii="Aptos" w:hAnsi="Aptos"/>
          <w:lang w:val="en-CA"/>
        </w:rPr>
      </w:pPr>
      <w:bookmarkStart w:id="509" w:name="_Toc241083201"/>
      <w:r w:rsidRPr="00BE4F47">
        <w:rPr>
          <w:rFonts w:ascii="Aptos" w:eastAsia="Calibri" w:hAnsi="Aptos" w:cs="Calibri"/>
          <w:color w:val="1A1A19"/>
          <w:sz w:val="20"/>
          <w:szCs w:val="20"/>
        </w:rPr>
        <w:t>[12</w:t>
      </w:r>
      <w:proofErr w:type="gramStart"/>
      <w:r w:rsidRPr="00BE4F47">
        <w:rPr>
          <w:rFonts w:ascii="Aptos" w:eastAsia="Calibri" w:hAnsi="Aptos" w:cs="Calibri"/>
          <w:color w:val="1A1A19"/>
          <w:sz w:val="20"/>
          <w:szCs w:val="20"/>
        </w:rPr>
        <w:t>]  Demande</w:t>
      </w:r>
      <w:proofErr w:type="gramEnd"/>
      <w:r w:rsidRPr="00BE4F47">
        <w:rPr>
          <w:rFonts w:ascii="Aptos" w:eastAsia="Calibri" w:hAnsi="Aptos" w:cs="Calibri"/>
          <w:color w:val="1A1A19"/>
          <w:sz w:val="20"/>
          <w:szCs w:val="20"/>
        </w:rPr>
        <w:t xml:space="preserve"> de brevet CN118068765A, « Method for </w:t>
      </w:r>
      <w:proofErr w:type="spellStart"/>
      <w:r w:rsidRPr="00BE4F47">
        <w:rPr>
          <w:rFonts w:ascii="Aptos" w:eastAsia="Calibri" w:hAnsi="Aptos" w:cs="Calibri"/>
          <w:color w:val="1A1A19"/>
          <w:sz w:val="20"/>
          <w:szCs w:val="20"/>
        </w:rPr>
        <w:t>constructing</w:t>
      </w:r>
      <w:proofErr w:type="spellEnd"/>
      <w:r w:rsidRPr="00BE4F47">
        <w:rPr>
          <w:rFonts w:ascii="Aptos" w:eastAsia="Calibri" w:hAnsi="Aptos" w:cs="Calibri"/>
          <w:color w:val="1A1A19"/>
          <w:sz w:val="20"/>
          <w:szCs w:val="20"/>
        </w:rPr>
        <w:t xml:space="preserve"> </w:t>
      </w:r>
      <w:proofErr w:type="spellStart"/>
      <w:r w:rsidRPr="00BE4F47">
        <w:rPr>
          <w:rFonts w:ascii="Aptos" w:eastAsia="Calibri" w:hAnsi="Aptos" w:cs="Calibri"/>
          <w:color w:val="1A1A19"/>
          <w:sz w:val="20"/>
          <w:szCs w:val="20"/>
        </w:rPr>
        <w:t>anomaly</w:t>
      </w:r>
      <w:proofErr w:type="spellEnd"/>
      <w:r w:rsidRPr="00BE4F47">
        <w:rPr>
          <w:rFonts w:ascii="Aptos" w:eastAsia="Calibri" w:hAnsi="Aptos" w:cs="Calibri"/>
          <w:color w:val="1A1A19"/>
          <w:sz w:val="20"/>
          <w:szCs w:val="20"/>
        </w:rPr>
        <w:t xml:space="preserve"> </w:t>
      </w:r>
      <w:proofErr w:type="spellStart"/>
      <w:r w:rsidRPr="00BE4F47">
        <w:rPr>
          <w:rFonts w:ascii="Aptos" w:eastAsia="Calibri" w:hAnsi="Aptos" w:cs="Calibri"/>
          <w:color w:val="1A1A19"/>
          <w:sz w:val="20"/>
          <w:szCs w:val="20"/>
        </w:rPr>
        <w:t>detection</w:t>
      </w:r>
      <w:proofErr w:type="spellEnd"/>
      <w:r w:rsidRPr="00BE4F47">
        <w:rPr>
          <w:rFonts w:ascii="Aptos" w:eastAsia="Calibri" w:hAnsi="Aptos" w:cs="Calibri"/>
          <w:color w:val="1A1A19"/>
          <w:sz w:val="20"/>
          <w:szCs w:val="20"/>
        </w:rPr>
        <w:t xml:space="preserve"> model for </w:t>
      </w:r>
      <w:proofErr w:type="spellStart"/>
      <w:r w:rsidRPr="00BE4F47">
        <w:rPr>
          <w:rFonts w:ascii="Aptos" w:eastAsia="Calibri" w:hAnsi="Aptos" w:cs="Calibri"/>
          <w:color w:val="1A1A19"/>
          <w:sz w:val="20"/>
          <w:szCs w:val="20"/>
        </w:rPr>
        <w:t>industrial</w:t>
      </w:r>
      <w:proofErr w:type="spellEnd"/>
      <w:r w:rsidRPr="00BE4F47">
        <w:rPr>
          <w:rFonts w:ascii="Aptos" w:eastAsia="Calibri" w:hAnsi="Aptos" w:cs="Calibri"/>
          <w:color w:val="1A1A19"/>
          <w:sz w:val="20"/>
          <w:szCs w:val="20"/>
        </w:rPr>
        <w:t xml:space="preserve"> control </w:t>
      </w:r>
      <w:proofErr w:type="spellStart"/>
      <w:r w:rsidRPr="00BE4F47">
        <w:rPr>
          <w:rFonts w:ascii="Aptos" w:eastAsia="Calibri" w:hAnsi="Aptos" w:cs="Calibri"/>
          <w:color w:val="1A1A19"/>
          <w:sz w:val="20"/>
          <w:szCs w:val="20"/>
        </w:rPr>
        <w:t>systems</w:t>
      </w:r>
      <w:proofErr w:type="spellEnd"/>
      <w:r w:rsidRPr="00BE4F47">
        <w:rPr>
          <w:rFonts w:ascii="Aptos" w:eastAsia="Calibri" w:hAnsi="Aptos" w:cs="Calibri"/>
          <w:color w:val="1A1A19"/>
          <w:sz w:val="20"/>
          <w:szCs w:val="20"/>
        </w:rPr>
        <w:t xml:space="preserve"> in process industries </w:t>
      </w:r>
      <w:proofErr w:type="spellStart"/>
      <w:r w:rsidRPr="00BE4F47">
        <w:rPr>
          <w:rFonts w:ascii="Aptos" w:eastAsia="Calibri" w:hAnsi="Aptos" w:cs="Calibri"/>
          <w:color w:val="1A1A19"/>
          <w:sz w:val="20"/>
          <w:szCs w:val="20"/>
        </w:rPr>
        <w:t>based</w:t>
      </w:r>
      <w:proofErr w:type="spellEnd"/>
      <w:r w:rsidRPr="00BE4F47">
        <w:rPr>
          <w:rFonts w:ascii="Aptos" w:eastAsia="Calibri" w:hAnsi="Aptos" w:cs="Calibri"/>
          <w:color w:val="1A1A19"/>
          <w:sz w:val="20"/>
          <w:szCs w:val="20"/>
        </w:rPr>
        <w:t xml:space="preserve"> on digital </w:t>
      </w:r>
      <w:proofErr w:type="spellStart"/>
      <w:r w:rsidRPr="00BE4F47">
        <w:rPr>
          <w:rFonts w:ascii="Aptos" w:eastAsia="Calibri" w:hAnsi="Aptos" w:cs="Calibri"/>
          <w:color w:val="1A1A19"/>
          <w:sz w:val="20"/>
          <w:szCs w:val="20"/>
        </w:rPr>
        <w:t>twins</w:t>
      </w:r>
      <w:proofErr w:type="spellEnd"/>
      <w:r w:rsidRPr="00BE4F47">
        <w:rPr>
          <w:rFonts w:ascii="Aptos" w:eastAsia="Calibri" w:hAnsi="Aptos" w:cs="Calibri"/>
          <w:color w:val="1A1A19"/>
          <w:sz w:val="20"/>
          <w:szCs w:val="20"/>
        </w:rPr>
        <w:t xml:space="preserve"> », Université des sciences et technologies de </w:t>
      </w:r>
      <w:proofErr w:type="spellStart"/>
      <w:r w:rsidRPr="00BE4F47">
        <w:rPr>
          <w:rFonts w:ascii="Aptos" w:eastAsia="Calibri" w:hAnsi="Aptos" w:cs="Calibri"/>
          <w:color w:val="1A1A19"/>
          <w:sz w:val="20"/>
          <w:szCs w:val="20"/>
        </w:rPr>
        <w:t>Huazhong</w:t>
      </w:r>
      <w:proofErr w:type="spellEnd"/>
      <w:r w:rsidRPr="00BE4F47">
        <w:rPr>
          <w:rFonts w:ascii="Aptos" w:eastAsia="Calibri" w:hAnsi="Aptos" w:cs="Calibri"/>
          <w:color w:val="1A1A19"/>
          <w:sz w:val="20"/>
          <w:szCs w:val="20"/>
        </w:rPr>
        <w:t xml:space="preserve">, déposée le 25 janvier 2024, publiée le 24 mai 2024.  </w:t>
      </w:r>
      <w:hyperlink r:id="rId27">
        <w:r w:rsidR="00F50D70" w:rsidRPr="00BE4F47">
          <w:rPr>
            <w:rFonts w:ascii="Aptos" w:hAnsi="Aptos"/>
            <w:color w:val="1155CC"/>
            <w:sz w:val="18"/>
            <w:u w:val="single"/>
            <w:lang w:val="en-CA"/>
          </w:rPr>
          <w:t>https://patents.google.com/patent/CN118068765A/en</w:t>
        </w:r>
        <w:bookmarkEnd w:id="509"/>
      </w:hyperlink>
    </w:p>
    <w:p w14:paraId="6FA4636C" w14:textId="77777777" w:rsidR="00F50D70" w:rsidRPr="00BE4F47" w:rsidRDefault="00000000" w:rsidP="008E113B">
      <w:pPr>
        <w:spacing w:after="80" w:line="360" w:lineRule="auto"/>
        <w:ind w:left="480" w:hanging="480"/>
        <w:jc w:val="left"/>
        <w:rPr>
          <w:rFonts w:ascii="Aptos" w:hAnsi="Aptos"/>
        </w:rPr>
      </w:pPr>
      <w:bookmarkStart w:id="510" w:name="_Toc241083202"/>
      <w:r w:rsidRPr="00BE4F47">
        <w:rPr>
          <w:rFonts w:ascii="Aptos" w:eastAsia="Calibri" w:hAnsi="Aptos" w:cs="Calibri"/>
          <w:color w:val="1A1A19"/>
          <w:sz w:val="20"/>
          <w:szCs w:val="20"/>
          <w:lang w:val="en-CA"/>
        </w:rPr>
        <w:lastRenderedPageBreak/>
        <w:t>[13</w:t>
      </w:r>
      <w:proofErr w:type="gramStart"/>
      <w:r w:rsidRPr="00BE4F47">
        <w:rPr>
          <w:rFonts w:ascii="Aptos" w:eastAsia="Calibri" w:hAnsi="Aptos" w:cs="Calibri"/>
          <w:color w:val="1A1A19"/>
          <w:sz w:val="20"/>
          <w:szCs w:val="20"/>
          <w:lang w:val="en-CA"/>
        </w:rPr>
        <w:t>]  Brevet</w:t>
      </w:r>
      <w:proofErr w:type="gramEnd"/>
      <w:r w:rsidRPr="00BE4F47">
        <w:rPr>
          <w:rFonts w:ascii="Aptos" w:eastAsia="Calibri" w:hAnsi="Aptos" w:cs="Calibri"/>
          <w:color w:val="1A1A19"/>
          <w:sz w:val="20"/>
          <w:szCs w:val="20"/>
          <w:lang w:val="en-CA"/>
        </w:rPr>
        <w:t xml:space="preserve"> US12093818B2, « Method and system for semi-supervised deep anomaly detection for large-scale industrial monitoring systems based on time-series data utilizing digital twin simulation data », Honda Motor Co., </w:t>
      </w:r>
      <w:proofErr w:type="spellStart"/>
      <w:r w:rsidRPr="00BE4F47">
        <w:rPr>
          <w:rFonts w:ascii="Aptos" w:eastAsia="Calibri" w:hAnsi="Aptos" w:cs="Calibri"/>
          <w:color w:val="1A1A19"/>
          <w:sz w:val="20"/>
          <w:szCs w:val="20"/>
          <w:lang w:val="en-CA"/>
        </w:rPr>
        <w:t>délivré</w:t>
      </w:r>
      <w:proofErr w:type="spellEnd"/>
      <w:r w:rsidRPr="00BE4F47">
        <w:rPr>
          <w:rFonts w:ascii="Aptos" w:eastAsia="Calibri" w:hAnsi="Aptos" w:cs="Calibri"/>
          <w:color w:val="1A1A19"/>
          <w:sz w:val="20"/>
          <w:szCs w:val="20"/>
          <w:lang w:val="en-CA"/>
        </w:rPr>
        <w:t xml:space="preserve"> le 17 </w:t>
      </w:r>
      <w:proofErr w:type="spellStart"/>
      <w:r w:rsidRPr="00BE4F47">
        <w:rPr>
          <w:rFonts w:ascii="Aptos" w:eastAsia="Calibri" w:hAnsi="Aptos" w:cs="Calibri"/>
          <w:color w:val="1A1A19"/>
          <w:sz w:val="20"/>
          <w:szCs w:val="20"/>
          <w:lang w:val="en-CA"/>
        </w:rPr>
        <w:t>septembre</w:t>
      </w:r>
      <w:proofErr w:type="spellEnd"/>
      <w:r w:rsidRPr="00BE4F47">
        <w:rPr>
          <w:rFonts w:ascii="Aptos" w:eastAsia="Calibri" w:hAnsi="Aptos" w:cs="Calibri"/>
          <w:color w:val="1A1A19"/>
          <w:sz w:val="20"/>
          <w:szCs w:val="20"/>
          <w:lang w:val="en-CA"/>
        </w:rPr>
        <w:t xml:space="preserve"> 2024.  </w:t>
      </w:r>
      <w:hyperlink r:id="rId28">
        <w:r w:rsidR="00F50D70" w:rsidRPr="00BE4F47">
          <w:rPr>
            <w:rFonts w:ascii="Aptos" w:hAnsi="Aptos"/>
            <w:color w:val="1155CC"/>
            <w:sz w:val="18"/>
            <w:u w:val="single"/>
          </w:rPr>
          <w:t>https://patents.google.com/patent/US12093818B2/en</w:t>
        </w:r>
        <w:bookmarkEnd w:id="510"/>
      </w:hyperlink>
    </w:p>
    <w:p w14:paraId="10872A1D" w14:textId="77777777" w:rsidR="00F50D70" w:rsidRPr="00BE4F47" w:rsidRDefault="00000000" w:rsidP="008E113B">
      <w:pPr>
        <w:spacing w:after="80" w:line="360" w:lineRule="auto"/>
        <w:ind w:left="480" w:hanging="480"/>
        <w:jc w:val="left"/>
        <w:rPr>
          <w:rFonts w:ascii="Aptos" w:hAnsi="Aptos"/>
        </w:rPr>
      </w:pPr>
      <w:bookmarkStart w:id="511" w:name="_Toc241083203"/>
      <w:r w:rsidRPr="00BE4F47">
        <w:rPr>
          <w:rFonts w:ascii="Aptos" w:eastAsia="Calibri" w:hAnsi="Aptos" w:cs="Calibri"/>
          <w:color w:val="1A1A19"/>
          <w:sz w:val="20"/>
          <w:szCs w:val="20"/>
        </w:rPr>
        <w:t>[14</w:t>
      </w:r>
      <w:proofErr w:type="gramStart"/>
      <w:r w:rsidRPr="00BE4F47">
        <w:rPr>
          <w:rFonts w:ascii="Aptos" w:eastAsia="Calibri" w:hAnsi="Aptos" w:cs="Calibri"/>
          <w:color w:val="1A1A19"/>
          <w:sz w:val="20"/>
          <w:szCs w:val="20"/>
        </w:rPr>
        <w:t xml:space="preserve">]  </w:t>
      </w:r>
      <w:proofErr w:type="spellStart"/>
      <w:r w:rsidRPr="00BE4F47">
        <w:rPr>
          <w:rFonts w:ascii="Aptos" w:eastAsia="Calibri" w:hAnsi="Aptos" w:cs="Calibri"/>
          <w:color w:val="1A1A19"/>
          <w:sz w:val="20"/>
          <w:szCs w:val="20"/>
        </w:rPr>
        <w:t>Ansys</w:t>
      </w:r>
      <w:proofErr w:type="spellEnd"/>
      <w:proofErr w:type="gramEnd"/>
      <w:r w:rsidRPr="00BE4F47">
        <w:rPr>
          <w:rFonts w:ascii="Aptos" w:eastAsia="Calibri" w:hAnsi="Aptos" w:cs="Calibri"/>
          <w:color w:val="1A1A19"/>
          <w:sz w:val="20"/>
          <w:szCs w:val="20"/>
        </w:rPr>
        <w:t xml:space="preserve">, </w:t>
      </w:r>
      <w:proofErr w:type="spellStart"/>
      <w:r w:rsidRPr="00BE4F47">
        <w:rPr>
          <w:rFonts w:ascii="Aptos" w:eastAsia="Calibri" w:hAnsi="Aptos" w:cs="Calibri"/>
          <w:color w:val="1A1A19"/>
          <w:sz w:val="20"/>
          <w:szCs w:val="20"/>
        </w:rPr>
        <w:t>Twin</w:t>
      </w:r>
      <w:proofErr w:type="spellEnd"/>
      <w:r w:rsidRPr="00BE4F47">
        <w:rPr>
          <w:rFonts w:ascii="Aptos" w:eastAsia="Calibri" w:hAnsi="Aptos" w:cs="Calibri"/>
          <w:color w:val="1A1A19"/>
          <w:sz w:val="20"/>
          <w:szCs w:val="20"/>
        </w:rPr>
        <w:t xml:space="preserve"> Builder, plateforme de création et de déploiement de jumeaux numériques de systèmes.  </w:t>
      </w:r>
      <w:hyperlink r:id="rId29">
        <w:r w:rsidR="00F50D70" w:rsidRPr="00BE4F47">
          <w:rPr>
            <w:rFonts w:ascii="Aptos" w:hAnsi="Aptos"/>
            <w:color w:val="1155CC"/>
            <w:sz w:val="18"/>
            <w:u w:val="single"/>
          </w:rPr>
          <w:t>https://www.ansys.com/en-gb/products/digital-twin/ansys-twin-builder</w:t>
        </w:r>
        <w:bookmarkEnd w:id="511"/>
      </w:hyperlink>
    </w:p>
    <w:p w14:paraId="2C674206" w14:textId="77777777" w:rsidR="00F50D70" w:rsidRPr="00BE4F47" w:rsidRDefault="00000000" w:rsidP="008E113B">
      <w:pPr>
        <w:spacing w:after="80" w:line="360" w:lineRule="auto"/>
        <w:ind w:left="480" w:hanging="480"/>
        <w:jc w:val="left"/>
        <w:rPr>
          <w:rFonts w:ascii="Aptos" w:hAnsi="Aptos"/>
        </w:rPr>
      </w:pPr>
      <w:bookmarkStart w:id="512" w:name="_Toc241083204"/>
      <w:r w:rsidRPr="00BE4F47">
        <w:rPr>
          <w:rFonts w:ascii="Aptos" w:eastAsia="Calibri" w:hAnsi="Aptos" w:cs="Calibri"/>
          <w:color w:val="1A1A19"/>
          <w:sz w:val="20"/>
          <w:szCs w:val="20"/>
        </w:rPr>
        <w:t>[15</w:t>
      </w:r>
      <w:proofErr w:type="gramStart"/>
      <w:r w:rsidRPr="00BE4F47">
        <w:rPr>
          <w:rFonts w:ascii="Aptos" w:eastAsia="Calibri" w:hAnsi="Aptos" w:cs="Calibri"/>
          <w:color w:val="1A1A19"/>
          <w:sz w:val="20"/>
          <w:szCs w:val="20"/>
        </w:rPr>
        <w:t>]  Siemens</w:t>
      </w:r>
      <w:proofErr w:type="gramEnd"/>
      <w:r w:rsidRPr="00BE4F47">
        <w:rPr>
          <w:rFonts w:ascii="Aptos" w:eastAsia="Calibri" w:hAnsi="Aptos" w:cs="Calibri"/>
          <w:color w:val="1A1A19"/>
          <w:sz w:val="20"/>
          <w:szCs w:val="20"/>
        </w:rPr>
        <w:t xml:space="preserve">, </w:t>
      </w:r>
      <w:proofErr w:type="spellStart"/>
      <w:r w:rsidRPr="00BE4F47">
        <w:rPr>
          <w:rFonts w:ascii="Aptos" w:eastAsia="Calibri" w:hAnsi="Aptos" w:cs="Calibri"/>
          <w:color w:val="1A1A19"/>
          <w:sz w:val="20"/>
          <w:szCs w:val="20"/>
        </w:rPr>
        <w:t>Simcenter</w:t>
      </w:r>
      <w:proofErr w:type="spellEnd"/>
      <w:r w:rsidRPr="00BE4F47">
        <w:rPr>
          <w:rFonts w:ascii="Aptos" w:eastAsia="Calibri" w:hAnsi="Aptos" w:cs="Calibri"/>
          <w:color w:val="1A1A19"/>
          <w:sz w:val="20"/>
          <w:szCs w:val="20"/>
        </w:rPr>
        <w:t xml:space="preserve"> Amesim, environnement de simulation de systèmes multiphysiques, incluant les circuits thermiques et hydrauliques.  </w:t>
      </w:r>
      <w:hyperlink r:id="rId30">
        <w:r w:rsidR="00F50D70" w:rsidRPr="00BE4F47">
          <w:rPr>
            <w:rFonts w:ascii="Aptos" w:hAnsi="Aptos"/>
            <w:color w:val="1155CC"/>
            <w:sz w:val="18"/>
            <w:u w:val="single"/>
          </w:rPr>
          <w:t>https://www.siemens.com/en-us/products/simcenter/systems-simulation/amesim/</w:t>
        </w:r>
        <w:bookmarkEnd w:id="512"/>
      </w:hyperlink>
    </w:p>
    <w:p w14:paraId="105CAF75" w14:textId="77777777" w:rsidR="00F50D70" w:rsidRPr="00BE4F47" w:rsidRDefault="00000000" w:rsidP="008E113B">
      <w:pPr>
        <w:spacing w:after="80" w:line="360" w:lineRule="auto"/>
        <w:ind w:left="480" w:hanging="480"/>
        <w:jc w:val="left"/>
        <w:rPr>
          <w:rFonts w:ascii="Aptos" w:hAnsi="Aptos"/>
        </w:rPr>
      </w:pPr>
      <w:bookmarkStart w:id="513" w:name="_Toc241083205"/>
      <w:r w:rsidRPr="00BE4F47">
        <w:rPr>
          <w:rFonts w:ascii="Aptos" w:eastAsia="Calibri" w:hAnsi="Aptos" w:cs="Calibri"/>
          <w:color w:val="1A1A19"/>
          <w:sz w:val="20"/>
          <w:szCs w:val="20"/>
        </w:rPr>
        <w:t>[16</w:t>
      </w:r>
      <w:proofErr w:type="gramStart"/>
      <w:r w:rsidRPr="00BE4F47">
        <w:rPr>
          <w:rFonts w:ascii="Aptos" w:eastAsia="Calibri" w:hAnsi="Aptos" w:cs="Calibri"/>
          <w:color w:val="1A1A19"/>
          <w:sz w:val="20"/>
          <w:szCs w:val="20"/>
        </w:rPr>
        <w:t>]  F.</w:t>
      </w:r>
      <w:proofErr w:type="gramEnd"/>
      <w:r w:rsidRPr="00BE4F47">
        <w:rPr>
          <w:rFonts w:ascii="Aptos" w:eastAsia="Calibri" w:hAnsi="Aptos" w:cs="Calibri"/>
          <w:color w:val="1A1A19"/>
          <w:sz w:val="20"/>
          <w:szCs w:val="20"/>
        </w:rPr>
        <w:t xml:space="preserve"> Casella, </w:t>
      </w:r>
      <w:proofErr w:type="spellStart"/>
      <w:r w:rsidRPr="00BE4F47">
        <w:rPr>
          <w:rFonts w:ascii="Aptos" w:eastAsia="Calibri" w:hAnsi="Aptos" w:cs="Calibri"/>
          <w:color w:val="1A1A19"/>
          <w:sz w:val="20"/>
          <w:szCs w:val="20"/>
        </w:rPr>
        <w:t>ThermoPower</w:t>
      </w:r>
      <w:proofErr w:type="spellEnd"/>
      <w:r w:rsidRPr="00BE4F47">
        <w:rPr>
          <w:rFonts w:ascii="Aptos" w:eastAsia="Calibri" w:hAnsi="Aptos" w:cs="Calibri"/>
          <w:color w:val="1A1A19"/>
          <w:sz w:val="20"/>
          <w:szCs w:val="20"/>
        </w:rPr>
        <w:t xml:space="preserve">, bibliothèque </w:t>
      </w:r>
      <w:proofErr w:type="spellStart"/>
      <w:r w:rsidRPr="00BE4F47">
        <w:rPr>
          <w:rFonts w:ascii="Aptos" w:eastAsia="Calibri" w:hAnsi="Aptos" w:cs="Calibri"/>
          <w:color w:val="1A1A19"/>
          <w:sz w:val="20"/>
          <w:szCs w:val="20"/>
        </w:rPr>
        <w:t>Modelica</w:t>
      </w:r>
      <w:proofErr w:type="spellEnd"/>
      <w:r w:rsidRPr="00BE4F47">
        <w:rPr>
          <w:rFonts w:ascii="Aptos" w:eastAsia="Calibri" w:hAnsi="Aptos" w:cs="Calibri"/>
          <w:color w:val="1A1A19"/>
          <w:sz w:val="20"/>
          <w:szCs w:val="20"/>
        </w:rPr>
        <w:t xml:space="preserve"> libre pour la modélisation dynamique des centrales thermiques et des systèmes de conversion d’énergie.  </w:t>
      </w:r>
      <w:hyperlink r:id="rId31">
        <w:r w:rsidR="00F50D70" w:rsidRPr="00BE4F47">
          <w:rPr>
            <w:rFonts w:ascii="Aptos" w:hAnsi="Aptos"/>
            <w:color w:val="1155CC"/>
            <w:sz w:val="18"/>
            <w:u w:val="single"/>
          </w:rPr>
          <w:t>https://github.com/casella/ThermoPower</w:t>
        </w:r>
        <w:bookmarkEnd w:id="513"/>
      </w:hyperlink>
    </w:p>
    <w:p w14:paraId="4EC3D5B9" w14:textId="77777777" w:rsidR="00F50D70" w:rsidRPr="00BE4F47" w:rsidRDefault="00000000" w:rsidP="008E113B">
      <w:pPr>
        <w:spacing w:after="80" w:line="360" w:lineRule="auto"/>
        <w:ind w:left="480" w:hanging="480"/>
        <w:jc w:val="left"/>
        <w:rPr>
          <w:rFonts w:ascii="Aptos" w:hAnsi="Aptos"/>
        </w:rPr>
      </w:pPr>
      <w:bookmarkStart w:id="514" w:name="_Toc241083206"/>
      <w:r w:rsidRPr="00BE4F47">
        <w:rPr>
          <w:rFonts w:ascii="Aptos" w:eastAsia="Calibri" w:hAnsi="Aptos" w:cs="Calibri"/>
          <w:color w:val="1A1A19"/>
          <w:sz w:val="20"/>
          <w:szCs w:val="20"/>
        </w:rPr>
        <w:t>[17</w:t>
      </w:r>
      <w:proofErr w:type="gramStart"/>
      <w:r w:rsidRPr="00BE4F47">
        <w:rPr>
          <w:rFonts w:ascii="Aptos" w:eastAsia="Calibri" w:hAnsi="Aptos" w:cs="Calibri"/>
          <w:color w:val="1A1A19"/>
          <w:sz w:val="20"/>
          <w:szCs w:val="20"/>
        </w:rPr>
        <w:t>]  United</w:t>
      </w:r>
      <w:proofErr w:type="gramEnd"/>
      <w:r w:rsidRPr="00BE4F47">
        <w:rPr>
          <w:rFonts w:ascii="Aptos" w:eastAsia="Calibri" w:hAnsi="Aptos" w:cs="Calibri"/>
          <w:color w:val="1A1A19"/>
          <w:sz w:val="20"/>
          <w:szCs w:val="20"/>
        </w:rPr>
        <w:t xml:space="preserve"> States </w:t>
      </w:r>
      <w:proofErr w:type="spellStart"/>
      <w:r w:rsidRPr="00BE4F47">
        <w:rPr>
          <w:rFonts w:ascii="Aptos" w:eastAsia="Calibri" w:hAnsi="Aptos" w:cs="Calibri"/>
          <w:color w:val="1A1A19"/>
          <w:sz w:val="20"/>
          <w:szCs w:val="20"/>
        </w:rPr>
        <w:t>Nuclear</w:t>
      </w:r>
      <w:proofErr w:type="spellEnd"/>
      <w:r w:rsidRPr="00BE4F47">
        <w:rPr>
          <w:rFonts w:ascii="Aptos" w:eastAsia="Calibri" w:hAnsi="Aptos" w:cs="Calibri"/>
          <w:color w:val="1A1A19"/>
          <w:sz w:val="20"/>
          <w:szCs w:val="20"/>
        </w:rPr>
        <w:t xml:space="preserve"> </w:t>
      </w:r>
      <w:proofErr w:type="spellStart"/>
      <w:r w:rsidRPr="00BE4F47">
        <w:rPr>
          <w:rFonts w:ascii="Aptos" w:eastAsia="Calibri" w:hAnsi="Aptos" w:cs="Calibri"/>
          <w:color w:val="1A1A19"/>
          <w:sz w:val="20"/>
          <w:szCs w:val="20"/>
        </w:rPr>
        <w:t>Regulatory</w:t>
      </w:r>
      <w:proofErr w:type="spellEnd"/>
      <w:r w:rsidRPr="00BE4F47">
        <w:rPr>
          <w:rFonts w:ascii="Aptos" w:eastAsia="Calibri" w:hAnsi="Aptos" w:cs="Calibri"/>
          <w:color w:val="1A1A19"/>
          <w:sz w:val="20"/>
          <w:szCs w:val="20"/>
        </w:rPr>
        <w:t xml:space="preserve"> Commission, Computer Codes, codes de </w:t>
      </w:r>
      <w:proofErr w:type="spellStart"/>
      <w:r w:rsidRPr="00BE4F47">
        <w:rPr>
          <w:rFonts w:ascii="Aptos" w:eastAsia="Calibri" w:hAnsi="Aptos" w:cs="Calibri"/>
          <w:color w:val="1A1A19"/>
          <w:sz w:val="20"/>
          <w:szCs w:val="20"/>
        </w:rPr>
        <w:t>thermohydraulique</w:t>
      </w:r>
      <w:proofErr w:type="spellEnd"/>
      <w:r w:rsidRPr="00BE4F47">
        <w:rPr>
          <w:rFonts w:ascii="Aptos" w:eastAsia="Calibri" w:hAnsi="Aptos" w:cs="Calibri"/>
          <w:color w:val="1A1A19"/>
          <w:sz w:val="20"/>
          <w:szCs w:val="20"/>
        </w:rPr>
        <w:t xml:space="preserve"> TRACE et RELAP5 et leur programme de distribution CAMP.  </w:t>
      </w:r>
      <w:hyperlink r:id="rId32">
        <w:r w:rsidR="00F50D70" w:rsidRPr="00BE4F47">
          <w:rPr>
            <w:rFonts w:ascii="Aptos" w:hAnsi="Aptos"/>
            <w:color w:val="1155CC"/>
            <w:sz w:val="18"/>
            <w:u w:val="single"/>
          </w:rPr>
          <w:t>https://www.nrc.gov/about-nrc/regulatory/research/safetycodes</w:t>
        </w:r>
        <w:bookmarkEnd w:id="514"/>
      </w:hyperlink>
    </w:p>
    <w:p w14:paraId="49EAF937" w14:textId="77777777" w:rsidR="00F50D70" w:rsidRPr="00BE4F47" w:rsidRDefault="00000000" w:rsidP="008E113B">
      <w:pPr>
        <w:spacing w:after="80" w:line="360" w:lineRule="auto"/>
        <w:ind w:left="480" w:hanging="480"/>
        <w:jc w:val="left"/>
        <w:rPr>
          <w:rFonts w:ascii="Aptos" w:hAnsi="Aptos"/>
        </w:rPr>
      </w:pPr>
      <w:bookmarkStart w:id="515" w:name="_Toc241083207"/>
      <w:r w:rsidRPr="00BE4F47">
        <w:rPr>
          <w:rFonts w:ascii="Aptos" w:eastAsia="Calibri" w:hAnsi="Aptos" w:cs="Calibri"/>
          <w:color w:val="1A1A19"/>
          <w:sz w:val="20"/>
          <w:szCs w:val="20"/>
        </w:rPr>
        <w:t>[18</w:t>
      </w:r>
      <w:proofErr w:type="gramStart"/>
      <w:r w:rsidRPr="00BE4F47">
        <w:rPr>
          <w:rFonts w:ascii="Aptos" w:eastAsia="Calibri" w:hAnsi="Aptos" w:cs="Calibri"/>
          <w:color w:val="1A1A19"/>
          <w:sz w:val="20"/>
          <w:szCs w:val="20"/>
        </w:rPr>
        <w:t>]  Québec</w:t>
      </w:r>
      <w:proofErr w:type="gramEnd"/>
      <w:r w:rsidRPr="00BE4F47">
        <w:rPr>
          <w:rFonts w:ascii="Aptos" w:eastAsia="Calibri" w:hAnsi="Aptos" w:cs="Calibri"/>
          <w:color w:val="1A1A19"/>
          <w:sz w:val="20"/>
          <w:szCs w:val="20"/>
        </w:rPr>
        <w:t xml:space="preserve">, Loi sur les ingénieurs, RLRQ, chapitre I-9.  </w:t>
      </w:r>
      <w:hyperlink r:id="rId33">
        <w:r w:rsidR="00F50D70" w:rsidRPr="00BE4F47">
          <w:rPr>
            <w:rFonts w:ascii="Aptos" w:hAnsi="Aptos"/>
            <w:color w:val="1155CC"/>
            <w:sz w:val="18"/>
            <w:u w:val="single"/>
          </w:rPr>
          <w:t>https://www.legisquebec.gouv.qc.ca/fr/document/lc/I-9</w:t>
        </w:r>
        <w:bookmarkEnd w:id="515"/>
      </w:hyperlink>
    </w:p>
    <w:p w14:paraId="5667991B" w14:textId="77777777" w:rsidR="00F50D70" w:rsidRPr="00BE4F47" w:rsidRDefault="00000000" w:rsidP="008E113B">
      <w:pPr>
        <w:spacing w:after="80" w:line="360" w:lineRule="auto"/>
        <w:ind w:left="480" w:hanging="480"/>
        <w:jc w:val="left"/>
        <w:rPr>
          <w:rFonts w:ascii="Aptos" w:hAnsi="Aptos"/>
        </w:rPr>
      </w:pPr>
      <w:bookmarkStart w:id="516" w:name="_Toc241083208"/>
      <w:r w:rsidRPr="00BE4F47">
        <w:rPr>
          <w:rFonts w:ascii="Aptos" w:eastAsia="Calibri" w:hAnsi="Aptos" w:cs="Calibri"/>
          <w:color w:val="1A1A19"/>
          <w:sz w:val="20"/>
          <w:szCs w:val="20"/>
        </w:rPr>
        <w:t>[19</w:t>
      </w:r>
      <w:proofErr w:type="gramStart"/>
      <w:r w:rsidRPr="00BE4F47">
        <w:rPr>
          <w:rFonts w:ascii="Aptos" w:eastAsia="Calibri" w:hAnsi="Aptos" w:cs="Calibri"/>
          <w:color w:val="1A1A19"/>
          <w:sz w:val="20"/>
          <w:szCs w:val="20"/>
        </w:rPr>
        <w:t>]  Ordre</w:t>
      </w:r>
      <w:proofErr w:type="gramEnd"/>
      <w:r w:rsidRPr="00BE4F47">
        <w:rPr>
          <w:rFonts w:ascii="Aptos" w:eastAsia="Calibri" w:hAnsi="Aptos" w:cs="Calibri"/>
          <w:color w:val="1A1A19"/>
          <w:sz w:val="20"/>
          <w:szCs w:val="20"/>
        </w:rPr>
        <w:t xml:space="preserve"> des ingénieurs du Québec, « Lois et règlements entourant la pratique du génie ».  </w:t>
      </w:r>
      <w:hyperlink r:id="rId34">
        <w:r w:rsidR="00F50D70" w:rsidRPr="00BE4F47">
          <w:rPr>
            <w:rFonts w:ascii="Aptos" w:hAnsi="Aptos"/>
            <w:color w:val="1155CC"/>
            <w:sz w:val="18"/>
            <w:u w:val="single"/>
          </w:rPr>
          <w:t>https://www.oiq.qc.ca/lordre/politiques-lois-et-reglements/lois-et-reglements-entourant-la-pratique-du-genie/</w:t>
        </w:r>
        <w:bookmarkEnd w:id="516"/>
      </w:hyperlink>
    </w:p>
    <w:p w14:paraId="5F6990C0" w14:textId="77777777" w:rsidR="00F50D70" w:rsidRPr="00BE4F47" w:rsidRDefault="00000000" w:rsidP="008E113B">
      <w:pPr>
        <w:spacing w:after="80" w:line="360" w:lineRule="auto"/>
        <w:ind w:left="480" w:hanging="480"/>
        <w:jc w:val="left"/>
        <w:rPr>
          <w:rFonts w:ascii="Aptos" w:hAnsi="Aptos"/>
        </w:rPr>
      </w:pPr>
      <w:bookmarkStart w:id="517" w:name="_Toc241083209"/>
      <w:r w:rsidRPr="00BE4F47">
        <w:rPr>
          <w:rFonts w:ascii="Aptos" w:eastAsia="Calibri" w:hAnsi="Aptos" w:cs="Calibri"/>
          <w:color w:val="1A1A19"/>
          <w:sz w:val="20"/>
          <w:szCs w:val="20"/>
        </w:rPr>
        <w:t>[20</w:t>
      </w:r>
      <w:proofErr w:type="gramStart"/>
      <w:r w:rsidRPr="00BE4F47">
        <w:rPr>
          <w:rFonts w:ascii="Aptos" w:eastAsia="Calibri" w:hAnsi="Aptos" w:cs="Calibri"/>
          <w:color w:val="1A1A19"/>
          <w:sz w:val="20"/>
          <w:szCs w:val="20"/>
        </w:rPr>
        <w:t>]  Canada</w:t>
      </w:r>
      <w:proofErr w:type="gramEnd"/>
      <w:r w:rsidRPr="00BE4F47">
        <w:rPr>
          <w:rFonts w:ascii="Aptos" w:eastAsia="Calibri" w:hAnsi="Aptos" w:cs="Calibri"/>
          <w:color w:val="1A1A19"/>
          <w:sz w:val="20"/>
          <w:szCs w:val="20"/>
        </w:rPr>
        <w:t xml:space="preserve">, Loi sur la sûreté et la réglementation nucléaires, L.C. 1997, ch. 9.  </w:t>
      </w:r>
      <w:hyperlink r:id="rId35">
        <w:r w:rsidR="00F50D70" w:rsidRPr="00BE4F47">
          <w:rPr>
            <w:rFonts w:ascii="Aptos" w:hAnsi="Aptos"/>
            <w:color w:val="1155CC"/>
            <w:sz w:val="18"/>
            <w:u w:val="single"/>
          </w:rPr>
          <w:t>https://laws-lois.justice.gc.ca/fra/lois/N-28.3/index.html</w:t>
        </w:r>
        <w:bookmarkEnd w:id="517"/>
      </w:hyperlink>
    </w:p>
    <w:p w14:paraId="6FE2FDD3" w14:textId="77777777" w:rsidR="00F50D70" w:rsidRPr="00BE4F47" w:rsidRDefault="00000000" w:rsidP="008E113B">
      <w:pPr>
        <w:spacing w:after="80" w:line="360" w:lineRule="auto"/>
        <w:ind w:left="480" w:hanging="480"/>
        <w:jc w:val="left"/>
        <w:rPr>
          <w:rFonts w:ascii="Aptos" w:hAnsi="Aptos"/>
        </w:rPr>
      </w:pPr>
      <w:bookmarkStart w:id="518" w:name="_Toc241083210"/>
      <w:r w:rsidRPr="00BE4F47">
        <w:rPr>
          <w:rFonts w:ascii="Aptos" w:eastAsia="Calibri" w:hAnsi="Aptos" w:cs="Calibri"/>
          <w:color w:val="1A1A19"/>
          <w:sz w:val="20"/>
          <w:szCs w:val="20"/>
        </w:rPr>
        <w:t>[21</w:t>
      </w:r>
      <w:proofErr w:type="gramStart"/>
      <w:r w:rsidRPr="00BE4F47">
        <w:rPr>
          <w:rFonts w:ascii="Aptos" w:eastAsia="Calibri" w:hAnsi="Aptos" w:cs="Calibri"/>
          <w:color w:val="1A1A19"/>
          <w:sz w:val="20"/>
          <w:szCs w:val="20"/>
        </w:rPr>
        <w:t>]  Canada</w:t>
      </w:r>
      <w:proofErr w:type="gramEnd"/>
      <w:r w:rsidRPr="00BE4F47">
        <w:rPr>
          <w:rFonts w:ascii="Aptos" w:eastAsia="Calibri" w:hAnsi="Aptos" w:cs="Calibri"/>
          <w:color w:val="1A1A19"/>
          <w:sz w:val="20"/>
          <w:szCs w:val="20"/>
        </w:rPr>
        <w:t xml:space="preserve">, Règlement général sur la sûreté et la réglementation nucléaires, DORS/2000-202.  </w:t>
      </w:r>
      <w:hyperlink r:id="rId36">
        <w:r w:rsidR="00F50D70" w:rsidRPr="00BE4F47">
          <w:rPr>
            <w:rFonts w:ascii="Aptos" w:hAnsi="Aptos"/>
            <w:color w:val="1155CC"/>
            <w:sz w:val="18"/>
            <w:u w:val="single"/>
          </w:rPr>
          <w:t>https://laws-lois.justice.gc.ca/fra/reglements/DORS-2000-202/index.html</w:t>
        </w:r>
        <w:bookmarkEnd w:id="518"/>
      </w:hyperlink>
    </w:p>
    <w:p w14:paraId="72306CF4" w14:textId="77777777" w:rsidR="00F50D70" w:rsidRPr="00BE4F47" w:rsidRDefault="00000000" w:rsidP="008E113B">
      <w:pPr>
        <w:spacing w:after="80" w:line="360" w:lineRule="auto"/>
        <w:ind w:left="480" w:hanging="480"/>
        <w:jc w:val="left"/>
        <w:rPr>
          <w:rFonts w:ascii="Aptos" w:hAnsi="Aptos"/>
        </w:rPr>
      </w:pPr>
      <w:bookmarkStart w:id="519" w:name="_Toc241083211"/>
      <w:r w:rsidRPr="00BE4F47">
        <w:rPr>
          <w:rFonts w:ascii="Aptos" w:eastAsia="Calibri" w:hAnsi="Aptos" w:cs="Calibri"/>
          <w:color w:val="1A1A19"/>
          <w:sz w:val="20"/>
          <w:szCs w:val="20"/>
        </w:rPr>
        <w:t>[22</w:t>
      </w:r>
      <w:proofErr w:type="gramStart"/>
      <w:r w:rsidRPr="00BE4F47">
        <w:rPr>
          <w:rFonts w:ascii="Aptos" w:eastAsia="Calibri" w:hAnsi="Aptos" w:cs="Calibri"/>
          <w:color w:val="1A1A19"/>
          <w:sz w:val="20"/>
          <w:szCs w:val="20"/>
        </w:rPr>
        <w:t>]  Canada</w:t>
      </w:r>
      <w:proofErr w:type="gramEnd"/>
      <w:r w:rsidRPr="00BE4F47">
        <w:rPr>
          <w:rFonts w:ascii="Aptos" w:eastAsia="Calibri" w:hAnsi="Aptos" w:cs="Calibri"/>
          <w:color w:val="1A1A19"/>
          <w:sz w:val="20"/>
          <w:szCs w:val="20"/>
        </w:rPr>
        <w:t xml:space="preserve">, Règlement sur les installations nucléaires de catégorie I, DORS/2000-204.  </w:t>
      </w:r>
      <w:hyperlink r:id="rId37">
        <w:r w:rsidR="00F50D70" w:rsidRPr="00BE4F47">
          <w:rPr>
            <w:rFonts w:ascii="Aptos" w:hAnsi="Aptos"/>
            <w:color w:val="1155CC"/>
            <w:sz w:val="18"/>
            <w:u w:val="single"/>
          </w:rPr>
          <w:t>https://laws-lois.justice.gc.ca/fra/reglements/DORS-2000-204/index.html</w:t>
        </w:r>
        <w:bookmarkEnd w:id="519"/>
      </w:hyperlink>
    </w:p>
    <w:p w14:paraId="46D0BCA9" w14:textId="77777777" w:rsidR="00F50D70" w:rsidRPr="00BE4F47" w:rsidRDefault="00000000" w:rsidP="008E113B">
      <w:pPr>
        <w:spacing w:after="80" w:line="360" w:lineRule="auto"/>
        <w:ind w:left="480" w:hanging="480"/>
        <w:jc w:val="left"/>
        <w:rPr>
          <w:rFonts w:ascii="Aptos" w:hAnsi="Aptos"/>
        </w:rPr>
      </w:pPr>
      <w:bookmarkStart w:id="520" w:name="_Toc241083212"/>
      <w:r w:rsidRPr="00BE4F47">
        <w:rPr>
          <w:rFonts w:ascii="Aptos" w:eastAsia="Calibri" w:hAnsi="Aptos" w:cs="Calibri"/>
          <w:color w:val="1A1A19"/>
          <w:sz w:val="20"/>
          <w:szCs w:val="20"/>
          <w:lang w:val="en-CA"/>
        </w:rPr>
        <w:t>[23</w:t>
      </w:r>
      <w:proofErr w:type="gramStart"/>
      <w:r w:rsidRPr="00BE4F47">
        <w:rPr>
          <w:rFonts w:ascii="Aptos" w:eastAsia="Calibri" w:hAnsi="Aptos" w:cs="Calibri"/>
          <w:color w:val="1A1A19"/>
          <w:sz w:val="20"/>
          <w:szCs w:val="20"/>
          <w:lang w:val="en-CA"/>
        </w:rPr>
        <w:t>]  CSA</w:t>
      </w:r>
      <w:proofErr w:type="gramEnd"/>
      <w:r w:rsidRPr="00BE4F47">
        <w:rPr>
          <w:rFonts w:ascii="Aptos" w:eastAsia="Calibri" w:hAnsi="Aptos" w:cs="Calibri"/>
          <w:color w:val="1A1A19"/>
          <w:sz w:val="20"/>
          <w:szCs w:val="20"/>
          <w:lang w:val="en-CA"/>
        </w:rPr>
        <w:t xml:space="preserve"> N290.7:21, Cyber security for nuclear facilities, Groupe CSA, Toronto, 2021.  </w:t>
      </w:r>
      <w:hyperlink r:id="rId38">
        <w:r w:rsidR="00F50D70" w:rsidRPr="00BE4F47">
          <w:rPr>
            <w:rFonts w:ascii="Aptos" w:hAnsi="Aptos"/>
            <w:color w:val="1155CC"/>
            <w:sz w:val="18"/>
            <w:u w:val="single"/>
          </w:rPr>
          <w:t>https://www.csagroup.org/store/product/2428461/</w:t>
        </w:r>
        <w:bookmarkEnd w:id="520"/>
      </w:hyperlink>
    </w:p>
    <w:p w14:paraId="50E26826" w14:textId="77777777" w:rsidR="00F50D70" w:rsidRPr="00BE4F47" w:rsidRDefault="00000000" w:rsidP="008E113B">
      <w:pPr>
        <w:spacing w:after="80" w:line="360" w:lineRule="auto"/>
        <w:ind w:left="480" w:hanging="480"/>
        <w:jc w:val="left"/>
        <w:rPr>
          <w:rFonts w:ascii="Aptos" w:hAnsi="Aptos"/>
        </w:rPr>
      </w:pPr>
      <w:bookmarkStart w:id="521" w:name="_Toc241083213"/>
      <w:r w:rsidRPr="00BE4F47">
        <w:rPr>
          <w:rFonts w:ascii="Aptos" w:eastAsia="Calibri" w:hAnsi="Aptos" w:cs="Calibri"/>
          <w:color w:val="1A1A19"/>
          <w:sz w:val="20"/>
          <w:szCs w:val="20"/>
        </w:rPr>
        <w:t>[24</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/IEC/IEEE 15288:2023, Ingénierie des systèmes et du logiciel, Processus du cycle de vie du système.  </w:t>
      </w:r>
      <w:hyperlink r:id="rId39">
        <w:r w:rsidR="00F50D70" w:rsidRPr="00BE4F47">
          <w:rPr>
            <w:rFonts w:ascii="Aptos" w:hAnsi="Aptos"/>
            <w:color w:val="1155CC"/>
            <w:sz w:val="18"/>
            <w:u w:val="single"/>
          </w:rPr>
          <w:t>https://www.iso.org/fr/standard/81702.html</w:t>
        </w:r>
        <w:bookmarkEnd w:id="521"/>
      </w:hyperlink>
    </w:p>
    <w:p w14:paraId="18C261F5" w14:textId="77777777" w:rsidR="00F50D70" w:rsidRPr="00BE4F47" w:rsidRDefault="00000000" w:rsidP="008E113B">
      <w:pPr>
        <w:spacing w:after="80" w:line="360" w:lineRule="auto"/>
        <w:ind w:left="480" w:hanging="480"/>
        <w:jc w:val="left"/>
        <w:rPr>
          <w:rFonts w:ascii="Aptos" w:hAnsi="Aptos"/>
        </w:rPr>
      </w:pPr>
      <w:bookmarkStart w:id="522" w:name="_Toc241083214"/>
      <w:r w:rsidRPr="00BE4F47">
        <w:rPr>
          <w:rFonts w:ascii="Aptos" w:eastAsia="Calibri" w:hAnsi="Aptos" w:cs="Calibri"/>
          <w:color w:val="1A1A19"/>
          <w:sz w:val="20"/>
          <w:szCs w:val="20"/>
        </w:rPr>
        <w:t>[25</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 23247-1:2021, Systèmes d’automatisation et intégration, Cadre technique de jumeau numérique dans un contexte de fabrication, Partie 1 : Vue d’ensemble et principes généraux.  </w:t>
      </w:r>
      <w:hyperlink r:id="rId40">
        <w:r w:rsidR="00F50D70" w:rsidRPr="00BE4F47">
          <w:rPr>
            <w:rFonts w:ascii="Aptos" w:hAnsi="Aptos"/>
            <w:color w:val="1155CC"/>
            <w:sz w:val="18"/>
            <w:u w:val="single"/>
          </w:rPr>
          <w:t>https://www.iso.org/fr/standard/75066.html</w:t>
        </w:r>
        <w:bookmarkEnd w:id="522"/>
      </w:hyperlink>
    </w:p>
    <w:p w14:paraId="7434B9E9" w14:textId="77777777" w:rsidR="00F50D70" w:rsidRPr="00BE4F47" w:rsidRDefault="00000000" w:rsidP="008E113B">
      <w:pPr>
        <w:spacing w:after="80" w:line="360" w:lineRule="auto"/>
        <w:ind w:left="480" w:hanging="480"/>
        <w:jc w:val="left"/>
        <w:rPr>
          <w:rFonts w:ascii="Aptos" w:hAnsi="Aptos"/>
        </w:rPr>
      </w:pPr>
      <w:bookmarkStart w:id="523" w:name="_Toc241083215"/>
      <w:r w:rsidRPr="00BE4F47">
        <w:rPr>
          <w:rFonts w:ascii="Aptos" w:eastAsia="Calibri" w:hAnsi="Aptos" w:cs="Calibri"/>
          <w:color w:val="1A1A19"/>
          <w:sz w:val="20"/>
          <w:szCs w:val="20"/>
        </w:rPr>
        <w:t>[26</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/IEC 25010:2023, Ingénierie des systèmes et du logiciel, Exigences de qualité et évaluation (</w:t>
      </w:r>
      <w:proofErr w:type="spellStart"/>
      <w:r w:rsidRPr="00BE4F47">
        <w:rPr>
          <w:rFonts w:ascii="Aptos" w:eastAsia="Calibri" w:hAnsi="Aptos" w:cs="Calibri"/>
          <w:color w:val="1A1A19"/>
          <w:sz w:val="20"/>
          <w:szCs w:val="20"/>
        </w:rPr>
        <w:t>SQuaRE</w:t>
      </w:r>
      <w:proofErr w:type="spellEnd"/>
      <w:r w:rsidRPr="00BE4F47">
        <w:rPr>
          <w:rFonts w:ascii="Aptos" w:eastAsia="Calibri" w:hAnsi="Aptos" w:cs="Calibri"/>
          <w:color w:val="1A1A19"/>
          <w:sz w:val="20"/>
          <w:szCs w:val="20"/>
        </w:rPr>
        <w:t xml:space="preserve">), Modèle de qualité du produit.  </w:t>
      </w:r>
      <w:hyperlink r:id="rId41">
        <w:r w:rsidR="00F50D70" w:rsidRPr="00BE4F47">
          <w:rPr>
            <w:rFonts w:ascii="Aptos" w:hAnsi="Aptos"/>
            <w:color w:val="1155CC"/>
            <w:sz w:val="18"/>
            <w:u w:val="single"/>
          </w:rPr>
          <w:t>https://www.iso.org/fr/standard/78176.html</w:t>
        </w:r>
        <w:bookmarkEnd w:id="523"/>
      </w:hyperlink>
    </w:p>
    <w:p w14:paraId="25CD0B8B" w14:textId="77777777" w:rsidR="00F50D70" w:rsidRPr="00BE4F47" w:rsidRDefault="00000000" w:rsidP="008E113B">
      <w:pPr>
        <w:spacing w:after="80" w:line="360" w:lineRule="auto"/>
        <w:ind w:left="480" w:hanging="480"/>
        <w:jc w:val="left"/>
        <w:rPr>
          <w:rFonts w:ascii="Aptos" w:hAnsi="Aptos"/>
          <w:lang w:val="en-CA"/>
        </w:rPr>
      </w:pPr>
      <w:bookmarkStart w:id="524" w:name="_Toc241083216"/>
      <w:r w:rsidRPr="00BE4F47">
        <w:rPr>
          <w:rFonts w:ascii="Aptos" w:eastAsia="Calibri" w:hAnsi="Aptos" w:cs="Calibri"/>
          <w:color w:val="1A1A19"/>
          <w:sz w:val="20"/>
          <w:szCs w:val="20"/>
        </w:rPr>
        <w:lastRenderedPageBreak/>
        <w:t>[27</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 31000:2018, Management du risque, Lignes directrices, Organisation internationale de normalisation, Genève, 2018.  </w:t>
      </w:r>
      <w:hyperlink r:id="rId42">
        <w:r w:rsidR="00F50D70" w:rsidRPr="00BE4F47">
          <w:rPr>
            <w:rFonts w:ascii="Aptos" w:hAnsi="Aptos"/>
            <w:color w:val="1155CC"/>
            <w:sz w:val="18"/>
            <w:u w:val="single"/>
            <w:lang w:val="en-CA"/>
          </w:rPr>
          <w:t>https://www.iso.org/fr/standard/65694.html</w:t>
        </w:r>
        <w:bookmarkEnd w:id="524"/>
      </w:hyperlink>
    </w:p>
    <w:p w14:paraId="46409C8D" w14:textId="77777777" w:rsidR="00F50D70" w:rsidRPr="00BE4F47" w:rsidRDefault="00000000" w:rsidP="008E113B">
      <w:pPr>
        <w:spacing w:after="80" w:line="360" w:lineRule="auto"/>
        <w:ind w:left="480" w:hanging="480"/>
        <w:jc w:val="left"/>
        <w:rPr>
          <w:rFonts w:ascii="Aptos" w:hAnsi="Aptos"/>
        </w:rPr>
      </w:pPr>
      <w:bookmarkStart w:id="525" w:name="_Toc241083217"/>
      <w:r w:rsidRPr="00BE4F47">
        <w:rPr>
          <w:rFonts w:ascii="Aptos" w:eastAsia="Calibri" w:hAnsi="Aptos" w:cs="Calibri"/>
          <w:color w:val="1A1A19"/>
          <w:sz w:val="20"/>
          <w:szCs w:val="20"/>
          <w:lang w:val="en-CA"/>
        </w:rPr>
        <w:t>[28</w:t>
      </w:r>
      <w:proofErr w:type="gramStart"/>
      <w:r w:rsidRPr="00BE4F47">
        <w:rPr>
          <w:rFonts w:ascii="Aptos" w:eastAsia="Calibri" w:hAnsi="Aptos" w:cs="Calibri"/>
          <w:color w:val="1A1A19"/>
          <w:sz w:val="20"/>
          <w:szCs w:val="20"/>
          <w:lang w:val="en-CA"/>
        </w:rPr>
        <w:t>]  ASME</w:t>
      </w:r>
      <w:proofErr w:type="gramEnd"/>
      <w:r w:rsidRPr="00BE4F47">
        <w:rPr>
          <w:rFonts w:ascii="Aptos" w:eastAsia="Calibri" w:hAnsi="Aptos" w:cs="Calibri"/>
          <w:color w:val="1A1A19"/>
          <w:sz w:val="20"/>
          <w:szCs w:val="20"/>
          <w:lang w:val="en-CA"/>
        </w:rPr>
        <w:t xml:space="preserve"> V&amp;V 20-2009 (R2021), Standard for Verification and Validation in Computational Fluid Dynamics and Heat Transfer, American Society of Mechanical Engineers.  </w:t>
      </w:r>
      <w:hyperlink r:id="rId43">
        <w:r w:rsidR="00F50D70" w:rsidRPr="00BE4F47">
          <w:rPr>
            <w:rFonts w:ascii="Aptos" w:hAnsi="Aptos"/>
            <w:color w:val="1155CC"/>
            <w:sz w:val="18"/>
            <w:u w:val="single"/>
          </w:rPr>
          <w:t>https://www.asme.org/codes-standards/find-codes-standards/standard-for-verification-and-validation-in-computational-fluid-dynamics-and-heat-transfer</w:t>
        </w:r>
        <w:bookmarkEnd w:id="525"/>
      </w:hyperlink>
    </w:p>
    <w:p w14:paraId="37C2AAE2" w14:textId="77777777" w:rsidR="00F50D70" w:rsidRPr="00BE4F47" w:rsidRDefault="00000000" w:rsidP="008E113B">
      <w:pPr>
        <w:spacing w:after="80" w:line="360" w:lineRule="auto"/>
        <w:ind w:left="480" w:hanging="480"/>
        <w:jc w:val="left"/>
        <w:rPr>
          <w:rFonts w:ascii="Aptos" w:hAnsi="Aptos"/>
        </w:rPr>
      </w:pPr>
      <w:bookmarkStart w:id="526" w:name="_Toc241083218"/>
      <w:r w:rsidRPr="00BE4F47">
        <w:rPr>
          <w:rFonts w:ascii="Aptos" w:eastAsia="Calibri" w:hAnsi="Aptos" w:cs="Calibri"/>
          <w:color w:val="1A1A19"/>
          <w:sz w:val="20"/>
          <w:szCs w:val="20"/>
          <w:lang w:val="en-CA"/>
        </w:rPr>
        <w:t>[29</w:t>
      </w:r>
      <w:proofErr w:type="gramStart"/>
      <w:r w:rsidRPr="00BE4F47">
        <w:rPr>
          <w:rFonts w:ascii="Aptos" w:eastAsia="Calibri" w:hAnsi="Aptos" w:cs="Calibri"/>
          <w:color w:val="1A1A19"/>
          <w:sz w:val="20"/>
          <w:szCs w:val="20"/>
          <w:lang w:val="en-CA"/>
        </w:rPr>
        <w:t>]  IEEE</w:t>
      </w:r>
      <w:proofErr w:type="gramEnd"/>
      <w:r w:rsidRPr="00BE4F47">
        <w:rPr>
          <w:rFonts w:ascii="Aptos" w:eastAsia="Calibri" w:hAnsi="Aptos" w:cs="Calibri"/>
          <w:color w:val="1A1A19"/>
          <w:sz w:val="20"/>
          <w:szCs w:val="20"/>
          <w:lang w:val="en-CA"/>
        </w:rPr>
        <w:t xml:space="preserve"> 1012-2024, IEEE Standard for System, Software, and Hardware Verification and Validation.  </w:t>
      </w:r>
      <w:hyperlink r:id="rId44">
        <w:r w:rsidR="00F50D70" w:rsidRPr="00BE4F47">
          <w:rPr>
            <w:rFonts w:ascii="Aptos" w:hAnsi="Aptos"/>
            <w:color w:val="1155CC"/>
            <w:sz w:val="18"/>
            <w:u w:val="single"/>
          </w:rPr>
          <w:t>https://standards.ieee.org/ieee/1012/7324</w:t>
        </w:r>
        <w:bookmarkEnd w:id="526"/>
      </w:hyperlink>
    </w:p>
    <w:p w14:paraId="42227BE4" w14:textId="77777777" w:rsidR="00F50D70" w:rsidRPr="00BE4F47" w:rsidRDefault="00000000" w:rsidP="008E113B">
      <w:pPr>
        <w:spacing w:after="80" w:line="360" w:lineRule="auto"/>
        <w:ind w:left="480" w:hanging="480"/>
        <w:jc w:val="left"/>
        <w:rPr>
          <w:rFonts w:ascii="Aptos" w:hAnsi="Aptos"/>
          <w:lang w:val="en-CA"/>
        </w:rPr>
      </w:pPr>
      <w:bookmarkStart w:id="527" w:name="_Toc241083219"/>
      <w:r w:rsidRPr="00BE4F47">
        <w:rPr>
          <w:rFonts w:ascii="Aptos" w:eastAsia="Calibri" w:hAnsi="Aptos" w:cs="Calibri"/>
          <w:color w:val="1A1A19"/>
          <w:sz w:val="20"/>
          <w:szCs w:val="20"/>
        </w:rPr>
        <w:t>[30</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 9241-210:2019, Ergonomie de l’interaction homme-système, Partie 210 : Conception centrée sur l’opérateur humain pour les systèmes interactifs.  </w:t>
      </w:r>
      <w:hyperlink r:id="rId45">
        <w:r w:rsidR="00F50D70" w:rsidRPr="00BE4F47">
          <w:rPr>
            <w:rFonts w:ascii="Aptos" w:hAnsi="Aptos"/>
            <w:color w:val="1155CC"/>
            <w:sz w:val="18"/>
            <w:u w:val="single"/>
            <w:lang w:val="en-CA"/>
          </w:rPr>
          <w:t>https://www.iso.org/fr/standard/77520.html</w:t>
        </w:r>
        <w:bookmarkEnd w:id="527"/>
      </w:hyperlink>
    </w:p>
    <w:p w14:paraId="3FF7A0DC" w14:textId="77777777" w:rsidR="00F50D70" w:rsidRPr="00BE4F47" w:rsidRDefault="00000000" w:rsidP="008E113B">
      <w:pPr>
        <w:spacing w:after="80" w:line="360" w:lineRule="auto"/>
        <w:ind w:left="480" w:hanging="480"/>
        <w:jc w:val="left"/>
        <w:rPr>
          <w:rFonts w:ascii="Aptos" w:hAnsi="Aptos"/>
          <w:lang w:val="en-CA"/>
        </w:rPr>
      </w:pPr>
      <w:bookmarkStart w:id="528" w:name="_Toc241083220"/>
      <w:r w:rsidRPr="00BE4F47">
        <w:rPr>
          <w:rFonts w:ascii="Aptos" w:eastAsia="Calibri" w:hAnsi="Aptos" w:cs="Calibri"/>
          <w:color w:val="1A1A19"/>
          <w:sz w:val="20"/>
          <w:szCs w:val="20"/>
          <w:lang w:val="en-CA"/>
        </w:rPr>
        <w:t>[31</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62645:2019, Nuclear power plants, Instrumentation, control and electrical power systems, Cybersecurity requirements.  </w:t>
      </w:r>
      <w:hyperlink r:id="rId46">
        <w:r w:rsidR="00F50D70" w:rsidRPr="00BE4F47">
          <w:rPr>
            <w:rFonts w:ascii="Aptos" w:hAnsi="Aptos"/>
            <w:color w:val="1155CC"/>
            <w:sz w:val="18"/>
            <w:u w:val="single"/>
            <w:lang w:val="en-CA"/>
          </w:rPr>
          <w:t>https://webstore.iec.ch/en/publication/32904</w:t>
        </w:r>
        <w:bookmarkEnd w:id="528"/>
      </w:hyperlink>
    </w:p>
    <w:p w14:paraId="19E2F942" w14:textId="77777777" w:rsidR="00F50D70" w:rsidRPr="00BE4F47" w:rsidRDefault="00000000" w:rsidP="008E113B">
      <w:pPr>
        <w:spacing w:after="80" w:line="360" w:lineRule="auto"/>
        <w:ind w:left="480" w:hanging="480"/>
        <w:jc w:val="left"/>
        <w:rPr>
          <w:rFonts w:ascii="Aptos" w:hAnsi="Aptos"/>
          <w:lang w:val="en-CA"/>
        </w:rPr>
      </w:pPr>
      <w:bookmarkStart w:id="529" w:name="_Toc241083221"/>
      <w:r w:rsidRPr="00BE4F47">
        <w:rPr>
          <w:rFonts w:ascii="Aptos" w:eastAsia="Calibri" w:hAnsi="Aptos" w:cs="Calibri"/>
          <w:color w:val="1A1A19"/>
          <w:sz w:val="20"/>
          <w:szCs w:val="20"/>
          <w:lang w:val="en-CA"/>
        </w:rPr>
        <w:t>[32</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63096:2020, Nuclear power plants, Instrumentation, control and electrical power systems, Security controls.  </w:t>
      </w:r>
      <w:hyperlink r:id="rId47">
        <w:r w:rsidR="00F50D70" w:rsidRPr="00BE4F47">
          <w:rPr>
            <w:rFonts w:ascii="Aptos" w:hAnsi="Aptos"/>
            <w:color w:val="1155CC"/>
            <w:sz w:val="18"/>
            <w:u w:val="single"/>
            <w:lang w:val="en-CA"/>
          </w:rPr>
          <w:t>https://webstore.iec.ch/en/publication/32900</w:t>
        </w:r>
        <w:bookmarkEnd w:id="529"/>
      </w:hyperlink>
    </w:p>
    <w:p w14:paraId="33810A95" w14:textId="77777777" w:rsidR="00F50D70" w:rsidRPr="00BE4F47" w:rsidRDefault="00000000" w:rsidP="008E113B">
      <w:pPr>
        <w:spacing w:after="80" w:line="360" w:lineRule="auto"/>
        <w:ind w:left="480" w:hanging="480"/>
        <w:jc w:val="left"/>
        <w:rPr>
          <w:rFonts w:ascii="Aptos" w:hAnsi="Aptos"/>
          <w:lang w:val="en-CA"/>
        </w:rPr>
      </w:pPr>
      <w:bookmarkStart w:id="530" w:name="_Toc241083222"/>
      <w:r w:rsidRPr="00BE4F47">
        <w:rPr>
          <w:rFonts w:ascii="Aptos" w:eastAsia="Calibri" w:hAnsi="Aptos" w:cs="Calibri"/>
          <w:color w:val="1A1A19"/>
          <w:sz w:val="20"/>
          <w:szCs w:val="20"/>
          <w:lang w:val="en-CA"/>
        </w:rPr>
        <w:t>[33</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62859:2016 et son </w:t>
      </w:r>
      <w:proofErr w:type="spellStart"/>
      <w:r w:rsidRPr="00BE4F47">
        <w:rPr>
          <w:rFonts w:ascii="Aptos" w:eastAsia="Calibri" w:hAnsi="Aptos" w:cs="Calibri"/>
          <w:color w:val="1A1A19"/>
          <w:sz w:val="20"/>
          <w:szCs w:val="20"/>
          <w:lang w:val="en-CA"/>
        </w:rPr>
        <w:t>amendement</w:t>
      </w:r>
      <w:proofErr w:type="spellEnd"/>
      <w:r w:rsidRPr="00BE4F47">
        <w:rPr>
          <w:rFonts w:ascii="Aptos" w:eastAsia="Calibri" w:hAnsi="Aptos" w:cs="Calibri"/>
          <w:color w:val="1A1A19"/>
          <w:sz w:val="20"/>
          <w:szCs w:val="20"/>
          <w:lang w:val="en-CA"/>
        </w:rPr>
        <w:t xml:space="preserve"> A1:2019, Nuclear power plants, Instrumentation and control systems, Requirements for coordinating safety and cybersecurity.  </w:t>
      </w:r>
      <w:hyperlink r:id="rId48">
        <w:r w:rsidR="00F50D70" w:rsidRPr="00BE4F47">
          <w:rPr>
            <w:rFonts w:ascii="Aptos" w:hAnsi="Aptos"/>
            <w:color w:val="1155CC"/>
            <w:sz w:val="18"/>
            <w:u w:val="single"/>
            <w:lang w:val="en-CA"/>
          </w:rPr>
          <w:t>https://webstore.iec.ch/en/publication/26131</w:t>
        </w:r>
        <w:bookmarkEnd w:id="530"/>
      </w:hyperlink>
    </w:p>
    <w:p w14:paraId="787FB30B" w14:textId="77777777" w:rsidR="00F50D70" w:rsidRPr="00BE4F47" w:rsidRDefault="00000000" w:rsidP="008E113B">
      <w:pPr>
        <w:spacing w:after="80" w:line="360" w:lineRule="auto"/>
        <w:ind w:left="480" w:hanging="480"/>
        <w:jc w:val="left"/>
        <w:rPr>
          <w:rFonts w:ascii="Aptos" w:hAnsi="Aptos"/>
          <w:lang w:val="en-CA"/>
        </w:rPr>
      </w:pPr>
      <w:bookmarkStart w:id="531" w:name="_Toc241083223"/>
      <w:r w:rsidRPr="00BE4F47">
        <w:rPr>
          <w:rFonts w:ascii="Aptos" w:eastAsia="Calibri" w:hAnsi="Aptos" w:cs="Calibri"/>
          <w:color w:val="1A1A19"/>
          <w:sz w:val="20"/>
          <w:szCs w:val="20"/>
          <w:lang w:val="en-CA"/>
        </w:rPr>
        <w:t>[34</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61513:2026 (</w:t>
      </w:r>
      <w:proofErr w:type="spellStart"/>
      <w:r w:rsidRPr="00BE4F47">
        <w:rPr>
          <w:rFonts w:ascii="Aptos" w:eastAsia="Calibri" w:hAnsi="Aptos" w:cs="Calibri"/>
          <w:color w:val="1A1A19"/>
          <w:sz w:val="20"/>
          <w:szCs w:val="20"/>
          <w:lang w:val="en-CA"/>
        </w:rPr>
        <w:t>éd</w:t>
      </w:r>
      <w:proofErr w:type="spellEnd"/>
      <w:r w:rsidRPr="00BE4F47">
        <w:rPr>
          <w:rFonts w:ascii="Aptos" w:eastAsia="Calibri" w:hAnsi="Aptos" w:cs="Calibri"/>
          <w:color w:val="1A1A19"/>
          <w:sz w:val="20"/>
          <w:szCs w:val="20"/>
          <w:lang w:val="en-CA"/>
        </w:rPr>
        <w:t xml:space="preserve">. 3.0), Nuclear power plants, Instrumentation and control important to safety, General requirements for systems.  </w:t>
      </w:r>
      <w:hyperlink r:id="rId49">
        <w:r w:rsidR="00F50D70" w:rsidRPr="00BE4F47">
          <w:rPr>
            <w:rFonts w:ascii="Aptos" w:hAnsi="Aptos"/>
            <w:color w:val="1155CC"/>
            <w:sz w:val="18"/>
            <w:u w:val="single"/>
            <w:lang w:val="en-CA"/>
          </w:rPr>
          <w:t>https://webstore.iec.ch/en/publication/76309</w:t>
        </w:r>
        <w:bookmarkEnd w:id="531"/>
      </w:hyperlink>
    </w:p>
    <w:p w14:paraId="5604A0AF" w14:textId="77777777" w:rsidR="00F50D70" w:rsidRPr="00BE4F47" w:rsidRDefault="00000000" w:rsidP="008E113B">
      <w:pPr>
        <w:spacing w:after="80" w:line="360" w:lineRule="auto"/>
        <w:ind w:left="480" w:hanging="480"/>
        <w:jc w:val="left"/>
        <w:rPr>
          <w:rFonts w:ascii="Aptos" w:hAnsi="Aptos"/>
          <w:lang w:val="en-CA"/>
        </w:rPr>
      </w:pPr>
      <w:bookmarkStart w:id="532" w:name="_Toc241083224"/>
      <w:r w:rsidRPr="00BE4F47">
        <w:rPr>
          <w:rFonts w:ascii="Aptos" w:eastAsia="Calibri" w:hAnsi="Aptos" w:cs="Calibri"/>
          <w:color w:val="1A1A19"/>
          <w:sz w:val="20"/>
          <w:szCs w:val="20"/>
          <w:lang w:val="en-CA"/>
        </w:rPr>
        <w:t>[35</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60880:2006, Nuclear power plants, Instrumentation and control systems important to safety, Software aspects for computer-based systems performing category A functions.  </w:t>
      </w:r>
      <w:hyperlink r:id="rId50">
        <w:r w:rsidR="00F50D70" w:rsidRPr="00BE4F47">
          <w:rPr>
            <w:rFonts w:ascii="Aptos" w:hAnsi="Aptos"/>
            <w:color w:val="1155CC"/>
            <w:sz w:val="18"/>
            <w:u w:val="single"/>
            <w:lang w:val="en-CA"/>
          </w:rPr>
          <w:t>https://webstore.iec.ch/en/publication/3795</w:t>
        </w:r>
        <w:bookmarkEnd w:id="532"/>
      </w:hyperlink>
    </w:p>
    <w:p w14:paraId="0A9544CD" w14:textId="77777777" w:rsidR="00F50D70" w:rsidRPr="00BE4F47" w:rsidRDefault="00000000" w:rsidP="008E113B">
      <w:pPr>
        <w:spacing w:after="80" w:line="360" w:lineRule="auto"/>
        <w:ind w:left="480" w:hanging="480"/>
        <w:jc w:val="left"/>
        <w:rPr>
          <w:rFonts w:ascii="Aptos" w:hAnsi="Aptos"/>
        </w:rPr>
      </w:pPr>
      <w:bookmarkStart w:id="533" w:name="_Toc241083225"/>
      <w:r w:rsidRPr="00BE4F47">
        <w:rPr>
          <w:rFonts w:ascii="Aptos" w:eastAsia="Calibri" w:hAnsi="Aptos" w:cs="Calibri"/>
          <w:color w:val="1A1A19"/>
          <w:sz w:val="20"/>
          <w:szCs w:val="20"/>
          <w:lang w:val="en-CA"/>
        </w:rPr>
        <w:t>[36</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62138:2018, Nuclear power plants, Instrumentation and control systems important to safety, Software aspects for computer-based systems performing category B or C functions.  </w:t>
      </w:r>
      <w:hyperlink r:id="rId51">
        <w:r w:rsidR="00F50D70" w:rsidRPr="00BE4F47">
          <w:rPr>
            <w:rFonts w:ascii="Aptos" w:hAnsi="Aptos"/>
            <w:color w:val="1155CC"/>
            <w:sz w:val="18"/>
            <w:u w:val="single"/>
          </w:rPr>
          <w:t>https://webstore.iec.ch/en/publication/30172</w:t>
        </w:r>
        <w:bookmarkEnd w:id="533"/>
      </w:hyperlink>
    </w:p>
    <w:p w14:paraId="1B7D1D2E" w14:textId="77777777" w:rsidR="00F50D70" w:rsidRPr="00BE4F47" w:rsidRDefault="00000000" w:rsidP="008E113B">
      <w:pPr>
        <w:spacing w:after="80" w:line="360" w:lineRule="auto"/>
        <w:ind w:left="480" w:hanging="480"/>
        <w:jc w:val="left"/>
        <w:rPr>
          <w:rFonts w:ascii="Aptos" w:hAnsi="Aptos"/>
        </w:rPr>
      </w:pPr>
      <w:bookmarkStart w:id="534" w:name="_Toc241083226"/>
      <w:r w:rsidRPr="00BE4F47">
        <w:rPr>
          <w:rFonts w:ascii="Aptos" w:eastAsia="Calibri" w:hAnsi="Aptos" w:cs="Calibri"/>
          <w:color w:val="1A1A19"/>
          <w:sz w:val="20"/>
          <w:szCs w:val="20"/>
        </w:rPr>
        <w:t>[37</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 27001:2022, Sécurité de l’information, cybersécurité et protection de la vie privée, Systèmes de management de la sécurité de l’information, Exigences.  </w:t>
      </w:r>
      <w:hyperlink r:id="rId52">
        <w:r w:rsidR="00F50D70" w:rsidRPr="00BE4F47">
          <w:rPr>
            <w:rFonts w:ascii="Aptos" w:hAnsi="Aptos"/>
            <w:color w:val="1155CC"/>
            <w:sz w:val="18"/>
            <w:u w:val="single"/>
          </w:rPr>
          <w:t>https://www.iso.org/fr/standard/82875.html</w:t>
        </w:r>
        <w:bookmarkEnd w:id="534"/>
      </w:hyperlink>
    </w:p>
    <w:p w14:paraId="29D523BC" w14:textId="77777777" w:rsidR="00F50D70" w:rsidRPr="00BE4F47" w:rsidRDefault="00000000" w:rsidP="008E113B">
      <w:pPr>
        <w:spacing w:after="80" w:line="360" w:lineRule="auto"/>
        <w:ind w:left="480" w:hanging="480"/>
        <w:jc w:val="left"/>
        <w:rPr>
          <w:rFonts w:ascii="Aptos" w:hAnsi="Aptos"/>
        </w:rPr>
      </w:pPr>
      <w:bookmarkStart w:id="535" w:name="_Toc241083227"/>
      <w:r w:rsidRPr="00BE4F47">
        <w:rPr>
          <w:rFonts w:ascii="Aptos" w:eastAsia="Calibri" w:hAnsi="Aptos" w:cs="Calibri"/>
          <w:color w:val="1A1A19"/>
          <w:sz w:val="20"/>
          <w:szCs w:val="20"/>
        </w:rPr>
        <w:t>[38</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 27005:2022, Sécurité de l’information, cybersécurité et protection de la vie privée, Préconisations pour la gestion des risques liés à la sécurité de l’information.  </w:t>
      </w:r>
      <w:hyperlink r:id="rId53">
        <w:r w:rsidR="00F50D70" w:rsidRPr="00BE4F47">
          <w:rPr>
            <w:rFonts w:ascii="Aptos" w:hAnsi="Aptos"/>
            <w:color w:val="1155CC"/>
            <w:sz w:val="18"/>
            <w:u w:val="single"/>
          </w:rPr>
          <w:t>https://www.iso.org/fr/standard/80585.html</w:t>
        </w:r>
        <w:bookmarkEnd w:id="535"/>
      </w:hyperlink>
    </w:p>
    <w:p w14:paraId="70C8BBB6" w14:textId="77777777" w:rsidR="00F50D70" w:rsidRPr="00BE4F47" w:rsidRDefault="00000000" w:rsidP="008E113B">
      <w:pPr>
        <w:spacing w:after="80" w:line="360" w:lineRule="auto"/>
        <w:ind w:left="480" w:hanging="480"/>
        <w:jc w:val="left"/>
        <w:rPr>
          <w:rFonts w:ascii="Aptos" w:hAnsi="Aptos"/>
        </w:rPr>
      </w:pPr>
      <w:bookmarkStart w:id="536" w:name="_Toc241083228"/>
      <w:r w:rsidRPr="00BE4F47">
        <w:rPr>
          <w:rFonts w:ascii="Aptos" w:eastAsia="Calibri" w:hAnsi="Aptos" w:cs="Calibri"/>
          <w:color w:val="1A1A19"/>
          <w:sz w:val="20"/>
          <w:szCs w:val="20"/>
        </w:rPr>
        <w:t>[39</w:t>
      </w:r>
      <w:proofErr w:type="gramStart"/>
      <w:r w:rsidRPr="00BE4F47">
        <w:rPr>
          <w:rFonts w:ascii="Aptos" w:eastAsia="Calibri" w:hAnsi="Aptos" w:cs="Calibri"/>
          <w:color w:val="1A1A19"/>
          <w:sz w:val="20"/>
          <w:szCs w:val="20"/>
        </w:rPr>
        <w:t>]  Ordre</w:t>
      </w:r>
      <w:proofErr w:type="gramEnd"/>
      <w:r w:rsidRPr="00BE4F47">
        <w:rPr>
          <w:rFonts w:ascii="Aptos" w:eastAsia="Calibri" w:hAnsi="Aptos" w:cs="Calibri"/>
          <w:color w:val="1A1A19"/>
          <w:sz w:val="20"/>
          <w:szCs w:val="20"/>
        </w:rPr>
        <w:t xml:space="preserve"> des ingénieurs du Québec, « Méthodes d’identification des dangers et d’analyse des risques », Guide de pratique professionnelle.  </w:t>
      </w:r>
      <w:hyperlink r:id="rId54">
        <w:r w:rsidR="00F50D70" w:rsidRPr="00BE4F47">
          <w:rPr>
            <w:rFonts w:ascii="Aptos" w:hAnsi="Aptos"/>
            <w:color w:val="1155CC"/>
            <w:sz w:val="18"/>
            <w:u w:val="single"/>
          </w:rPr>
          <w:t>http://gpp.oiq.qc.ca/Methodes_d_identification_des_dangers_et_d_analyse_des_risques.htm</w:t>
        </w:r>
        <w:bookmarkEnd w:id="536"/>
      </w:hyperlink>
    </w:p>
    <w:p w14:paraId="5FD61BD8" w14:textId="77777777" w:rsidR="00F50D70" w:rsidRPr="00BE4F47" w:rsidRDefault="00000000" w:rsidP="008E113B">
      <w:pPr>
        <w:spacing w:after="80" w:line="360" w:lineRule="auto"/>
        <w:ind w:left="480" w:hanging="480"/>
        <w:jc w:val="left"/>
        <w:rPr>
          <w:rFonts w:ascii="Aptos" w:hAnsi="Aptos"/>
        </w:rPr>
      </w:pPr>
      <w:bookmarkStart w:id="537" w:name="_Toc241083229"/>
      <w:r w:rsidRPr="00BE4F47">
        <w:rPr>
          <w:rFonts w:ascii="Aptos" w:eastAsia="Calibri" w:hAnsi="Aptos" w:cs="Calibri"/>
          <w:color w:val="1A1A19"/>
          <w:sz w:val="20"/>
          <w:szCs w:val="20"/>
        </w:rPr>
        <w:t>[40</w:t>
      </w:r>
      <w:proofErr w:type="gramStart"/>
      <w:r w:rsidRPr="00BE4F47">
        <w:rPr>
          <w:rFonts w:ascii="Aptos" w:eastAsia="Calibri" w:hAnsi="Aptos" w:cs="Calibri"/>
          <w:color w:val="1A1A19"/>
          <w:sz w:val="20"/>
          <w:szCs w:val="20"/>
        </w:rPr>
        <w:t>]  Québec</w:t>
      </w:r>
      <w:proofErr w:type="gramEnd"/>
      <w:r w:rsidRPr="00BE4F47">
        <w:rPr>
          <w:rFonts w:ascii="Aptos" w:eastAsia="Calibri" w:hAnsi="Aptos" w:cs="Calibri"/>
          <w:color w:val="1A1A19"/>
          <w:sz w:val="20"/>
          <w:szCs w:val="20"/>
        </w:rPr>
        <w:t xml:space="preserve">, Code de déontologie des ingénieurs, RLRQ, chapitre I-9, r. 6.  </w:t>
      </w:r>
      <w:hyperlink r:id="rId55">
        <w:r w:rsidR="00F50D70" w:rsidRPr="00BE4F47">
          <w:rPr>
            <w:rFonts w:ascii="Aptos" w:hAnsi="Aptos"/>
            <w:color w:val="1155CC"/>
            <w:sz w:val="18"/>
            <w:u w:val="single"/>
          </w:rPr>
          <w:t>https://www.legisquebec.gouv.qc.ca/fr/document/rc/I-9,%20r.%206%20/</w:t>
        </w:r>
        <w:bookmarkEnd w:id="537"/>
      </w:hyperlink>
    </w:p>
    <w:p w14:paraId="33F70882" w14:textId="77777777" w:rsidR="00F50D70" w:rsidRPr="00BE4F47" w:rsidRDefault="00000000" w:rsidP="008E113B">
      <w:pPr>
        <w:spacing w:after="80" w:line="360" w:lineRule="auto"/>
        <w:ind w:left="480" w:hanging="480"/>
        <w:jc w:val="left"/>
        <w:rPr>
          <w:rFonts w:ascii="Aptos" w:hAnsi="Aptos"/>
        </w:rPr>
      </w:pPr>
      <w:bookmarkStart w:id="538" w:name="_Toc241083230"/>
      <w:r w:rsidRPr="00BE4F47">
        <w:rPr>
          <w:rFonts w:ascii="Aptos" w:eastAsia="Calibri" w:hAnsi="Aptos" w:cs="Calibri"/>
          <w:color w:val="1A1A19"/>
          <w:sz w:val="20"/>
          <w:szCs w:val="20"/>
        </w:rPr>
        <w:lastRenderedPageBreak/>
        <w:t>[41</w:t>
      </w:r>
      <w:proofErr w:type="gramStart"/>
      <w:r w:rsidRPr="00BE4F47">
        <w:rPr>
          <w:rFonts w:ascii="Aptos" w:eastAsia="Calibri" w:hAnsi="Aptos" w:cs="Calibri"/>
          <w:color w:val="1A1A19"/>
          <w:sz w:val="20"/>
          <w:szCs w:val="20"/>
        </w:rPr>
        <w:t>]  Organisation</w:t>
      </w:r>
      <w:proofErr w:type="gramEnd"/>
      <w:r w:rsidRPr="00BE4F47">
        <w:rPr>
          <w:rFonts w:ascii="Aptos" w:eastAsia="Calibri" w:hAnsi="Aptos" w:cs="Calibri"/>
          <w:color w:val="1A1A19"/>
          <w:sz w:val="20"/>
          <w:szCs w:val="20"/>
        </w:rPr>
        <w:t xml:space="preserve"> des Nations unies, Objectifs de développement durable, objectifs 7 et 9.  </w:t>
      </w:r>
      <w:hyperlink r:id="rId56">
        <w:r w:rsidR="00F50D70" w:rsidRPr="00BE4F47">
          <w:rPr>
            <w:rFonts w:ascii="Aptos" w:hAnsi="Aptos"/>
            <w:color w:val="1155CC"/>
            <w:sz w:val="18"/>
            <w:u w:val="single"/>
          </w:rPr>
          <w:t>https://www.un.org/sustainabledevelopment/fr/objectifs-de-developpement-durable/</w:t>
        </w:r>
        <w:bookmarkEnd w:id="538"/>
      </w:hyperlink>
    </w:p>
    <w:p w14:paraId="270E314E" w14:textId="77777777" w:rsidR="00F50D70" w:rsidRPr="00BE4F47" w:rsidRDefault="00000000" w:rsidP="008E113B">
      <w:pPr>
        <w:spacing w:after="80" w:line="360" w:lineRule="auto"/>
        <w:ind w:left="480" w:hanging="480"/>
        <w:jc w:val="left"/>
        <w:rPr>
          <w:rFonts w:ascii="Aptos" w:hAnsi="Aptos"/>
        </w:rPr>
      </w:pPr>
      <w:bookmarkStart w:id="539" w:name="_Toc241083231"/>
      <w:r w:rsidRPr="00BE4F47">
        <w:rPr>
          <w:rFonts w:ascii="Aptos" w:eastAsia="Calibri" w:hAnsi="Aptos" w:cs="Calibri"/>
          <w:color w:val="1A1A19"/>
          <w:sz w:val="20"/>
          <w:szCs w:val="20"/>
          <w:lang w:val="en-CA"/>
        </w:rPr>
        <w:t>[42</w:t>
      </w:r>
      <w:proofErr w:type="gramStart"/>
      <w:r w:rsidRPr="00BE4F47">
        <w:rPr>
          <w:rFonts w:ascii="Aptos" w:eastAsia="Calibri" w:hAnsi="Aptos" w:cs="Calibri"/>
          <w:color w:val="1A1A19"/>
          <w:sz w:val="20"/>
          <w:szCs w:val="20"/>
          <w:lang w:val="en-CA"/>
        </w:rPr>
        <w:t>]  AACE</w:t>
      </w:r>
      <w:proofErr w:type="gramEnd"/>
      <w:r w:rsidRPr="00BE4F47">
        <w:rPr>
          <w:rFonts w:ascii="Aptos" w:eastAsia="Calibri" w:hAnsi="Aptos" w:cs="Calibri"/>
          <w:color w:val="1A1A19"/>
          <w:sz w:val="20"/>
          <w:szCs w:val="20"/>
          <w:lang w:val="en-CA"/>
        </w:rPr>
        <w:t xml:space="preserve"> International, Recommended Practice No. 18R-97, Cost Estimate Classification System as Applied in Engineering, Procurement, and Construction for the Process Industries, </w:t>
      </w:r>
      <w:proofErr w:type="spellStart"/>
      <w:r w:rsidRPr="00BE4F47">
        <w:rPr>
          <w:rFonts w:ascii="Aptos" w:eastAsia="Calibri" w:hAnsi="Aptos" w:cs="Calibri"/>
          <w:color w:val="1A1A19"/>
          <w:sz w:val="20"/>
          <w:szCs w:val="20"/>
          <w:lang w:val="en-CA"/>
        </w:rPr>
        <w:t>rév</w:t>
      </w:r>
      <w:proofErr w:type="spellEnd"/>
      <w:r w:rsidRPr="00BE4F47">
        <w:rPr>
          <w:rFonts w:ascii="Aptos" w:eastAsia="Calibri" w:hAnsi="Aptos" w:cs="Calibri"/>
          <w:color w:val="1A1A19"/>
          <w:sz w:val="20"/>
          <w:szCs w:val="20"/>
          <w:lang w:val="en-CA"/>
        </w:rPr>
        <w:t xml:space="preserve">. du 7 </w:t>
      </w:r>
      <w:proofErr w:type="spellStart"/>
      <w:r w:rsidRPr="00BE4F47">
        <w:rPr>
          <w:rFonts w:ascii="Aptos" w:eastAsia="Calibri" w:hAnsi="Aptos" w:cs="Calibri"/>
          <w:color w:val="1A1A19"/>
          <w:sz w:val="20"/>
          <w:szCs w:val="20"/>
          <w:lang w:val="en-CA"/>
        </w:rPr>
        <w:t>août</w:t>
      </w:r>
      <w:proofErr w:type="spellEnd"/>
      <w:r w:rsidRPr="00BE4F47">
        <w:rPr>
          <w:rFonts w:ascii="Aptos" w:eastAsia="Calibri" w:hAnsi="Aptos" w:cs="Calibri"/>
          <w:color w:val="1A1A19"/>
          <w:sz w:val="20"/>
          <w:szCs w:val="20"/>
          <w:lang w:val="en-CA"/>
        </w:rPr>
        <w:t xml:space="preserve"> 2020.  </w:t>
      </w:r>
      <w:hyperlink r:id="rId57">
        <w:r w:rsidR="00F50D70" w:rsidRPr="00BE4F47">
          <w:rPr>
            <w:rFonts w:ascii="Aptos" w:hAnsi="Aptos"/>
            <w:color w:val="1155CC"/>
            <w:sz w:val="18"/>
            <w:u w:val="single"/>
          </w:rPr>
          <w:t>https://web.aacei.org/docs/default-source/toc/toc_18r-97.pdf</w:t>
        </w:r>
        <w:bookmarkEnd w:id="539"/>
      </w:hyperlink>
    </w:p>
    <w:p w14:paraId="66863B26" w14:textId="77777777" w:rsidR="00F50D70" w:rsidRPr="00BE4F47" w:rsidRDefault="00000000" w:rsidP="008E113B">
      <w:pPr>
        <w:spacing w:after="80" w:line="360" w:lineRule="auto"/>
        <w:ind w:left="480" w:hanging="480"/>
        <w:jc w:val="left"/>
        <w:rPr>
          <w:rFonts w:ascii="Aptos" w:hAnsi="Aptos"/>
          <w:lang w:val="en-CA"/>
        </w:rPr>
      </w:pPr>
      <w:bookmarkStart w:id="540" w:name="_Toc241083232"/>
      <w:r w:rsidRPr="00BE4F47">
        <w:rPr>
          <w:rFonts w:ascii="Aptos" w:eastAsia="Calibri" w:hAnsi="Aptos" w:cs="Calibri"/>
          <w:color w:val="1A1A19"/>
          <w:sz w:val="20"/>
          <w:szCs w:val="20"/>
        </w:rPr>
        <w:t>[43</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 23247-2:2021, Systèmes d’automatisation et intégration, Cadre technique de jumeau numérique dans un contexte de fabrication, Partie 2 : Architecture de référence.  </w:t>
      </w:r>
      <w:hyperlink r:id="rId58">
        <w:r w:rsidR="00F50D70" w:rsidRPr="00BE4F47">
          <w:rPr>
            <w:rFonts w:ascii="Aptos" w:hAnsi="Aptos"/>
            <w:color w:val="1155CC"/>
            <w:sz w:val="18"/>
            <w:u w:val="single"/>
            <w:lang w:val="en-CA"/>
          </w:rPr>
          <w:t>https://www.iso.org/fr/standard/78743.html</w:t>
        </w:r>
        <w:bookmarkEnd w:id="540"/>
      </w:hyperlink>
    </w:p>
    <w:p w14:paraId="46981B63" w14:textId="77777777" w:rsidR="00F50D70" w:rsidRPr="00BE4F47" w:rsidRDefault="00000000" w:rsidP="008E113B">
      <w:pPr>
        <w:spacing w:after="80" w:line="360" w:lineRule="auto"/>
        <w:ind w:left="480" w:hanging="480"/>
        <w:jc w:val="left"/>
        <w:rPr>
          <w:rFonts w:ascii="Aptos" w:hAnsi="Aptos"/>
        </w:rPr>
      </w:pPr>
      <w:bookmarkStart w:id="541" w:name="_Toc241083233"/>
      <w:r w:rsidRPr="00BE4F47">
        <w:rPr>
          <w:rFonts w:ascii="Aptos" w:eastAsia="Calibri" w:hAnsi="Aptos" w:cs="Calibri"/>
          <w:color w:val="1A1A19"/>
          <w:sz w:val="20"/>
          <w:szCs w:val="20"/>
          <w:lang w:val="en-CA"/>
        </w:rPr>
        <w:t>[44</w:t>
      </w:r>
      <w:proofErr w:type="gramStart"/>
      <w:r w:rsidRPr="00BE4F47">
        <w:rPr>
          <w:rFonts w:ascii="Aptos" w:eastAsia="Calibri" w:hAnsi="Aptos" w:cs="Calibri"/>
          <w:color w:val="1A1A19"/>
          <w:sz w:val="20"/>
          <w:szCs w:val="20"/>
          <w:lang w:val="en-CA"/>
        </w:rPr>
        <w:t>]  Agence</w:t>
      </w:r>
      <w:proofErr w:type="gramEnd"/>
      <w:r w:rsidRPr="00BE4F47">
        <w:rPr>
          <w:rFonts w:ascii="Aptos" w:eastAsia="Calibri" w:hAnsi="Aptos" w:cs="Calibri"/>
          <w:color w:val="1A1A19"/>
          <w:sz w:val="20"/>
          <w:szCs w:val="20"/>
          <w:lang w:val="en-CA"/>
        </w:rPr>
        <w:t xml:space="preserve"> </w:t>
      </w:r>
      <w:proofErr w:type="spellStart"/>
      <w:r w:rsidRPr="00BE4F47">
        <w:rPr>
          <w:rFonts w:ascii="Aptos" w:eastAsia="Calibri" w:hAnsi="Aptos" w:cs="Calibri"/>
          <w:color w:val="1A1A19"/>
          <w:sz w:val="20"/>
          <w:szCs w:val="20"/>
          <w:lang w:val="en-CA"/>
        </w:rPr>
        <w:t>internationale</w:t>
      </w:r>
      <w:proofErr w:type="spellEnd"/>
      <w:r w:rsidRPr="00BE4F47">
        <w:rPr>
          <w:rFonts w:ascii="Aptos" w:eastAsia="Calibri" w:hAnsi="Aptos" w:cs="Calibri"/>
          <w:color w:val="1A1A19"/>
          <w:sz w:val="20"/>
          <w:szCs w:val="20"/>
          <w:lang w:val="en-CA"/>
        </w:rPr>
        <w:t xml:space="preserve"> de </w:t>
      </w:r>
      <w:proofErr w:type="spellStart"/>
      <w:r w:rsidRPr="00BE4F47">
        <w:rPr>
          <w:rFonts w:ascii="Aptos" w:eastAsia="Calibri" w:hAnsi="Aptos" w:cs="Calibri"/>
          <w:color w:val="1A1A19"/>
          <w:sz w:val="20"/>
          <w:szCs w:val="20"/>
          <w:lang w:val="en-CA"/>
        </w:rPr>
        <w:t>l’énergie</w:t>
      </w:r>
      <w:proofErr w:type="spellEnd"/>
      <w:r w:rsidRPr="00BE4F47">
        <w:rPr>
          <w:rFonts w:ascii="Aptos" w:eastAsia="Calibri" w:hAnsi="Aptos" w:cs="Calibri"/>
          <w:color w:val="1A1A19"/>
          <w:sz w:val="20"/>
          <w:szCs w:val="20"/>
          <w:lang w:val="en-CA"/>
        </w:rPr>
        <w:t xml:space="preserve"> </w:t>
      </w:r>
      <w:proofErr w:type="spellStart"/>
      <w:r w:rsidRPr="00BE4F47">
        <w:rPr>
          <w:rFonts w:ascii="Aptos" w:eastAsia="Calibri" w:hAnsi="Aptos" w:cs="Calibri"/>
          <w:color w:val="1A1A19"/>
          <w:sz w:val="20"/>
          <w:szCs w:val="20"/>
          <w:lang w:val="en-CA"/>
        </w:rPr>
        <w:t>atomique</w:t>
      </w:r>
      <w:proofErr w:type="spellEnd"/>
      <w:r w:rsidRPr="00BE4F47">
        <w:rPr>
          <w:rFonts w:ascii="Aptos" w:eastAsia="Calibri" w:hAnsi="Aptos" w:cs="Calibri"/>
          <w:color w:val="1A1A19"/>
          <w:sz w:val="20"/>
          <w:szCs w:val="20"/>
          <w:lang w:val="en-CA"/>
        </w:rPr>
        <w:t xml:space="preserve">, Verification and Validation of Software Related to Nuclear Power Plant Instrumentation and Control, Technical Reports Series n° 384, Vienne, 1999, ISBN 92-0-100799-X.  </w:t>
      </w:r>
      <w:hyperlink r:id="rId59">
        <w:r w:rsidR="00F50D70" w:rsidRPr="00BE4F47">
          <w:rPr>
            <w:rFonts w:ascii="Aptos" w:hAnsi="Aptos"/>
            <w:color w:val="1155CC"/>
            <w:sz w:val="18"/>
            <w:u w:val="single"/>
          </w:rPr>
          <w:t>https://www-pub.iaea.org/MTCD/Publications/PDF/TRS384_scr.pdf</w:t>
        </w:r>
        <w:bookmarkEnd w:id="541"/>
      </w:hyperlink>
    </w:p>
    <w:p w14:paraId="545F8519" w14:textId="77777777" w:rsidR="00F50D70" w:rsidRPr="00BE4F47" w:rsidRDefault="00000000" w:rsidP="008E113B">
      <w:pPr>
        <w:spacing w:after="80" w:line="360" w:lineRule="auto"/>
        <w:ind w:left="480" w:hanging="480"/>
        <w:jc w:val="left"/>
        <w:rPr>
          <w:rFonts w:ascii="Aptos" w:hAnsi="Aptos"/>
        </w:rPr>
      </w:pPr>
      <w:bookmarkStart w:id="542" w:name="_Toc241083234"/>
      <w:r w:rsidRPr="00BE4F47">
        <w:rPr>
          <w:rFonts w:ascii="Aptos" w:eastAsia="Calibri" w:hAnsi="Aptos" w:cs="Calibri"/>
          <w:color w:val="1A1A19"/>
          <w:sz w:val="20"/>
          <w:szCs w:val="20"/>
        </w:rPr>
        <w:t>[45</w:t>
      </w:r>
      <w:proofErr w:type="gramStart"/>
      <w:r w:rsidRPr="00BE4F47">
        <w:rPr>
          <w:rFonts w:ascii="Aptos" w:eastAsia="Calibri" w:hAnsi="Aptos" w:cs="Calibri"/>
          <w:color w:val="1A1A19"/>
          <w:sz w:val="20"/>
          <w:szCs w:val="20"/>
        </w:rPr>
        <w:t>]  Association</w:t>
      </w:r>
      <w:proofErr w:type="gramEnd"/>
      <w:r w:rsidRPr="00BE4F47">
        <w:rPr>
          <w:rFonts w:ascii="Aptos" w:eastAsia="Calibri" w:hAnsi="Aptos" w:cs="Calibri"/>
          <w:color w:val="1A1A19"/>
          <w:sz w:val="20"/>
          <w:szCs w:val="20"/>
        </w:rPr>
        <w:t xml:space="preserve"> des firmes de génie-conseil du Québec, Barème des honoraires, section Documentation et publications. Cité comme point de comparaison seulement.  </w:t>
      </w:r>
      <w:hyperlink r:id="rId60">
        <w:r w:rsidR="00F50D70" w:rsidRPr="00BE4F47">
          <w:rPr>
            <w:rFonts w:ascii="Aptos" w:hAnsi="Aptos"/>
            <w:color w:val="1155CC"/>
            <w:sz w:val="18"/>
            <w:u w:val="single"/>
          </w:rPr>
          <w:t>https://afg.quebec/documentation/publications</w:t>
        </w:r>
        <w:bookmarkEnd w:id="542"/>
      </w:hyperlink>
    </w:p>
    <w:p w14:paraId="6F81EBA4" w14:textId="77777777" w:rsidR="00F50D70" w:rsidRPr="00BE4F47" w:rsidRDefault="00000000" w:rsidP="008E113B">
      <w:pPr>
        <w:spacing w:after="80" w:line="360" w:lineRule="auto"/>
        <w:ind w:left="480" w:hanging="480"/>
        <w:jc w:val="left"/>
        <w:rPr>
          <w:rFonts w:ascii="Aptos" w:hAnsi="Aptos"/>
        </w:rPr>
      </w:pPr>
      <w:bookmarkStart w:id="543" w:name="_Toc241083235"/>
      <w:r w:rsidRPr="00BE4F47">
        <w:rPr>
          <w:rFonts w:ascii="Aptos" w:eastAsia="Calibri" w:hAnsi="Aptos" w:cs="Calibri"/>
          <w:color w:val="1A1A19"/>
          <w:sz w:val="20"/>
          <w:szCs w:val="20"/>
        </w:rPr>
        <w:t>[46</w:t>
      </w:r>
      <w:proofErr w:type="gramStart"/>
      <w:r w:rsidRPr="00BE4F47">
        <w:rPr>
          <w:rFonts w:ascii="Aptos" w:eastAsia="Calibri" w:hAnsi="Aptos" w:cs="Calibri"/>
          <w:color w:val="1A1A19"/>
          <w:sz w:val="20"/>
          <w:szCs w:val="20"/>
        </w:rPr>
        <w:t>]  Université</w:t>
      </w:r>
      <w:proofErr w:type="gramEnd"/>
      <w:r w:rsidRPr="00BE4F47">
        <w:rPr>
          <w:rFonts w:ascii="Aptos" w:eastAsia="Calibri" w:hAnsi="Aptos" w:cs="Calibri"/>
          <w:color w:val="1A1A19"/>
          <w:sz w:val="20"/>
          <w:szCs w:val="20"/>
        </w:rPr>
        <w:t xml:space="preserve"> du Québec à Chicoutimi, Bureau du registraire, Calendrier universitaire, trimestre d’automne 2026.  </w:t>
      </w:r>
      <w:hyperlink r:id="rId61">
        <w:r w:rsidR="00F50D70" w:rsidRPr="00BE4F47">
          <w:rPr>
            <w:rFonts w:ascii="Aptos" w:hAnsi="Aptos"/>
            <w:color w:val="1155CC"/>
            <w:sz w:val="18"/>
            <w:u w:val="single"/>
          </w:rPr>
          <w:t>https://www.uqac.ca/registraire/wp-content/uploads/2026/02/AUTOMNE-2026.pdf</w:t>
        </w:r>
        <w:bookmarkEnd w:id="543"/>
      </w:hyperlink>
    </w:p>
    <w:p w14:paraId="6639F16E" w14:textId="77777777" w:rsidR="00F50D70" w:rsidRPr="00BE4F47" w:rsidRDefault="00F50D70" w:rsidP="008E113B">
      <w:pPr>
        <w:pStyle w:val="Corpsdetexte"/>
        <w:spacing w:line="360" w:lineRule="auto"/>
        <w:ind w:left="720"/>
        <w:outlineLvl w:val="9"/>
        <w:rPr>
          <w:rFonts w:ascii="Aptos" w:hAnsi="Aptos"/>
          <w:b w:val="0"/>
        </w:rPr>
      </w:pPr>
    </w:p>
    <w:p w14:paraId="57EFF6BB" w14:textId="77777777" w:rsidR="00F50D70" w:rsidRPr="00BE4F47" w:rsidRDefault="00F50D70" w:rsidP="008E113B">
      <w:pPr>
        <w:pStyle w:val="Corpsdetexte"/>
        <w:spacing w:line="360" w:lineRule="auto"/>
        <w:outlineLvl w:val="9"/>
        <w:rPr>
          <w:rFonts w:ascii="Aptos" w:hAnsi="Aptos"/>
          <w:b w:val="0"/>
        </w:rPr>
      </w:pPr>
    </w:p>
    <w:p w14:paraId="2BD941BF" w14:textId="77777777" w:rsidR="00F50D70" w:rsidRPr="00BE4F47" w:rsidRDefault="00F50D70" w:rsidP="008E113B">
      <w:pPr>
        <w:pStyle w:val="Corpsdetexte"/>
        <w:spacing w:line="360" w:lineRule="auto"/>
        <w:outlineLvl w:val="9"/>
        <w:rPr>
          <w:rFonts w:ascii="Aptos" w:hAnsi="Aptos"/>
        </w:rPr>
      </w:pPr>
    </w:p>
    <w:p w14:paraId="48BBFFBF" w14:textId="77777777" w:rsidR="00F50D70" w:rsidRPr="00BE4F47" w:rsidRDefault="00F50D70" w:rsidP="008E113B">
      <w:pPr>
        <w:spacing w:line="360" w:lineRule="auto"/>
        <w:ind w:left="0"/>
        <w:outlineLvl w:val="9"/>
        <w:rPr>
          <w:rFonts w:ascii="Aptos" w:hAnsi="Aptos"/>
        </w:rPr>
      </w:pPr>
    </w:p>
    <w:sectPr w:rsidR="00F50D70" w:rsidRPr="00BE4F47">
      <w:footerReference w:type="default" r:id="rId62"/>
      <w:footerReference w:type="first" r:id="rId63"/>
      <w:pgSz w:w="12240" w:h="15840"/>
      <w:pgMar w:top="851" w:right="1701" w:bottom="709" w:left="1701" w:header="0" w:footer="425"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B281B" w14:textId="77777777" w:rsidR="00DA7337" w:rsidRDefault="00DA7337">
      <w:r>
        <w:separator/>
      </w:r>
    </w:p>
  </w:endnote>
  <w:endnote w:type="continuationSeparator" w:id="0">
    <w:p w14:paraId="1BE5EC9B" w14:textId="77777777" w:rsidR="00DA7337" w:rsidRDefault="00DA73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altName w:val="Times New Roman"/>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Palatino;Book Antiqu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191E" w14:textId="77777777" w:rsidR="00F50D70" w:rsidRDefault="00000000">
    <w:pPr>
      <w:pStyle w:val="Pieddepage"/>
      <w:ind w:left="0"/>
      <w:jc w:val="center"/>
    </w:pPr>
    <w:r>
      <w:fldChar w:fldCharType="begin"/>
    </w:r>
    <w:r>
      <w:instrText xml:space="preserve"> PAGE </w:instrText>
    </w:r>
    <w:r>
      <w:fldChar w:fldCharType="separate"/>
    </w:r>
    <w:r>
      <w:t>47</w:t>
    </w:r>
    <w:r>
      <w:fldChar w:fldCharType="end"/>
    </w:r>
  </w:p>
  <w:p w14:paraId="06136640" w14:textId="77777777" w:rsidR="00F50D70" w:rsidRDefault="00F50D7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BE233" w14:textId="77777777" w:rsidR="00F50D70" w:rsidRDefault="00F50D7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B8883" w14:textId="77777777" w:rsidR="00DA7337" w:rsidRDefault="00DA7337">
      <w:r>
        <w:separator/>
      </w:r>
    </w:p>
  </w:footnote>
  <w:footnote w:type="continuationSeparator" w:id="0">
    <w:p w14:paraId="1652BD65" w14:textId="77777777" w:rsidR="00DA7337" w:rsidRDefault="00DA73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65D0"/>
    <w:multiLevelType w:val="multilevel"/>
    <w:tmpl w:val="040C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06B74424"/>
    <w:multiLevelType w:val="multilevel"/>
    <w:tmpl w:val="B00E7AA8"/>
    <w:lvl w:ilvl="0">
      <w:start w:val="1"/>
      <w:numFmt w:val="decimal"/>
      <w:pStyle w:val="Style2"/>
      <w:lvlText w:val="%1."/>
      <w:lvlJc w:val="left"/>
      <w:pPr>
        <w:tabs>
          <w:tab w:val="num" w:pos="425"/>
        </w:tabs>
        <w:ind w:left="425" w:hanging="425"/>
      </w:pPr>
      <w:rPr>
        <w:rFonts w:ascii="Times" w:hAnsi="Times" w:cs="Times"/>
        <w:b/>
        <w:i w:val="0"/>
        <w:sz w:val="22"/>
      </w:rPr>
    </w:lvl>
    <w:lvl w:ilvl="1">
      <w:start w:val="1"/>
      <w:numFmt w:val="decimal"/>
      <w:lvlText w:val="%1.%2"/>
      <w:lvlJc w:val="left"/>
      <w:pPr>
        <w:tabs>
          <w:tab w:val="num" w:pos="992"/>
        </w:tabs>
        <w:ind w:left="992" w:hanging="567"/>
      </w:pPr>
    </w:lvl>
    <w:lvl w:ilvl="2">
      <w:start w:val="1"/>
      <w:numFmt w:val="decimal"/>
      <w:lvlText w:val="%1.%2.%3"/>
      <w:lvlJc w:val="left"/>
      <w:pPr>
        <w:tabs>
          <w:tab w:val="num" w:pos="1701"/>
        </w:tabs>
        <w:ind w:left="1701" w:hanging="709"/>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1" w:hanging="1441"/>
      </w:pPr>
    </w:lvl>
  </w:abstractNum>
  <w:abstractNum w:abstractNumId="2" w15:restartNumberingAfterBreak="0">
    <w:nsid w:val="08AE3D62"/>
    <w:multiLevelType w:val="multilevel"/>
    <w:tmpl w:val="113693C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6.%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15:restartNumberingAfterBreak="0">
    <w:nsid w:val="09540001"/>
    <w:multiLevelType w:val="multilevel"/>
    <w:tmpl w:val="B4F24F9C"/>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C0D0D21"/>
    <w:multiLevelType w:val="hybridMultilevel"/>
    <w:tmpl w:val="B8B6B41E"/>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5" w15:restartNumberingAfterBreak="0">
    <w:nsid w:val="148E3870"/>
    <w:multiLevelType w:val="multilevel"/>
    <w:tmpl w:val="A9580E9C"/>
    <w:lvl w:ilvl="0">
      <w:start w:val="1"/>
      <w:numFmt w:val="bullet"/>
      <w:pStyle w:val="Listepuces2"/>
      <w:lvlText w:val=""/>
      <w:lvlJc w:val="left"/>
      <w:pPr>
        <w:tabs>
          <w:tab w:val="num" w:pos="643"/>
        </w:tabs>
        <w:ind w:left="643"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219A4083"/>
    <w:multiLevelType w:val="multilevel"/>
    <w:tmpl w:val="39F83072"/>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6E35684"/>
    <w:multiLevelType w:val="multilevel"/>
    <w:tmpl w:val="BAE47164"/>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1116E45"/>
    <w:multiLevelType w:val="multilevel"/>
    <w:tmpl w:val="14705170"/>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1407C9A"/>
    <w:multiLevelType w:val="multilevel"/>
    <w:tmpl w:val="433A77C2"/>
    <w:lvl w:ilvl="0">
      <w:start w:val="1"/>
      <w:numFmt w:val="bullet"/>
      <w:lvlText w:val=""/>
      <w:lvlJc w:val="left"/>
      <w:pPr>
        <w:tabs>
          <w:tab w:val="num" w:pos="0"/>
        </w:tabs>
        <w:ind w:left="171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C552606"/>
    <w:multiLevelType w:val="hybridMultilevel"/>
    <w:tmpl w:val="F4FE70CC"/>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1" w15:restartNumberingAfterBreak="0">
    <w:nsid w:val="4F46695C"/>
    <w:multiLevelType w:val="multilevel"/>
    <w:tmpl w:val="46D6CB34"/>
    <w:lvl w:ilvl="0">
      <w:start w:val="1"/>
      <w:numFmt w:val="decimal"/>
      <w:pStyle w:val="Titre1"/>
      <w:lvlText w:val="%1."/>
      <w:lvlJc w:val="left"/>
      <w:pPr>
        <w:tabs>
          <w:tab w:val="num" w:pos="425"/>
        </w:tabs>
        <w:ind w:left="425" w:hanging="425"/>
      </w:pPr>
      <w:rPr>
        <w:rFonts w:ascii="Times" w:hAnsi="Times" w:cs="Times"/>
        <w:b/>
        <w:i w:val="0"/>
        <w:sz w:val="22"/>
      </w:rPr>
    </w:lvl>
    <w:lvl w:ilvl="1">
      <w:start w:val="1"/>
      <w:numFmt w:val="decimal"/>
      <w:pStyle w:val="Titre2"/>
      <w:lvlText w:val="%1.%2"/>
      <w:lvlJc w:val="left"/>
      <w:pPr>
        <w:tabs>
          <w:tab w:val="num" w:pos="992"/>
        </w:tabs>
        <w:ind w:left="992" w:hanging="567"/>
      </w:pPr>
    </w:lvl>
    <w:lvl w:ilvl="2">
      <w:start w:val="1"/>
      <w:numFmt w:val="decimal"/>
      <w:lvlText w:val="%1.%2.%3"/>
      <w:lvlJc w:val="left"/>
      <w:pPr>
        <w:tabs>
          <w:tab w:val="num" w:pos="1701"/>
        </w:tabs>
        <w:ind w:left="1701" w:hanging="709"/>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1" w:hanging="1441"/>
      </w:pPr>
    </w:lvl>
  </w:abstractNum>
  <w:abstractNum w:abstractNumId="12" w15:restartNumberingAfterBreak="0">
    <w:nsid w:val="51920C22"/>
    <w:multiLevelType w:val="multilevel"/>
    <w:tmpl w:val="53E292A4"/>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549E6FED"/>
    <w:multiLevelType w:val="multilevel"/>
    <w:tmpl w:val="2CE6FF3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6.%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598F7E0F"/>
    <w:multiLevelType w:val="multilevel"/>
    <w:tmpl w:val="D34CBE96"/>
    <w:lvl w:ilvl="0">
      <w:start w:val="1"/>
      <w:numFmt w:val="bullet"/>
      <w:lvlText w:val=""/>
      <w:lvlJc w:val="left"/>
      <w:pPr>
        <w:tabs>
          <w:tab w:val="num" w:pos="0"/>
        </w:tabs>
        <w:ind w:left="11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BE415A7"/>
    <w:multiLevelType w:val="hybridMultilevel"/>
    <w:tmpl w:val="B34E271A"/>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6" w15:restartNumberingAfterBreak="0">
    <w:nsid w:val="5E967BF2"/>
    <w:multiLevelType w:val="multilevel"/>
    <w:tmpl w:val="82927CCC"/>
    <w:lvl w:ilvl="0">
      <w:start w:val="1"/>
      <w:numFmt w:val="decimal"/>
      <w:lvlText w:val="3.%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09B5662"/>
    <w:multiLevelType w:val="hybridMultilevel"/>
    <w:tmpl w:val="80664FA6"/>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8" w15:restartNumberingAfterBreak="0">
    <w:nsid w:val="6D4E0793"/>
    <w:multiLevelType w:val="multilevel"/>
    <w:tmpl w:val="94EC9E2C"/>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73317B21"/>
    <w:multiLevelType w:val="multilevel"/>
    <w:tmpl w:val="013A5ACA"/>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69533442">
    <w:abstractNumId w:val="11"/>
  </w:num>
  <w:num w:numId="2" w16cid:durableId="879246760">
    <w:abstractNumId w:val="5"/>
  </w:num>
  <w:num w:numId="3" w16cid:durableId="1087926495">
    <w:abstractNumId w:val="1"/>
  </w:num>
  <w:num w:numId="4" w16cid:durableId="286081102">
    <w:abstractNumId w:val="14"/>
  </w:num>
  <w:num w:numId="5" w16cid:durableId="195780179">
    <w:abstractNumId w:val="8"/>
  </w:num>
  <w:num w:numId="6" w16cid:durableId="1059936052">
    <w:abstractNumId w:val="3"/>
  </w:num>
  <w:num w:numId="7" w16cid:durableId="832138966">
    <w:abstractNumId w:val="13"/>
  </w:num>
  <w:num w:numId="8" w16cid:durableId="1108311080">
    <w:abstractNumId w:val="6"/>
  </w:num>
  <w:num w:numId="9" w16cid:durableId="1263495185">
    <w:abstractNumId w:val="18"/>
  </w:num>
  <w:num w:numId="10" w16cid:durableId="843278149">
    <w:abstractNumId w:val="12"/>
  </w:num>
  <w:num w:numId="11" w16cid:durableId="2014990922">
    <w:abstractNumId w:val="19"/>
  </w:num>
  <w:num w:numId="12" w16cid:durableId="1225415507">
    <w:abstractNumId w:val="2"/>
  </w:num>
  <w:num w:numId="13" w16cid:durableId="1961842731">
    <w:abstractNumId w:val="16"/>
  </w:num>
  <w:num w:numId="14" w16cid:durableId="940066933">
    <w:abstractNumId w:val="0"/>
  </w:num>
  <w:num w:numId="15" w16cid:durableId="296952054">
    <w:abstractNumId w:val="7"/>
  </w:num>
  <w:num w:numId="16" w16cid:durableId="17509987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87633788">
    <w:abstractNumId w:val="11"/>
  </w:num>
  <w:num w:numId="18" w16cid:durableId="1778479020">
    <w:abstractNumId w:val="17"/>
  </w:num>
  <w:num w:numId="19" w16cid:durableId="1847792681">
    <w:abstractNumId w:val="4"/>
  </w:num>
  <w:num w:numId="20" w16cid:durableId="743335554">
    <w:abstractNumId w:val="10"/>
  </w:num>
  <w:num w:numId="21" w16cid:durableId="1697191494">
    <w:abstractNumId w:val="9"/>
  </w:num>
  <w:num w:numId="22" w16cid:durableId="136277661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D70"/>
    <w:rsid w:val="00006655"/>
    <w:rsid w:val="0010676F"/>
    <w:rsid w:val="00136F18"/>
    <w:rsid w:val="0015050D"/>
    <w:rsid w:val="00170BF3"/>
    <w:rsid w:val="001C6F35"/>
    <w:rsid w:val="001E0B13"/>
    <w:rsid w:val="00246F82"/>
    <w:rsid w:val="00256140"/>
    <w:rsid w:val="00273A91"/>
    <w:rsid w:val="002A1CE1"/>
    <w:rsid w:val="003139CB"/>
    <w:rsid w:val="0036725C"/>
    <w:rsid w:val="003D3A94"/>
    <w:rsid w:val="005A1D5D"/>
    <w:rsid w:val="005E5B35"/>
    <w:rsid w:val="00665895"/>
    <w:rsid w:val="006A6C35"/>
    <w:rsid w:val="006D5CA3"/>
    <w:rsid w:val="00885DAC"/>
    <w:rsid w:val="008E113B"/>
    <w:rsid w:val="008F5FA3"/>
    <w:rsid w:val="00927E59"/>
    <w:rsid w:val="00962984"/>
    <w:rsid w:val="009F7B47"/>
    <w:rsid w:val="00AF05CA"/>
    <w:rsid w:val="00B03F2E"/>
    <w:rsid w:val="00B22FB4"/>
    <w:rsid w:val="00B36301"/>
    <w:rsid w:val="00B50D9A"/>
    <w:rsid w:val="00BE4F47"/>
    <w:rsid w:val="00C57ECE"/>
    <w:rsid w:val="00C64550"/>
    <w:rsid w:val="00D40E65"/>
    <w:rsid w:val="00DA7337"/>
    <w:rsid w:val="00DB0A89"/>
    <w:rsid w:val="00DE546E"/>
    <w:rsid w:val="00F50D70"/>
    <w:rsid w:val="00F515F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57C82"/>
  <w15:docId w15:val="{85478345-9B3E-44FF-9FF5-ABE588B1B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ind w:left="1701"/>
      <w:jc w:val="both"/>
      <w:outlineLvl w:val="2"/>
    </w:pPr>
    <w:rPr>
      <w:rFonts w:ascii="Times" w:eastAsia="MS Mincho" w:hAnsi="Times" w:cs="Times"/>
      <w:sz w:val="22"/>
      <w:szCs w:val="22"/>
      <w:lang w:val="fr-CA" w:eastAsia="zh-CN"/>
    </w:rPr>
  </w:style>
  <w:style w:type="paragraph" w:styleId="Titre1">
    <w:name w:val="heading 1"/>
    <w:basedOn w:val="Normal"/>
    <w:next w:val="Normal"/>
    <w:uiPriority w:val="9"/>
    <w:qFormat/>
    <w:pPr>
      <w:keepNext/>
      <w:numPr>
        <w:numId w:val="1"/>
      </w:numPr>
      <w:spacing w:before="240" w:after="60"/>
      <w:outlineLvl w:val="0"/>
    </w:pPr>
    <w:rPr>
      <w:b/>
      <w:bCs/>
      <w:kern w:val="2"/>
    </w:rPr>
  </w:style>
  <w:style w:type="paragraph" w:styleId="Titre2">
    <w:name w:val="heading 2"/>
    <w:basedOn w:val="Normal"/>
    <w:next w:val="Normal"/>
    <w:link w:val="Titre2Car"/>
    <w:uiPriority w:val="9"/>
    <w:unhideWhenUsed/>
    <w:qFormat/>
    <w:pPr>
      <w:keepNext/>
      <w:numPr>
        <w:ilvl w:val="1"/>
        <w:numId w:val="1"/>
      </w:numPr>
      <w:spacing w:before="240" w:after="60"/>
      <w:outlineLvl w:val="1"/>
    </w:pPr>
    <w:rPr>
      <w:b/>
      <w:bCs/>
    </w:rPr>
  </w:style>
  <w:style w:type="paragraph" w:styleId="Titre3">
    <w:name w:val="heading 3"/>
    <w:basedOn w:val="Retraitcorpsdetexte3"/>
    <w:next w:val="Retraitcorpsdetexte3"/>
    <w:unhideWhenUsed/>
    <w:qFormat/>
    <w:pPr>
      <w:keepNext/>
      <w:spacing w:before="240" w:after="60"/>
      <w:ind w:left="0" w:firstLine="0"/>
    </w:pPr>
  </w:style>
  <w:style w:type="paragraph" w:styleId="Titre4">
    <w:name w:val="heading 4"/>
    <w:basedOn w:val="Normal"/>
    <w:next w:val="Normal"/>
    <w:uiPriority w:val="9"/>
    <w:unhideWhenUsed/>
    <w:qFormat/>
    <w:pPr>
      <w:keepNext/>
      <w:ind w:left="0"/>
      <w:outlineLvl w:val="3"/>
    </w:pPr>
    <w:rPr>
      <w:b/>
      <w:bCs/>
    </w:rPr>
  </w:style>
  <w:style w:type="paragraph" w:styleId="Titre5">
    <w:name w:val="heading 5"/>
    <w:basedOn w:val="Normal"/>
    <w:next w:val="Normal"/>
    <w:uiPriority w:val="9"/>
    <w:semiHidden/>
    <w:unhideWhenUsed/>
    <w:qFormat/>
    <w:pPr>
      <w:keepNext/>
      <w:ind w:left="72"/>
      <w:outlineLvl w:val="4"/>
    </w:pPr>
    <w:rPr>
      <w:b/>
      <w:bCs/>
    </w:rPr>
  </w:style>
  <w:style w:type="paragraph" w:styleId="Titre6">
    <w:name w:val="heading 6"/>
    <w:basedOn w:val="Normal"/>
    <w:next w:val="Normal"/>
    <w:uiPriority w:val="9"/>
    <w:semiHidden/>
    <w:unhideWhenUsed/>
    <w:qFormat/>
    <w:pPr>
      <w:keepNext/>
      <w:ind w:left="0" w:hanging="7"/>
      <w:jc w:val="left"/>
      <w:outlineLvl w:val="5"/>
    </w:pPr>
    <w:rPr>
      <w:b/>
      <w:bCs/>
    </w:rPr>
  </w:style>
  <w:style w:type="paragraph" w:styleId="Titre7">
    <w:name w:val="heading 7"/>
    <w:basedOn w:val="Normal"/>
    <w:next w:val="Normal"/>
    <w:qFormat/>
    <w:pPr>
      <w:keepNext/>
      <w:ind w:left="0" w:hanging="7"/>
      <w:outlineLvl w:val="6"/>
    </w:pPr>
    <w:rPr>
      <w:b/>
      <w:bCs/>
    </w:rPr>
  </w:style>
  <w:style w:type="paragraph" w:styleId="Titre8">
    <w:name w:val="heading 8"/>
    <w:basedOn w:val="Normal"/>
    <w:next w:val="Normal"/>
    <w:qFormat/>
    <w:pPr>
      <w:keepNext/>
      <w:ind w:left="2120" w:hanging="2080"/>
      <w:jc w:val="center"/>
      <w:outlineLvl w:val="7"/>
    </w:pPr>
    <w:rPr>
      <w:u w:val="single"/>
    </w:rPr>
  </w:style>
  <w:style w:type="paragraph" w:styleId="Titre9">
    <w:name w:val="heading 9"/>
    <w:basedOn w:val="Normal"/>
    <w:next w:val="Normal"/>
    <w:qFormat/>
    <w:pPr>
      <w:keepNext/>
      <w:ind w:left="567" w:hanging="574"/>
      <w:outlineLvl w:val="8"/>
    </w:pPr>
    <w:rPr>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rPr>
      <w:rFonts w:ascii="Symbol" w:hAnsi="Symbol" w:cs="Symbol"/>
    </w:rPr>
  </w:style>
  <w:style w:type="character" w:customStyle="1" w:styleId="WW8Num2z0">
    <w:name w:val="WW8Num2z0"/>
    <w:qFormat/>
  </w:style>
  <w:style w:type="character" w:customStyle="1" w:styleId="WW8Num3z0">
    <w:name w:val="WW8Num3z0"/>
    <w:qFormat/>
  </w:style>
  <w:style w:type="character" w:customStyle="1" w:styleId="WW8Num4z0">
    <w:name w:val="WW8Num4z0"/>
    <w:qFormat/>
    <w:rPr>
      <w:rFonts w:ascii="Times" w:hAnsi="Times" w:cs="Times"/>
      <w:b/>
      <w:i w:val="0"/>
      <w:sz w:val="22"/>
    </w:rPr>
  </w:style>
  <w:style w:type="character" w:customStyle="1" w:styleId="WW8Num5z0">
    <w:name w:val="WW8Num5z0"/>
    <w:qFormat/>
    <w:rPr>
      <w:rFonts w:ascii="Times" w:hAnsi="Times" w:cs="Times"/>
      <w:b/>
      <w:i w:val="0"/>
      <w:sz w:val="22"/>
    </w:rPr>
  </w:style>
  <w:style w:type="character" w:customStyle="1" w:styleId="WW8Num5z1">
    <w:name w:val="WW8Num5z1"/>
    <w:qFormat/>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rFonts w:ascii="Symbol" w:hAnsi="Symbol" w:cs="Symbo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8z0">
    <w:name w:val="WW8Num8z0"/>
    <w:qFormat/>
  </w:style>
  <w:style w:type="character" w:customStyle="1" w:styleId="WW8Num10z0">
    <w:name w:val="WW8Num10z0"/>
    <w:qFormat/>
    <w:rPr>
      <w:rFonts w:ascii="Symbol" w:hAnsi="Symbol" w:cs="Symbo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1z0">
    <w:name w:val="WW8Num11z0"/>
    <w:qFormat/>
  </w:style>
  <w:style w:type="character" w:customStyle="1" w:styleId="WW8Num13z0">
    <w:name w:val="WW8Num13z0"/>
    <w:qFormat/>
  </w:style>
  <w:style w:type="character" w:customStyle="1" w:styleId="WW8Num14z0">
    <w:name w:val="WW8Num14z0"/>
    <w:qFormat/>
  </w:style>
  <w:style w:type="character" w:customStyle="1" w:styleId="WW8Num15z0">
    <w:name w:val="WW8Num15z0"/>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6z0">
    <w:name w:val="WW8Num16z0"/>
    <w:qFormat/>
    <w:rPr>
      <w:rFonts w:ascii="Symbol" w:hAnsi="Symbol" w:cs="Symbol"/>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cs="Wingdings"/>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8z0">
    <w:name w:val="WW8Num18z0"/>
    <w:qFormat/>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3z0">
    <w:name w:val="WW8Num23z0"/>
    <w:qFormat/>
  </w:style>
  <w:style w:type="character" w:customStyle="1" w:styleId="WW8Num24z0">
    <w:name w:val="WW8Num24z0"/>
    <w:qFormat/>
  </w:style>
  <w:style w:type="character" w:customStyle="1" w:styleId="WW8Num26z0">
    <w:name w:val="WW8Num26z0"/>
    <w:qFormat/>
    <w:rPr>
      <w:rFonts w:ascii="Symbol" w:hAnsi="Symbol" w:cs="Symbol"/>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7z0">
    <w:name w:val="WW8Num27z0"/>
    <w:qFormat/>
  </w:style>
  <w:style w:type="character" w:customStyle="1" w:styleId="EndnoteCharacters">
    <w:name w:val="Endnote Characters"/>
    <w:qFormat/>
    <w:rPr>
      <w:vertAlign w:val="superscript"/>
    </w:rPr>
  </w:style>
  <w:style w:type="character" w:customStyle="1" w:styleId="FootnoteCharacters">
    <w:name w:val="Footnote Characters"/>
    <w:qFormat/>
    <w:rPr>
      <w:sz w:val="16"/>
      <w:szCs w:val="16"/>
      <w:vertAlign w:val="superscript"/>
    </w:rPr>
  </w:style>
  <w:style w:type="character" w:styleId="Numrodepage">
    <w:name w:val="page number"/>
    <w:rPr>
      <w:rFonts w:ascii="Palatino;Book Antiqua" w:hAnsi="Palatino;Book Antiqua" w:cs="Palatino;Book Antiqua"/>
    </w:rPr>
  </w:style>
  <w:style w:type="character" w:styleId="Hyperlien">
    <w:name w:val="Hyperlink"/>
    <w:uiPriority w:val="99"/>
    <w:rPr>
      <w:color w:val="0000FF"/>
      <w:u w:val="single"/>
    </w:rPr>
  </w:style>
  <w:style w:type="character" w:styleId="Accentuation">
    <w:name w:val="Emphasis"/>
    <w:qFormat/>
    <w:rPr>
      <w:i/>
      <w:iCs/>
    </w:rPr>
  </w:style>
  <w:style w:type="character" w:customStyle="1" w:styleId="CarCar">
    <w:name w:val="Car Car"/>
    <w:qFormat/>
    <w:rPr>
      <w:rFonts w:ascii="Arial Black" w:hAnsi="Arial Black" w:cs="Arial Black"/>
      <w:spacing w:val="-30"/>
      <w:kern w:val="2"/>
      <w:sz w:val="40"/>
      <w:lang w:val="fr-CA" w:bidi="ar-SA"/>
    </w:rPr>
  </w:style>
  <w:style w:type="character" w:customStyle="1" w:styleId="CarCar3">
    <w:name w:val="Car Car3"/>
    <w:qFormat/>
    <w:rPr>
      <w:smallCaps/>
      <w:sz w:val="52"/>
      <w:szCs w:val="52"/>
    </w:rPr>
  </w:style>
  <w:style w:type="character" w:customStyle="1" w:styleId="CarCar4">
    <w:name w:val="Car Car4"/>
    <w:qFormat/>
    <w:rPr>
      <w:rFonts w:ascii="Times" w:hAnsi="Times" w:cs="Times"/>
      <w:b/>
      <w:bCs/>
      <w:kern w:val="2"/>
      <w:sz w:val="22"/>
      <w:szCs w:val="22"/>
      <w:lang w:val="fr-CA" w:bidi="ar-SA"/>
    </w:rPr>
  </w:style>
  <w:style w:type="character" w:customStyle="1" w:styleId="CarCar2">
    <w:name w:val="Car Car2"/>
    <w:qFormat/>
    <w:rPr>
      <w:rFonts w:ascii="Times" w:hAnsi="Times" w:cs="Times"/>
      <w:sz w:val="22"/>
      <w:szCs w:val="22"/>
      <w:lang w:val="fr-CA"/>
    </w:rPr>
  </w:style>
  <w:style w:type="character" w:styleId="Lienvisit">
    <w:name w:val="FollowedHyperlink"/>
    <w:rPr>
      <w:color w:val="800080"/>
      <w:u w:val="single"/>
    </w:rPr>
  </w:style>
  <w:style w:type="character" w:customStyle="1" w:styleId="libelleod1">
    <w:name w:val="libelleod1"/>
    <w:qFormat/>
    <w:rPr>
      <w:rFonts w:cs="Times New Roman"/>
      <w:b/>
      <w:bCs/>
    </w:rPr>
  </w:style>
  <w:style w:type="character" w:customStyle="1" w:styleId="Titre5Car">
    <w:name w:val="Titre 5 Car"/>
    <w:qFormat/>
    <w:rPr>
      <w:rFonts w:ascii="Times" w:hAnsi="Times" w:cs="Times"/>
      <w:b/>
      <w:bCs/>
      <w:sz w:val="22"/>
      <w:szCs w:val="22"/>
      <w:lang w:val="fr-CA" w:bidi="ar-SA"/>
    </w:rPr>
  </w:style>
  <w:style w:type="character" w:customStyle="1" w:styleId="TextedebullesCar">
    <w:name w:val="Texte de bulles Car"/>
    <w:qFormat/>
    <w:rPr>
      <w:rFonts w:ascii="Tahoma" w:hAnsi="Tahoma" w:cs="Tahoma"/>
      <w:sz w:val="16"/>
      <w:szCs w:val="16"/>
    </w:rPr>
  </w:style>
  <w:style w:type="character" w:customStyle="1" w:styleId="PieddepageCar">
    <w:name w:val="Pied de page Car"/>
    <w:qFormat/>
    <w:rPr>
      <w:rFonts w:ascii="Times" w:hAnsi="Times" w:cs="Times"/>
      <w:sz w:val="22"/>
      <w:szCs w:val="22"/>
    </w:rPr>
  </w:style>
  <w:style w:type="character" w:styleId="Mentionnonrsolue">
    <w:name w:val="Unresolved Mention"/>
    <w:uiPriority w:val="99"/>
    <w:qFormat/>
    <w:rPr>
      <w:color w:val="605E5C"/>
      <w:shd w:val="clear" w:color="auto" w:fill="E1DFDD"/>
    </w:rPr>
  </w:style>
  <w:style w:type="character" w:styleId="Marquedecommentaire">
    <w:name w:val="annotation reference"/>
    <w:qFormat/>
    <w:rPr>
      <w:sz w:val="16"/>
      <w:szCs w:val="16"/>
    </w:rPr>
  </w:style>
  <w:style w:type="character" w:customStyle="1" w:styleId="CommentaireCar">
    <w:name w:val="Commentaire Car"/>
    <w:qFormat/>
    <w:rPr>
      <w:rFonts w:ascii="Times" w:hAnsi="Times" w:cs="Times"/>
      <w:lang w:val="fr-CA"/>
    </w:rPr>
  </w:style>
  <w:style w:type="character" w:customStyle="1" w:styleId="ObjetducommentaireCar">
    <w:name w:val="Objet du commentaire Car"/>
    <w:qFormat/>
    <w:rPr>
      <w:rFonts w:ascii="Times" w:hAnsi="Times" w:cs="Times"/>
      <w:b/>
      <w:bCs/>
      <w:lang w:val="fr-CA"/>
    </w:rPr>
  </w:style>
  <w:style w:type="character" w:styleId="lev">
    <w:name w:val="Strong"/>
    <w:qFormat/>
    <w:rPr>
      <w:b/>
      <w:bCs/>
    </w:rPr>
  </w:style>
  <w:style w:type="character" w:customStyle="1" w:styleId="IndexLink">
    <w:name w:val="Index Link"/>
    <w:qFormat/>
  </w:style>
  <w:style w:type="paragraph" w:customStyle="1" w:styleId="Heading">
    <w:name w:val="Heading"/>
    <w:basedOn w:val="Normal"/>
    <w:next w:val="Sous-titre"/>
    <w:qFormat/>
    <w:pPr>
      <w:keepNext/>
      <w:keepLines/>
      <w:pBdr>
        <w:bottom w:val="single" w:sz="6" w:space="16" w:color="000000"/>
      </w:pBdr>
      <w:spacing w:before="220" w:after="60" w:line="320" w:lineRule="atLeast"/>
      <w:ind w:left="0"/>
      <w:jc w:val="left"/>
      <w:outlineLvl w:val="9"/>
    </w:pPr>
    <w:rPr>
      <w:rFonts w:ascii="Arial Black" w:hAnsi="Arial Black" w:cs="Times New Roman"/>
      <w:spacing w:val="-30"/>
      <w:kern w:val="2"/>
      <w:sz w:val="40"/>
      <w:szCs w:val="20"/>
    </w:rPr>
  </w:style>
  <w:style w:type="paragraph" w:styleId="Corpsdetexte">
    <w:name w:val="Body Text"/>
    <w:basedOn w:val="Normal"/>
    <w:pPr>
      <w:ind w:left="0"/>
      <w:jc w:val="left"/>
    </w:pPr>
    <w:rPr>
      <w:b/>
      <w:bCs/>
    </w:rPr>
  </w:style>
  <w:style w:type="paragraph" w:styleId="Liste">
    <w:name w:val="List"/>
    <w:basedOn w:val="Normal"/>
    <w:pPr>
      <w:ind w:left="283" w:hanging="283"/>
    </w:pPr>
  </w:style>
  <w:style w:type="paragraph" w:styleId="Lgende">
    <w:name w:val="caption"/>
    <w:basedOn w:val="Normal"/>
    <w:next w:val="Normal"/>
    <w:qFormat/>
    <w:pPr>
      <w:spacing w:before="120" w:after="120"/>
    </w:pPr>
    <w:rPr>
      <w:b/>
      <w:bCs/>
    </w:rPr>
  </w:style>
  <w:style w:type="paragraph" w:customStyle="1" w:styleId="Index">
    <w:name w:val="Index"/>
    <w:basedOn w:val="Normal"/>
    <w:qFormat/>
    <w:pPr>
      <w:suppressLineNumbers/>
    </w:pPr>
    <w:rPr>
      <w:rFonts w:cs="FreeSans"/>
    </w:rPr>
  </w:style>
  <w:style w:type="paragraph" w:styleId="Retraitcorpsdetexte3">
    <w:name w:val="Body Text Indent 3"/>
    <w:basedOn w:val="Normal"/>
    <w:qFormat/>
    <w:pPr>
      <w:spacing w:line="240" w:lineRule="atLeast"/>
      <w:ind w:firstLine="23"/>
      <w:jc w:val="left"/>
    </w:pPr>
  </w:style>
  <w:style w:type="paragraph" w:styleId="TM3">
    <w:name w:val="toc 3"/>
    <w:basedOn w:val="Normal"/>
    <w:next w:val="Normal"/>
    <w:uiPriority w:val="39"/>
    <w:pPr>
      <w:tabs>
        <w:tab w:val="right" w:leader="dot" w:pos="8504"/>
      </w:tabs>
      <w:ind w:left="1860" w:right="850" w:hanging="760"/>
    </w:pPr>
  </w:style>
  <w:style w:type="paragraph" w:styleId="TM2">
    <w:name w:val="toc 2"/>
    <w:basedOn w:val="Normal"/>
    <w:next w:val="Normal"/>
    <w:uiPriority w:val="39"/>
    <w:pPr>
      <w:tabs>
        <w:tab w:val="right" w:leader="dot" w:pos="8504"/>
      </w:tabs>
      <w:spacing w:line="360" w:lineRule="atLeast"/>
      <w:ind w:left="1100" w:right="850" w:hanging="600"/>
    </w:pPr>
  </w:style>
  <w:style w:type="paragraph" w:styleId="TM1">
    <w:name w:val="toc 1"/>
    <w:basedOn w:val="Normal"/>
    <w:next w:val="Normal"/>
    <w:uiPriority w:val="39"/>
    <w:pPr>
      <w:tabs>
        <w:tab w:val="right" w:leader="dot" w:pos="8504"/>
      </w:tabs>
      <w:spacing w:line="480" w:lineRule="atLeast"/>
      <w:ind w:left="520" w:right="850" w:hanging="520"/>
    </w:pPr>
  </w:style>
  <w:style w:type="paragraph" w:customStyle="1" w:styleId="HeaderandFooter">
    <w:name w:val="Header and Footer"/>
    <w:basedOn w:val="Normal"/>
    <w:qFormat/>
    <w:pPr>
      <w:suppressLineNumbers/>
      <w:tabs>
        <w:tab w:val="center" w:pos="4819"/>
        <w:tab w:val="right" w:pos="9638"/>
      </w:tabs>
    </w:pPr>
  </w:style>
  <w:style w:type="paragraph" w:styleId="Pieddepage">
    <w:name w:val="footer"/>
    <w:basedOn w:val="Normal"/>
    <w:pPr>
      <w:tabs>
        <w:tab w:val="center" w:pos="4252"/>
        <w:tab w:val="right" w:pos="8504"/>
      </w:tabs>
    </w:pPr>
  </w:style>
  <w:style w:type="paragraph" w:styleId="En-tte">
    <w:name w:val="header"/>
    <w:basedOn w:val="Normal"/>
    <w:pPr>
      <w:tabs>
        <w:tab w:val="center" w:pos="4320"/>
        <w:tab w:val="right" w:pos="8640"/>
      </w:tabs>
    </w:pPr>
  </w:style>
  <w:style w:type="paragraph" w:styleId="Notedebasdepage">
    <w:name w:val="footnote text"/>
    <w:basedOn w:val="Normal"/>
    <w:rPr>
      <w:sz w:val="20"/>
      <w:szCs w:val="20"/>
    </w:rPr>
  </w:style>
  <w:style w:type="paragraph" w:styleId="Retraitcorpsdetexte">
    <w:name w:val="Body Text Indent"/>
    <w:basedOn w:val="Normal"/>
    <w:pPr>
      <w:ind w:left="520"/>
    </w:pPr>
  </w:style>
  <w:style w:type="paragraph" w:styleId="Retraitcorpsdetexte2">
    <w:name w:val="Body Text Indent 2"/>
    <w:basedOn w:val="Normal"/>
    <w:qFormat/>
    <w:pPr>
      <w:ind w:left="992"/>
      <w:outlineLvl w:val="1"/>
    </w:pPr>
  </w:style>
  <w:style w:type="paragraph" w:styleId="Listepuces">
    <w:name w:val="List Bullet"/>
    <w:basedOn w:val="Normal"/>
    <w:qFormat/>
    <w:pPr>
      <w:ind w:left="0"/>
    </w:pPr>
  </w:style>
  <w:style w:type="paragraph" w:customStyle="1" w:styleId="Style1">
    <w:name w:val="Style1"/>
    <w:basedOn w:val="Titre3"/>
    <w:qFormat/>
    <w:pPr>
      <w:outlineLvl w:val="9"/>
    </w:pPr>
  </w:style>
  <w:style w:type="paragraph" w:customStyle="1" w:styleId="Style2">
    <w:name w:val="Style2"/>
    <w:basedOn w:val="Style1"/>
    <w:qFormat/>
    <w:pPr>
      <w:numPr>
        <w:numId w:val="3"/>
      </w:numPr>
    </w:pPr>
  </w:style>
  <w:style w:type="paragraph" w:styleId="Corpsdetexte2">
    <w:name w:val="Body Text 2"/>
    <w:basedOn w:val="Normal"/>
    <w:qFormat/>
    <w:pPr>
      <w:ind w:left="0"/>
    </w:pPr>
    <w:rPr>
      <w:rFonts w:ascii="Helvetica" w:hAnsi="Helvetica" w:cs="Helvetica"/>
      <w:sz w:val="18"/>
      <w:szCs w:val="18"/>
    </w:rPr>
  </w:style>
  <w:style w:type="paragraph" w:styleId="Corpsdetexte3">
    <w:name w:val="Body Text 3"/>
    <w:basedOn w:val="Normal"/>
    <w:qFormat/>
    <w:pPr>
      <w:spacing w:line="360" w:lineRule="auto"/>
      <w:ind w:left="0" w:right="1190"/>
    </w:pPr>
    <w:rPr>
      <w:i/>
      <w:iCs/>
    </w:rPr>
  </w:style>
  <w:style w:type="paragraph" w:styleId="TM4">
    <w:name w:val="toc 4"/>
    <w:basedOn w:val="Normal"/>
    <w:next w:val="Normal"/>
    <w:uiPriority w:val="39"/>
    <w:pPr>
      <w:ind w:left="660"/>
    </w:pPr>
  </w:style>
  <w:style w:type="paragraph" w:styleId="TM5">
    <w:name w:val="toc 5"/>
    <w:basedOn w:val="Normal"/>
    <w:next w:val="Normal"/>
    <w:uiPriority w:val="39"/>
    <w:pPr>
      <w:ind w:left="880"/>
    </w:pPr>
  </w:style>
  <w:style w:type="paragraph" w:styleId="TM6">
    <w:name w:val="toc 6"/>
    <w:basedOn w:val="Normal"/>
    <w:next w:val="Normal"/>
    <w:uiPriority w:val="39"/>
    <w:pPr>
      <w:ind w:left="1100"/>
    </w:pPr>
  </w:style>
  <w:style w:type="paragraph" w:styleId="TM7">
    <w:name w:val="toc 7"/>
    <w:basedOn w:val="Normal"/>
    <w:next w:val="Normal"/>
    <w:uiPriority w:val="39"/>
    <w:pPr>
      <w:ind w:left="1320"/>
    </w:pPr>
  </w:style>
  <w:style w:type="paragraph" w:styleId="TM8">
    <w:name w:val="toc 8"/>
    <w:basedOn w:val="Normal"/>
    <w:next w:val="Normal"/>
    <w:uiPriority w:val="39"/>
    <w:pPr>
      <w:ind w:left="1540"/>
    </w:pPr>
  </w:style>
  <w:style w:type="paragraph" w:styleId="TM9">
    <w:name w:val="toc 9"/>
    <w:basedOn w:val="Normal"/>
    <w:next w:val="Normal"/>
    <w:uiPriority w:val="39"/>
    <w:pPr>
      <w:ind w:left="1760"/>
    </w:pPr>
  </w:style>
  <w:style w:type="paragraph" w:styleId="Normalcentr">
    <w:name w:val="Block Text"/>
    <w:basedOn w:val="Normal"/>
    <w:qFormat/>
    <w:pPr>
      <w:tabs>
        <w:tab w:val="right" w:leader="dot" w:pos="8504"/>
      </w:tabs>
      <w:ind w:left="1418" w:right="900" w:hanging="1418"/>
    </w:pPr>
  </w:style>
  <w:style w:type="paragraph" w:styleId="Notedefin">
    <w:name w:val="endnote text"/>
    <w:basedOn w:val="Normal"/>
    <w:rPr>
      <w:sz w:val="20"/>
      <w:szCs w:val="20"/>
    </w:rPr>
  </w:style>
  <w:style w:type="paragraph" w:styleId="Liste2">
    <w:name w:val="List 2"/>
    <w:basedOn w:val="Normal"/>
    <w:qFormat/>
    <w:pPr>
      <w:ind w:left="566" w:hanging="283"/>
    </w:pPr>
  </w:style>
  <w:style w:type="paragraph" w:styleId="Listepuces2">
    <w:name w:val="List Bullet 2"/>
    <w:basedOn w:val="Normal"/>
    <w:qFormat/>
    <w:pPr>
      <w:numPr>
        <w:numId w:val="2"/>
      </w:numPr>
    </w:pPr>
  </w:style>
  <w:style w:type="paragraph" w:styleId="Listecontinue2">
    <w:name w:val="List Continue 2"/>
    <w:basedOn w:val="Normal"/>
    <w:qFormat/>
    <w:pPr>
      <w:spacing w:after="120"/>
      <w:ind w:left="566"/>
    </w:pPr>
  </w:style>
  <w:style w:type="paragraph" w:customStyle="1" w:styleId="Adressedest">
    <w:name w:val="Adresse dest."/>
    <w:basedOn w:val="Normal"/>
    <w:qFormat/>
  </w:style>
  <w:style w:type="paragraph" w:customStyle="1" w:styleId="lattention">
    <w:name w:val="À l'attention"/>
    <w:basedOn w:val="Corpsdetexte"/>
    <w:qFormat/>
  </w:style>
  <w:style w:type="paragraph" w:styleId="NormalWeb">
    <w:name w:val="Normal (Web)"/>
    <w:basedOn w:val="Normal"/>
    <w:qFormat/>
    <w:pPr>
      <w:spacing w:before="100" w:after="100"/>
      <w:ind w:left="0"/>
      <w:jc w:val="left"/>
      <w:outlineLvl w:val="9"/>
    </w:pPr>
    <w:rPr>
      <w:rFonts w:ascii="Times New Roman" w:hAnsi="Times New Roman" w:cs="Times New Roman"/>
      <w:sz w:val="24"/>
      <w:szCs w:val="24"/>
      <w:lang w:val="fr-FR"/>
    </w:rPr>
  </w:style>
  <w:style w:type="paragraph" w:customStyle="1" w:styleId="Enttedetableau">
    <w:name w:val="Entête de tableau"/>
    <w:basedOn w:val="Normal"/>
    <w:qFormat/>
    <w:pPr>
      <w:spacing w:before="60"/>
      <w:ind w:left="0"/>
      <w:jc w:val="center"/>
      <w:outlineLvl w:val="9"/>
    </w:pPr>
    <w:rPr>
      <w:rFonts w:ascii="Arial Black" w:hAnsi="Arial Black" w:cs="Times New Roman"/>
      <w:spacing w:val="-5"/>
      <w:sz w:val="16"/>
      <w:szCs w:val="20"/>
    </w:rPr>
  </w:style>
  <w:style w:type="paragraph" w:styleId="Sous-titre">
    <w:name w:val="Subtitle"/>
    <w:basedOn w:val="Heading"/>
    <w:next w:val="Corpsdetexte"/>
    <w:uiPriority w:val="11"/>
    <w:qFormat/>
    <w:pPr>
      <w:spacing w:before="60" w:after="120" w:line="340" w:lineRule="atLeast"/>
    </w:pPr>
    <w:rPr>
      <w:rFonts w:ascii="Arial" w:hAnsi="Arial" w:cs="Arial"/>
      <w:b/>
      <w:i/>
      <w:spacing w:val="-16"/>
      <w:sz w:val="32"/>
    </w:rPr>
  </w:style>
  <w:style w:type="paragraph" w:customStyle="1" w:styleId="Textedetableau">
    <w:name w:val="Texte de tableau"/>
    <w:basedOn w:val="Normal"/>
    <w:qFormat/>
    <w:pPr>
      <w:spacing w:before="60"/>
      <w:ind w:left="0"/>
      <w:jc w:val="left"/>
      <w:outlineLvl w:val="9"/>
    </w:pPr>
    <w:rPr>
      <w:rFonts w:ascii="Arial" w:hAnsi="Arial" w:cs="Times New Roman"/>
      <w:spacing w:val="-5"/>
      <w:sz w:val="16"/>
      <w:szCs w:val="20"/>
    </w:rPr>
  </w:style>
  <w:style w:type="paragraph" w:styleId="Paragraphedeliste">
    <w:name w:val="List Paragraph"/>
    <w:basedOn w:val="Normal"/>
    <w:qFormat/>
    <w:pPr>
      <w:spacing w:after="200" w:line="276" w:lineRule="auto"/>
      <w:ind w:left="720"/>
      <w:contextualSpacing/>
      <w:jc w:val="left"/>
      <w:outlineLvl w:val="9"/>
    </w:pPr>
    <w:rPr>
      <w:rFonts w:ascii="Cambria" w:eastAsia="Calibri" w:hAnsi="Cambria" w:cs="Times New Roman"/>
      <w:lang w:val="en-US" w:bidi="en-US"/>
    </w:rPr>
  </w:style>
  <w:style w:type="paragraph" w:customStyle="1" w:styleId="desc">
    <w:name w:val="desc"/>
    <w:basedOn w:val="Normal"/>
    <w:qFormat/>
    <w:pPr>
      <w:spacing w:before="100" w:after="100"/>
      <w:ind w:left="0"/>
      <w:jc w:val="left"/>
      <w:outlineLvl w:val="9"/>
    </w:pPr>
    <w:rPr>
      <w:rFonts w:ascii="Times New Roman" w:eastAsia="Calibri" w:hAnsi="Times New Roman" w:cs="Times New Roman"/>
      <w:sz w:val="24"/>
      <w:szCs w:val="24"/>
    </w:rPr>
  </w:style>
  <w:style w:type="paragraph" w:styleId="Textedebulles">
    <w:name w:val="Balloon Text"/>
    <w:basedOn w:val="Normal"/>
    <w:qFormat/>
    <w:rPr>
      <w:rFonts w:ascii="Tahoma" w:hAnsi="Tahoma" w:cs="Times New Roman"/>
      <w:sz w:val="16"/>
      <w:szCs w:val="16"/>
      <w:lang w:val="en-US"/>
    </w:rPr>
  </w:style>
  <w:style w:type="paragraph" w:styleId="Commentaire">
    <w:name w:val="annotation text"/>
    <w:basedOn w:val="Normal"/>
    <w:qFormat/>
    <w:rPr>
      <w:sz w:val="20"/>
      <w:szCs w:val="20"/>
    </w:rPr>
  </w:style>
  <w:style w:type="paragraph" w:styleId="Objetducommentaire">
    <w:name w:val="annotation subject"/>
    <w:basedOn w:val="Commentaire"/>
    <w:next w:val="Commentaire"/>
    <w:qFormat/>
    <w:rPr>
      <w:b/>
      <w:bCs/>
    </w:rPr>
  </w:style>
  <w:style w:type="paragraph" w:styleId="Rvision">
    <w:name w:val="Revision"/>
    <w:qFormat/>
    <w:pPr>
      <w:suppressAutoHyphens/>
    </w:pPr>
    <w:rPr>
      <w:rFonts w:ascii="Times" w:eastAsia="MS Mincho" w:hAnsi="Times" w:cs="Times"/>
      <w:sz w:val="22"/>
      <w:szCs w:val="22"/>
      <w:lang w:val="fr-CA" w:eastAsia="zh-CN"/>
    </w:rPr>
  </w:style>
  <w:style w:type="paragraph" w:styleId="En-ttedetabledesmatires">
    <w:name w:val="TOC Heading"/>
    <w:basedOn w:val="Titre1"/>
    <w:next w:val="Normal"/>
    <w:uiPriority w:val="39"/>
    <w:qFormat/>
    <w:pPr>
      <w:keepLines/>
      <w:numPr>
        <w:numId w:val="0"/>
      </w:numPr>
      <w:spacing w:after="0" w:line="256" w:lineRule="auto"/>
      <w:jc w:val="left"/>
      <w:outlineLvl w:val="9"/>
    </w:pPr>
    <w:rPr>
      <w:rFonts w:ascii="Aptos Display" w:eastAsia="Times New Roman" w:hAnsi="Aptos Display" w:cs="Times New Roman"/>
      <w:b w:val="0"/>
      <w:bCs w:val="0"/>
      <w:color w:val="0F4761"/>
      <w:kern w:val="0"/>
      <w:sz w:val="32"/>
      <w:szCs w:val="32"/>
      <w:lang w:val="fr-FR"/>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character" w:customStyle="1" w:styleId="Titre2Car">
    <w:name w:val="Titre 2 Car"/>
    <w:link w:val="Titre2"/>
    <w:uiPriority w:val="9"/>
    <w:rsid w:val="00927E59"/>
    <w:rPr>
      <w:rFonts w:ascii="Times" w:eastAsia="MS Mincho" w:hAnsi="Times" w:cs="Times"/>
      <w:b/>
      <w:bCs/>
      <w:sz w:val="22"/>
      <w:szCs w:val="22"/>
      <w:lang w:val="fr-CA"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patents.google.com/patent/CN118779601A/en" TargetMode="External"/><Relationship Id="rId21" Type="http://schemas.openxmlformats.org/officeDocument/2006/relationships/hyperlink" Target="https://doi.org/10.1016/j.ijcip.2024.100721" TargetMode="External"/><Relationship Id="rId34" Type="http://schemas.openxmlformats.org/officeDocument/2006/relationships/hyperlink" Target="https://www.oiq.qc.ca/lordre/politiques-lois-et-reglements/lois-et-reglements-entourant-la-pratique-du-genie/" TargetMode="External"/><Relationship Id="rId42" Type="http://schemas.openxmlformats.org/officeDocument/2006/relationships/hyperlink" Target="https://www.iso.org/fr/standard/65694.html" TargetMode="External"/><Relationship Id="rId47" Type="http://schemas.openxmlformats.org/officeDocument/2006/relationships/hyperlink" Target="https://webstore.iec.ch/en/publication/32900" TargetMode="External"/><Relationship Id="rId50" Type="http://schemas.openxmlformats.org/officeDocument/2006/relationships/hyperlink" Target="https://webstore.iec.ch/en/publication/3795" TargetMode="External"/><Relationship Id="rId55" Type="http://schemas.openxmlformats.org/officeDocument/2006/relationships/hyperlink" Target="https://www.legisquebec.gouv.qc.ca/fr/document/rc/I-9,%20r.%206%20/" TargetMode="External"/><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cnsc-ccsn.gc.ca/fra/acts-and-regulations/regulatory-documents/published/html/regdoc2-5-2-v2-1/" TargetMode="External"/><Relationship Id="rId29" Type="http://schemas.openxmlformats.org/officeDocument/2006/relationships/hyperlink" Target="https://www.ansys.com/en-gb/products/digital-twin/ansys-twin-builder" TargetMode="External"/><Relationship Id="rId11" Type="http://schemas.openxmlformats.org/officeDocument/2006/relationships/image" Target="media/image4.png"/><Relationship Id="rId24" Type="http://schemas.openxmlformats.org/officeDocument/2006/relationships/hyperlink" Target="https://patents.google.com/patent/CN118709527B/en" TargetMode="External"/><Relationship Id="rId32" Type="http://schemas.openxmlformats.org/officeDocument/2006/relationships/hyperlink" Target="https://www.nrc.gov/about-nrc/regulatory/research/safetycodes" TargetMode="External"/><Relationship Id="rId37" Type="http://schemas.openxmlformats.org/officeDocument/2006/relationships/hyperlink" Target="https://laws-lois.justice.gc.ca/fra/reglements/DORS-2000-204/index.html" TargetMode="External"/><Relationship Id="rId40" Type="http://schemas.openxmlformats.org/officeDocument/2006/relationships/hyperlink" Target="https://www.iso.org/fr/standard/75066.html" TargetMode="External"/><Relationship Id="rId45" Type="http://schemas.openxmlformats.org/officeDocument/2006/relationships/hyperlink" Target="https://www.iso.org/fr/standard/77520.html" TargetMode="External"/><Relationship Id="rId53" Type="http://schemas.openxmlformats.org/officeDocument/2006/relationships/hyperlink" Target="https://www.iso.org/fr/standard/80585.html" TargetMode="External"/><Relationship Id="rId58" Type="http://schemas.openxmlformats.org/officeDocument/2006/relationships/hyperlink" Target="https://www.iso.org/fr/standard/78743.html" TargetMode="External"/><Relationship Id="rId5" Type="http://schemas.openxmlformats.org/officeDocument/2006/relationships/webSettings" Target="webSettings.xml"/><Relationship Id="rId61" Type="http://schemas.openxmlformats.org/officeDocument/2006/relationships/hyperlink" Target="https://www.uqac.ca/registraire/wp-content/uploads/2026/02/AUTOMNE-2026.pdf" TargetMode="External"/><Relationship Id="rId19" Type="http://schemas.openxmlformats.org/officeDocument/2006/relationships/hyperlink" Target="https://doi.org/10.1016/j.apenergy.2025.126922" TargetMode="External"/><Relationship Id="rId14" Type="http://schemas.openxmlformats.org/officeDocument/2006/relationships/image" Target="media/image7.png"/><Relationship Id="rId22" Type="http://schemas.openxmlformats.org/officeDocument/2006/relationships/hyperlink" Target="https://doi.org/10.1016/j.pnucene.2024.105177" TargetMode="External"/><Relationship Id="rId27" Type="http://schemas.openxmlformats.org/officeDocument/2006/relationships/hyperlink" Target="https://patents.google.com/patent/CN118068765A/en" TargetMode="External"/><Relationship Id="rId30" Type="http://schemas.openxmlformats.org/officeDocument/2006/relationships/hyperlink" Target="https://www.siemens.com/en-us/products/simcenter/systems-simulation/amesim/" TargetMode="External"/><Relationship Id="rId35" Type="http://schemas.openxmlformats.org/officeDocument/2006/relationships/hyperlink" Target="https://laws-lois.justice.gc.ca/fra/lois/N-28.3/index.html" TargetMode="External"/><Relationship Id="rId43" Type="http://schemas.openxmlformats.org/officeDocument/2006/relationships/hyperlink" Target="https://www.asme.org/codes-standards/find-codes-standards/standard-for-verification-and-validation-in-computational-fluid-dynamics-and-heat-transfer" TargetMode="External"/><Relationship Id="rId48" Type="http://schemas.openxmlformats.org/officeDocument/2006/relationships/hyperlink" Target="https://webstore.iec.ch/en/publication/26131" TargetMode="External"/><Relationship Id="rId56" Type="http://schemas.openxmlformats.org/officeDocument/2006/relationships/hyperlink" Target="https://www.un.org/sustainabledevelopment/fr/objectifs-de-developpement-durable/" TargetMode="External"/><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webstore.iec.ch/en/publication/30172"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iso.org/fr/standard/90219.html" TargetMode="External"/><Relationship Id="rId25" Type="http://schemas.openxmlformats.org/officeDocument/2006/relationships/hyperlink" Target="https://patents.google.com/patent/CN118228587A/en" TargetMode="External"/><Relationship Id="rId33" Type="http://schemas.openxmlformats.org/officeDocument/2006/relationships/hyperlink" Target="https://www.legisquebec.gouv.qc.ca/fr/document/lc/I-9" TargetMode="External"/><Relationship Id="rId38" Type="http://schemas.openxmlformats.org/officeDocument/2006/relationships/hyperlink" Target="https://www.csagroup.org/store/product/2428461/" TargetMode="External"/><Relationship Id="rId46" Type="http://schemas.openxmlformats.org/officeDocument/2006/relationships/hyperlink" Target="https://webstore.iec.ch/en/publication/32904" TargetMode="External"/><Relationship Id="rId59" Type="http://schemas.openxmlformats.org/officeDocument/2006/relationships/hyperlink" Target="https://www-pub.iaea.org/MTCD/Publications/PDF/TRS384_scr.pdf" TargetMode="External"/><Relationship Id="rId20" Type="http://schemas.openxmlformats.org/officeDocument/2006/relationships/hyperlink" Target="https://doi.org/10.1016/j.jmsy.2021.02.010" TargetMode="External"/><Relationship Id="rId41" Type="http://schemas.openxmlformats.org/officeDocument/2006/relationships/hyperlink" Target="https://www.iso.org/fr/standard/78176.html" TargetMode="External"/><Relationship Id="rId54" Type="http://schemas.openxmlformats.org/officeDocument/2006/relationships/hyperlink" Target="http://gpp.oiq.qc.ca/Methodes_d_identification_des_dangers_et_d_analyse_des_risques.htm"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3390/s25164963" TargetMode="External"/><Relationship Id="rId28" Type="http://schemas.openxmlformats.org/officeDocument/2006/relationships/hyperlink" Target="https://patents.google.com/patent/US12093818B2/en" TargetMode="External"/><Relationship Id="rId36" Type="http://schemas.openxmlformats.org/officeDocument/2006/relationships/hyperlink" Target="https://laws-lois.justice.gc.ca/fra/reglements/DORS-2000-202/index.html" TargetMode="External"/><Relationship Id="rId49" Type="http://schemas.openxmlformats.org/officeDocument/2006/relationships/hyperlink" Target="https://webstore.iec.ch/en/publication/76309" TargetMode="External"/><Relationship Id="rId57" Type="http://schemas.openxmlformats.org/officeDocument/2006/relationships/hyperlink" Target="https://web.aacei.org/docs/default-source/toc/toc_18r-97.pdf" TargetMode="External"/><Relationship Id="rId10" Type="http://schemas.openxmlformats.org/officeDocument/2006/relationships/image" Target="media/image3.png"/><Relationship Id="rId31" Type="http://schemas.openxmlformats.org/officeDocument/2006/relationships/hyperlink" Target="https://github.com/casella/ThermoPower" TargetMode="External"/><Relationship Id="rId44" Type="http://schemas.openxmlformats.org/officeDocument/2006/relationships/hyperlink" Target="https://standards.ieee.org/ieee/1012/7324" TargetMode="External"/><Relationship Id="rId52" Type="http://schemas.openxmlformats.org/officeDocument/2006/relationships/hyperlink" Target="https://www.iso.org/fr/standard/82875.html" TargetMode="External"/><Relationship Id="rId60" Type="http://schemas.openxmlformats.org/officeDocument/2006/relationships/hyperlink" Target="https://afg.quebec/documentation/publications"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hyperlink" Target="https://doi.org/10.1016/j.anucene.2024.110491" TargetMode="External"/><Relationship Id="rId39" Type="http://schemas.openxmlformats.org/officeDocument/2006/relationships/hyperlink" Target="https://www.iso.org/fr/standard/81702.html"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CB4AD-D83F-4CBB-B16E-59EC1CFA30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75</Pages>
  <Words>25950</Words>
  <Characters>142728</Characters>
  <Application>Microsoft Office Word</Application>
  <DocSecurity>0</DocSecurity>
  <Lines>1189</Lines>
  <Paragraphs>336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Christian Sawadogo</dc:creator>
  <cp:lastModifiedBy>Christian Sawadogo</cp:lastModifiedBy>
  <cp:revision>4</cp:revision>
  <dcterms:created xsi:type="dcterms:W3CDTF">2026-09-23T15:29:00Z</dcterms:created>
  <dcterms:modified xsi:type="dcterms:W3CDTF">2026-09-24T15:06:00Z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2016-09-26T21:09:00Z</dcterms:created>
  <dc:creator>Service informatique LAB 3-519</dc:creator>
  <dc:description/>
  <cp:keywords/>
  <dc:language>en-US</dc:language>
  <cp:lastModifiedBy>Christian Sawadogo</cp:lastModifiedBy>
  <cp:lastPrinted>2016-09-26T17:09:00Z</cp:lastPrinted>
  <dcterms:modified xsi:type="dcterms:W3CDTF">2026-09-20T16:31:00Z</dcterms:modified>
  <cp:revision>36</cp:revision>
  <dc:subject/>
  <dc:title>Plan de cours</dc:title>
</cp:coreProperties>
</file>