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7B03" w14:textId="76FFA470" w:rsidR="00197951" w:rsidRDefault="00197951">
      <w:pPr>
        <w:spacing w:after="240"/>
      </w:pPr>
    </w:p>
    <w:tbl>
      <w:tblPr>
        <w:tblW w:w="142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600"/>
        <w:gridCol w:w="3250"/>
        <w:gridCol w:w="3250"/>
        <w:gridCol w:w="3250"/>
      </w:tblGrid>
      <w:tr w:rsidR="00197951" w14:paraId="2C0E9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9CCCE" w14:textId="77777777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Fonction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29C7B" w14:textId="77777777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Fonctionnalité</w:t>
            </w:r>
          </w:p>
        </w:tc>
        <w:tc>
          <w:tcPr>
            <w:tcW w:w="325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E384" w14:textId="77777777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Concept A</w:t>
            </w:r>
          </w:p>
        </w:tc>
        <w:tc>
          <w:tcPr>
            <w:tcW w:w="325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A07B5" w14:textId="77777777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Concept B</w:t>
            </w:r>
          </w:p>
        </w:tc>
        <w:tc>
          <w:tcPr>
            <w:tcW w:w="325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692E7" w14:textId="77777777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Concept C</w:t>
            </w:r>
          </w:p>
        </w:tc>
      </w:tr>
      <w:tr w:rsidR="00197951" w14:paraId="3C250BC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E169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SS-1 (L4)</w:t>
            </w:r>
          </w:p>
          <w:p w14:paraId="346F492B" w14:textId="77777777" w:rsidR="00197951" w:rsidRDefault="00000000">
            <w:pPr>
              <w:spacing w:before="40" w:after="40"/>
            </w:pPr>
            <w:r>
              <w:rPr>
                <w:sz w:val="15"/>
                <w:szCs w:val="15"/>
              </w:rPr>
              <w:t>Simuler le comportement physique de la boucle, en normal comme en défaillance</w:t>
            </w:r>
          </w:p>
        </w:tc>
        <w:tc>
          <w:tcPr>
            <w:tcW w:w="26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6D029" w14:textId="77777777" w:rsidR="00197951" w:rsidRDefault="00000000">
            <w:pPr>
              <w:spacing w:before="40" w:after="40"/>
            </w:pPr>
            <w:r>
              <w:rPr>
                <w:i/>
                <w:iCs/>
                <w:sz w:val="15"/>
                <w:szCs w:val="15"/>
              </w:rPr>
              <w:t>Axe de variation : le niveau de description physique retenu, donc les phénomènes que le modèle est capable de représenter.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C910F" w14:textId="7607FC43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Modèle à paramètres concentrés (0D)</w:t>
            </w:r>
          </w:p>
          <w:p w14:paraId="5AD5AFF5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La boucle est découpée en volumes supposés homogènes.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C3D18" w14:textId="1DC4FF09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Modèle unidimensionnel à mailles</w:t>
            </w:r>
          </w:p>
          <w:p w14:paraId="00509B90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Chaque tronçon est discrétisé le long de son axe.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C8E9F" w14:textId="1A818CB4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Modèle de comportement entrée-sortie</w:t>
            </w:r>
          </w:p>
          <w:p w14:paraId="72A84326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Aucune représentation spatiale : gains, constantes de temps et retards.</w:t>
            </w:r>
          </w:p>
        </w:tc>
      </w:tr>
      <w:tr w:rsidR="00197951" w14:paraId="396AAF4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1BE9C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A6767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Phénomènes effectivement représentés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D904A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Inertie thermique de chaque volume et couplage entre débit et température. Ne représente ni le profil axial ni le temps de transit du fluide.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557B9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Inertie thermique, profil axial de température, temps de transit et propagation d'une perturbation le long de la boucle.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34354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Seulement la réponse globale observée aux bornes. Aucun phénomène interne n'est représenté explicitement.</w:t>
            </w:r>
          </w:p>
        </w:tc>
      </w:tr>
      <w:tr w:rsidR="00197951" w14:paraId="38C2E87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4093E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37B6B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Hypothèses de modélisation à déclarer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2A74A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Écoulement monophasique, fluide incompressible, propriétés constantes par volume, mélange parfait dans chaque volume.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89F9E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Écoulement monophasique unidimensionnel, propriétés évaluées maille par maille, diffusion axiale négligée ou retenue selon le choix à justifier.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0532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Linéarité au voisinage du point de fonctionnement, invariance dans le temps, absence de couplage non modélisé.</w:t>
            </w:r>
          </w:p>
        </w:tc>
      </w:tr>
      <w:tr w:rsidR="00197951" w14:paraId="44754D0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C18C2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E9EEB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Variables d'état et ordre du modèle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39269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Cinq à quinze états : une température par volume, le débit de boucle, une pression de référence. Ordre connu et chaque état a un sens physique.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4957F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Ordre proportionnel au nombre de mailles, donc de plusieurs dizaines à quelques centaines d'états. Le maillage devient un paramètre de conception à justifier.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7EA5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Ordre faible, deux à quatre états, sans signification physique individuelle.</w:t>
            </w:r>
          </w:p>
        </w:tc>
      </w:tr>
      <w:tr w:rsidR="00197951" w14:paraId="471E563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95F22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387C5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Représentation des scénarios de défaillance (EX-F-02)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C8A6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Par modification d'un paramètre physique : coefficient d'échange, perte de charge, puissance injectée. Le lien entre la cause et l'effet reste lisible.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6523B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Même principe, avec en plus la localisation du défaut sur une maille donnée, donc la capacité de représenter un colmatage partiel localisé.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D7FD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Par modification d'un gain ou d'une constante de temps. Le lien avec la cause physique est perdu, ce qui affaiblit la justification du scénario.</w:t>
            </w:r>
          </w:p>
        </w:tc>
      </w:tr>
      <w:tr w:rsidR="00197951" w14:paraId="37CA458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E403D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35034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Vérification du modèle, sans données expérimentales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8D865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Conservation de la masse et de l'énergie vérifiable à chaque pas, et comparaison du régime permanent aux ordres de grandeur publiés du circuit caloporteur CANDU 6.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27E20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Mêmes essais, plus l'étude de convergence en maillage, qui est l'essai propre au modèle distribué et qui se documente comme tel.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D4699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Aucune conservation à vérifier. La seule vérification possible est la cohérence avec les régimes ayant servi à l'identification, ce qui est circulaire.</w:t>
            </w:r>
          </w:p>
        </w:tc>
      </w:tr>
      <w:tr w:rsidR="00197951" w14:paraId="5A2AB4B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A4619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SS-2 (L6)</w:t>
            </w:r>
          </w:p>
          <w:p w14:paraId="01C0292B" w14:textId="77777777" w:rsidR="00197951" w:rsidRDefault="00000000">
            <w:pPr>
              <w:spacing w:before="40" w:after="40"/>
            </w:pPr>
            <w:r>
              <w:rPr>
                <w:sz w:val="15"/>
                <w:szCs w:val="15"/>
              </w:rPr>
              <w:t>Acquérir les grandeurs, les dégrader de façon réaliste, qualifier ce qui est acquis</w:t>
            </w:r>
          </w:p>
        </w:tc>
        <w:tc>
          <w:tcPr>
            <w:tcW w:w="26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8024E" w14:textId="77777777" w:rsidR="00197951" w:rsidRDefault="00000000">
            <w:pPr>
              <w:spacing w:before="40" w:after="40"/>
            </w:pPr>
            <w:r>
              <w:rPr>
                <w:i/>
                <w:iCs/>
                <w:sz w:val="15"/>
                <w:szCs w:val="15"/>
              </w:rPr>
              <w:t>Axe de variation : la manière de représenter l'imperfection de la mesure, et la base sur laquelle une mesure est déclarée douteuse.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D4035" w14:textId="2B658310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Erreur additive par capteur</w:t>
            </w:r>
          </w:p>
          <w:p w14:paraId="0C1501E1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La mesure est la grandeur vraie plus un terme d'erreur, chaque capteur traité isolément.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5D94D" w14:textId="2978D0DE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Chaîne de mesure physique</w:t>
            </w:r>
          </w:p>
          <w:p w14:paraId="1E9E1A2B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On modélise le principe de transduction et sa dynamique.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EAA21" w14:textId="3C9C2FB4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Enveloppe d'incertitude déclarée</w:t>
            </w:r>
          </w:p>
          <w:p w14:paraId="74B18AE7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Aucun mécanisme modélisé : l'erreur est tirée dans une enveloppe bornée.</w:t>
            </w:r>
          </w:p>
        </w:tc>
      </w:tr>
      <w:tr w:rsidR="00197951" w14:paraId="6E4826C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44AAB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148B5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Forme donnée à l'erreur de mesure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EFF4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Somme de termes indépendants : bruit, biais, dérive, erreur d'échelle, valeur gelée. Simple à écrire et à vérifier terme par terme.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4111E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Erreur issue du mécanisme : retard du premier ordre pour la sonde de température, loi en racine carrée pour un débit déduit d'une pression différentielle.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1B34B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Tirage dans une enveloppe bornée, sans décomposition en termes. On déclare le résultat, pas la cause.</w:t>
            </w:r>
          </w:p>
        </w:tc>
      </w:tr>
      <w:tr w:rsidR="00197951" w14:paraId="08D9115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474A9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C659E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Dynamique propre du capteur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3194B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Absente : la mesure suit la grandeur vraie instantanément. Hypothèse acceptable en régime lent, fausse en transitoire rapide.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E233E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Représentée par une constante de temps par capteur, ce qui crée un déphasage mesurable entre grandeur vraie et mesure pendant un transitoire.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AFFED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Absente, ou approchée en élargissant l'enveloppe pendant les transitoires, ce qui est une convention à justifier.</w:t>
            </w:r>
          </w:p>
        </w:tc>
      </w:tr>
      <w:tr w:rsidR="00197951" w14:paraId="6137818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B4C8A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40F5E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Dépendance de l'erreur au point de fonctionnement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E5CB1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Aucune : l'erreur a la même amplitude à vingt-cinq pour cent et à cent pour cent du débit.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6E071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Native pour le débit : la loi en racine carrée dégrade l'erreur relative à faible débit. Seul des trois à restituer cet effet, qui est précisément celui qui compte en perte de débit.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D4FB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Possible si l'enveloppe est paramétrée par le point de fonctionnement, au prix d'une table de valeurs à justifier.</w:t>
            </w:r>
          </w:p>
        </w:tc>
      </w:tr>
      <w:tr w:rsidR="00197951" w14:paraId="3DDACA4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03F41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77116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Base sur laquelle une mesure est qualifiée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A35FB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Plage admissible et vitesse de variation maximale, variable par variable, prises isolément.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5A19F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Redondance analytique : une relation physique invariante entre les trois variables permet de contredire une mesure sans la dupliquer matériellement.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61686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Cohérence avec l'enveloppe déclarée, donc un critère statistique appliqué à la série.</w:t>
            </w:r>
          </w:p>
        </w:tc>
      </w:tr>
      <w:tr w:rsidR="00197951" w14:paraId="3B6E2AA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ED718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E6A44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Ce que la qualification peut et ne peut pas détecter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F9588" w14:textId="77777777" w:rsidR="00197951" w:rsidRDefault="00000000">
            <w:pPr>
              <w:spacing w:before="40" w:after="40"/>
            </w:pPr>
            <w:proofErr w:type="gramStart"/>
            <w:r>
              <w:rPr>
                <w:sz w:val="16"/>
                <w:szCs w:val="16"/>
              </w:rPr>
              <w:t>Détecte le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hors-plage</w:t>
            </w:r>
            <w:proofErr w:type="spellEnd"/>
            <w:r>
              <w:rPr>
                <w:sz w:val="16"/>
                <w:szCs w:val="16"/>
              </w:rPr>
              <w:t xml:space="preserve"> et le saut brutal. Ne détecte ni une dérive lente restant dans la plage, ni un capteur gelé sur une valeur plausible.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872A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Détecte en plus la dérive lente et la valeur gelée, parce que l'une et l'autre brisent la relation entre variables. C'est la capacité qui manque le plus à SS-4 en aval.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327E4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Détecte l'écart statistique à l'enveloppe. Très sensible au réglage, et ne distingue pas un défaut de capteur d'un transitoire légitime.</w:t>
            </w:r>
          </w:p>
        </w:tc>
      </w:tr>
      <w:tr w:rsidR="00197951" w14:paraId="1C2BDD9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6ED76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SS-3 (L4, L6)</w:t>
            </w:r>
          </w:p>
          <w:p w14:paraId="63B08276" w14:textId="77777777" w:rsidR="00197951" w:rsidRDefault="00000000">
            <w:pPr>
              <w:spacing w:before="40" w:after="40"/>
            </w:pPr>
            <w:r>
              <w:rPr>
                <w:sz w:val="15"/>
                <w:szCs w:val="15"/>
              </w:rPr>
              <w:t>Calculer le comportement attendu et le comparer au comportement observé</w:t>
            </w:r>
          </w:p>
        </w:tc>
        <w:tc>
          <w:tcPr>
            <w:tcW w:w="26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9C45C" w14:textId="77777777" w:rsidR="00197951" w:rsidRDefault="00000000">
            <w:pPr>
              <w:spacing w:before="40" w:after="40"/>
            </w:pPr>
            <w:r>
              <w:rPr>
                <w:i/>
                <w:iCs/>
                <w:sz w:val="15"/>
                <w:szCs w:val="15"/>
              </w:rPr>
              <w:t>Axe de variation : la manière de produire la référence à laquelle la mesure est comparée.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EA895" w14:textId="7061C5DD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Référence en boucle ouverte</w:t>
            </w:r>
          </w:p>
          <w:p w14:paraId="2BD62795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Le modèle tourne en parallèle, alimenté par les mêmes consignes, jamais corrigé par les mesures.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95598" w14:textId="1AF18AE6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Référence recalée</w:t>
            </w:r>
          </w:p>
          <w:p w14:paraId="4E159996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Le modèle est corrigé en continu par les mesures ; le résidu est l'écart avant correction.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1E284" w14:textId="4EDEF331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Référence par relations invariantes</w:t>
            </w:r>
          </w:p>
          <w:p w14:paraId="1C4B9F52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Aucune trajectoire prédite : des relations physiques doivent être vérifiées à tout instant.</w:t>
            </w:r>
          </w:p>
        </w:tc>
      </w:tr>
      <w:tr w:rsidR="00197951" w14:paraId="769BF52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FAFCF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87183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Nature de la référence produite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79C36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Une trajectoire calculée indépendamment de toute mesure.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09390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Une estimation d'état fusionnant le modèle et les mesures.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9F440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Une contrainte algébrique que les trois mesures doivent satisfaire simultanément.</w:t>
            </w:r>
          </w:p>
        </w:tc>
      </w:tr>
      <w:tr w:rsidR="00197951" w14:paraId="0A9F05B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95C1E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FE182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Sensibilité à l'erreur de modèle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B26AD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Élevée : toute erreur de modèle s'accumule et se présente comme un écart permanent. Impose un modèle fidèle, ou une réinitialisation périodique à justifier.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76449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Faible : le recalage absorbe l'erreur de modèle. C'est l'avantage du concept, et c'est aussi l'origine de son risque principal.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F092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Nulle au sens dynamique, puisqu'aucune trajectoire n'est prédite. Ne dépend que de la validité des relations retenues.</w:t>
            </w:r>
          </w:p>
        </w:tc>
      </w:tr>
      <w:tr w:rsidR="00197951" w14:paraId="4E5E289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A4021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AE9E2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Risque de masquage du défaut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B7045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Nul : une dérive réelle reste intégralement visible dans l'écart.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EF9DB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Réel et à traiter explicitement : le recalage suit le défaut et referme l'écart. Il faut surveiller l'innovation et non l'erreur d'estimation, ou suspendre le recalage dès qu'un doute est levé.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42AE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Nul pour les défauts qui violent la relation, aveugle pour ceux qui la respectent.</w:t>
            </w:r>
          </w:p>
        </w:tc>
      </w:tr>
      <w:tr w:rsidR="00197951" w14:paraId="1BC8E10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933A8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69FB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Information fournie en plus de l'écart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193A2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Aucune, sinon l'écart lui-même.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97256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Une incertitude sur l'estimation, qui croît d'elle-même quand une mesure manque et qui est directement affichable à l'opérateur.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427D5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La relation violée, donc une première localisation du défaut sans traitement supplémentaire.</w:t>
            </w:r>
          </w:p>
        </w:tc>
      </w:tr>
      <w:tr w:rsidR="00197951" w14:paraId="79439E5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CE046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48909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Indépendance vis-à-vis du simulateur SS-1 (condition éliminatoire)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A1388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À démontrer : représentation différente de celle de SS-1, paramètres jamais importés, aucune lecture d'état interne. Auditable en revue de code.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C2C8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Même exigence, à laquelle s'ajoute la justification des matrices de réglage, qui sont un choix de conception et non une donnée physique.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46AD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Naturellement indépendant : les relations retenues sont des lois physiques générales, pas le modèle de SS-1.</w:t>
            </w:r>
          </w:p>
        </w:tc>
      </w:tr>
      <w:tr w:rsidR="00197951" w14:paraId="5F894B2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F0A9C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SS-4 (L7)</w:t>
            </w:r>
          </w:p>
          <w:p w14:paraId="6BE6DEC2" w14:textId="77777777" w:rsidR="00197951" w:rsidRDefault="00000000">
            <w:pPr>
              <w:spacing w:before="40" w:after="40"/>
            </w:pPr>
            <w:r>
              <w:rPr>
                <w:sz w:val="15"/>
                <w:szCs w:val="15"/>
              </w:rPr>
              <w:t>Décider si un résidu traduit une anomalie, et dire avec quelle confiance</w:t>
            </w:r>
          </w:p>
        </w:tc>
        <w:tc>
          <w:tcPr>
            <w:tcW w:w="26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C9B63" w14:textId="77777777" w:rsidR="00197951" w:rsidRDefault="00000000">
            <w:pPr>
              <w:spacing w:before="40" w:after="40"/>
            </w:pPr>
            <w:r>
              <w:rPr>
                <w:i/>
                <w:iCs/>
                <w:sz w:val="15"/>
                <w:szCs w:val="15"/>
              </w:rPr>
              <w:t>Axe de variation : la manière dont la décision est construite à partir de l'écart, et ce que signifie alors la confiance annoncée.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1CF72" w14:textId="71F0B34E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Décision par budget d'incertitude</w:t>
            </w:r>
          </w:p>
          <w:p w14:paraId="14E0483F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Un écart compte quand il dépasse ce que les incertitudes connues expliquent.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047DD" w14:textId="3F6A6083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Décision séquentielle</w:t>
            </w:r>
          </w:p>
          <w:p w14:paraId="6C11E537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L'information s'accumule dans le temps jusqu'à ce qu'un risque d'erreur déclaré soit atteint.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3599B" w14:textId="5A2480BB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Décision par signature</w:t>
            </w:r>
          </w:p>
          <w:p w14:paraId="00E15512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Le vecteur d'écarts est comparé à une table de signatures défaut-symptôme établie à la conception.</w:t>
            </w:r>
          </w:p>
        </w:tc>
      </w:tr>
      <w:tr w:rsidR="00197951" w14:paraId="069837B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44F04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80E76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Dimensionnement du seuil de décision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FC60B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Calculé et non réglé : il découle du budget d'incertitude du modèle et de la mesure, et se défend par le calcul plutôt que par l'essai.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D738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Pas de seuil sur l'amplitude. On déclare le risque de fausse alarme et le risque de non-détection, et le test en découle.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5F295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 seuil par symptôme, servant seulement à binariser chaque écart avant la comparaison à la table.</w:t>
            </w:r>
          </w:p>
        </w:tc>
      </w:tr>
      <w:tr w:rsidR="00197951" w14:paraId="1AC363F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F2002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BB81B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Distinction entre dérive et anomalie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2B350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Par l'amplitude relative au budget : au-delà de ce que l'incertitude explique mais sous le seuil critique, l'écart est une dérive.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5ACD2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Par la durée d'accumulation : une dérive lente met longtemps à franchir la borne, une anomalie franche la franchit en quelques cycles.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3ED4C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Par la signature elle-même, chaque défaut possédant sa signature de dérive et sa signature franche.</w:t>
            </w:r>
          </w:p>
        </w:tc>
      </w:tr>
      <w:tr w:rsidR="00197951" w14:paraId="177CE52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DB42B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5C87C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Sens exact du niveau de confiance annoncé (EX-F-07)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9285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Rapport entre l'écart observé et l'incertitude qui pourrait l'expliquer. Interprétation physique, défendable devant un responsable de la sûreté.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D9602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Risque d'erreur déclaré a priori par le concepteur. Interprétation en probabilité.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07CB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Distance entre le vecteur observé et la signature la plus proche. C'est une qualité d'appariement, et il ne faut pas la présenter comme une probabilité.</w:t>
            </w:r>
          </w:p>
        </w:tc>
      </w:tr>
      <w:tr w:rsidR="00197951" w14:paraId="763F970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FC20A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3CE4E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Fondement de l'état « incertain » (EX-F-06)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E438D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 budget d'incertitude s'élargit faute de données au point qu'aucun écart n'est plus décidable. Le refus de conclure découle du calcul.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2616C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Zone de non-décision du test, qui est une sortie native de la méthode et non un garde-fou ajouté après coup.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046F8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Aucune signature ne correspond, ou plusieurs correspondent également bien. La table doit donc comporter une entrée « indéterminé ».</w:t>
            </w:r>
          </w:p>
        </w:tc>
      </w:tr>
      <w:tr w:rsidR="00197951" w14:paraId="43DE6F9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18F7C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A347A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Désignation des variables contributrices (EX-F-05)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C218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Les variables dont l'écart normalisé est le plus grand. Justification arithmétique affichable à l'écran.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E60E8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Les variables dont le test individuel a franchi sa borne.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84E3F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Les symptômes actifs de la signature reconnue, donc une explication en termes de cause probable et non de variable. C'est la plus lisible pour un opérateur.</w:t>
            </w:r>
          </w:p>
        </w:tc>
      </w:tr>
      <w:tr w:rsidR="00197951" w14:paraId="79D2297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B2614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SS-5 (L8)</w:t>
            </w:r>
          </w:p>
          <w:p w14:paraId="74A0B8A3" w14:textId="77777777" w:rsidR="00197951" w:rsidRDefault="00000000">
            <w:pPr>
              <w:spacing w:before="40" w:after="40"/>
            </w:pPr>
            <w:r>
              <w:rPr>
                <w:sz w:val="15"/>
                <w:szCs w:val="15"/>
              </w:rPr>
              <w:t>Présenter l'état, la confiance et les contributions à l'opérateur, sans commander l'installation</w:t>
            </w:r>
          </w:p>
        </w:tc>
        <w:tc>
          <w:tcPr>
            <w:tcW w:w="26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82A38" w14:textId="77777777" w:rsidR="00197951" w:rsidRDefault="00000000">
            <w:pPr>
              <w:spacing w:before="40" w:after="40"/>
            </w:pPr>
            <w:r>
              <w:rPr>
                <w:i/>
                <w:iCs/>
                <w:sz w:val="15"/>
                <w:szCs w:val="15"/>
              </w:rPr>
              <w:t>Axe de variation : le niveau de synthèse que la machine impose, donc le partage du travail de diagnostic entre le système et l'opérateur.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87A7E" w14:textId="3A1BB9A3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Présentation par variable</w:t>
            </w:r>
          </w:p>
          <w:p w14:paraId="22DFE694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Chaque grandeur, son écart et sa limite. L'opérateur fait la synthèse.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D7517" w14:textId="6F055BF3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Présentation par état de la boucle</w:t>
            </w:r>
          </w:p>
          <w:p w14:paraId="6DA1A51B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Un état synthétique, le détail accessible à la demande. L'opérateur audite la synthèse.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7EE06" w14:textId="456B6F48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Présentation par hypothèse de défaillance</w:t>
            </w:r>
          </w:p>
          <w:p w14:paraId="7B835EA0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Les causes compatibles avec les observations, ordonnées. La machine propose un diagnostic.</w:t>
            </w:r>
          </w:p>
        </w:tc>
      </w:tr>
      <w:tr w:rsidR="00197951" w14:paraId="7E2DFD6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DB87D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B496E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Travail de diagnostic laissé à l'opérateur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CFFBD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Tout le rapprochement entre variables. Charge cognitive la plus élevée, mais aucune interprétation n'est imposée.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BDC6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La vérification de la synthèse proposée, ce qui suppose que le chemin vers le détail soit immédiat.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29D01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 choix entre des hypothèses déjà formulées. Charge la plus faible, risque d'ancrage le plus élevé.</w:t>
            </w:r>
          </w:p>
        </w:tc>
      </w:tr>
      <w:tr w:rsidR="00197951" w14:paraId="28B72D7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095DE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239F2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Traçabilité de la conclusion affichée (EX-F-05)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5B9A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Immédiate, puisque la machine ne produit aucune conclusion à justifier.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0131C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 xml:space="preserve">Le chemin de l'état affiché jusqu'aux variables contributrices </w:t>
            </w:r>
            <w:proofErr w:type="gramStart"/>
            <w:r>
              <w:rPr>
                <w:sz w:val="16"/>
                <w:szCs w:val="16"/>
              </w:rPr>
              <w:t>doit</w:t>
            </w:r>
            <w:proofErr w:type="gramEnd"/>
            <w:r>
              <w:rPr>
                <w:sz w:val="16"/>
                <w:szCs w:val="16"/>
              </w:rPr>
              <w:t xml:space="preserve"> être consultable en un geste, sans quoi l'état devient un verdict opaque.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9F20A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Exige d'afficher aussi les hypothèses écartées et le motif de leur rejet, sans quoi l'outil oriente la décision sans se justifier.</w:t>
            </w:r>
          </w:p>
        </w:tc>
      </w:tr>
      <w:tr w:rsidR="00197951" w14:paraId="2C9341A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730A7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24006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Traitement de l'incertitude à l'écran (EX-F-06)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EF959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Une marge par variable, lisible, mais sans vue d'ensemble de la fiabilité du diagnostic.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0BD01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 état « incertain » de plein droit, au même rang que les autres états, et non une simple absence d'alarme.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F7189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Une hypothèse « indéterminé » qui doit pouvoir arriver en tête de liste, sans quoi le système propose toujours une cause.</w:t>
            </w:r>
          </w:p>
        </w:tc>
      </w:tr>
      <w:tr w:rsidR="00197951" w14:paraId="50AF220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A8171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49F1C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Erreur d'interprétation contre laquelle il faut concevoir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8C934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L'opérateur manque une combinaison anormale de variables individuellement normales.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BB1BF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L'opérateur fait confiance à l'état sans vérifier, d'autant plus que sa charge de travail est élevée.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ECEC4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L'opérateur retient la première hypothèse proposée et cesse de chercher.</w:t>
            </w:r>
          </w:p>
        </w:tc>
      </w:tr>
      <w:tr w:rsidR="00197951" w14:paraId="015D576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829F2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E21D9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 xml:space="preserve">Distance à la frontière de la commande (EX-F-08). Règle commune : aucune action émise, et </w:t>
            </w:r>
            <w:r>
              <w:rPr>
                <w:b/>
                <w:bCs/>
                <w:sz w:val="16"/>
                <w:szCs w:val="16"/>
              </w:rPr>
              <w:lastRenderedPageBreak/>
              <w:t>confirmation explicite journalisée avec ce qui était affiché au moment du choix.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5621D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lastRenderedPageBreak/>
              <w:t>Le plus éloigné de la commande : l'outil informe et ne conclut pas.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1DC08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L'état affiché peut être lu comme une consigne. Le libellé doit rester descriptif et jamais prescriptif.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31585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 xml:space="preserve">Le plus proche de la frontière : une liste ordonnée d'hypothèses se lit comme une </w:t>
            </w:r>
            <w:r>
              <w:rPr>
                <w:sz w:val="16"/>
                <w:szCs w:val="16"/>
              </w:rPr>
              <w:lastRenderedPageBreak/>
              <w:t>recommandation d'action et appelle la formulation la plus prudente des trois.</w:t>
            </w:r>
          </w:p>
        </w:tc>
      </w:tr>
      <w:tr w:rsidR="00197951" w14:paraId="7B6903F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EB3DA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SS-6 (L5)</w:t>
            </w:r>
          </w:p>
          <w:p w14:paraId="04769D33" w14:textId="77777777" w:rsidR="00197951" w:rsidRDefault="00000000">
            <w:pPr>
              <w:spacing w:before="40" w:after="40"/>
            </w:pPr>
            <w:r>
              <w:rPr>
                <w:sz w:val="15"/>
                <w:szCs w:val="15"/>
              </w:rPr>
              <w:t>Journaliser, horodater et protéger l'intégrité de la chaîne, de l'acquisition à l'affichage</w:t>
            </w:r>
          </w:p>
        </w:tc>
        <w:tc>
          <w:tcPr>
            <w:tcW w:w="26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954DD" w14:textId="77777777" w:rsidR="00197951" w:rsidRDefault="00000000">
            <w:pPr>
              <w:spacing w:before="40" w:after="40"/>
            </w:pPr>
            <w:r>
              <w:rPr>
                <w:i/>
                <w:iCs/>
                <w:sz w:val="15"/>
                <w:szCs w:val="15"/>
              </w:rPr>
              <w:t>Axe de variation : ce que l'on enregistre, et donc ce que l'enregistrement permet de refaire après coup.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989FD" w14:textId="54AD7742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Journal d'événements</w:t>
            </w:r>
          </w:p>
          <w:p w14:paraId="2AEF7160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On enregistre ce qui change : transitions, décisions, rejets, confirmations.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D27C6" w14:textId="3BA57BBA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Journal de données</w:t>
            </w:r>
          </w:p>
          <w:p w14:paraId="454B9DBD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On enregistre tous les échantillons et toutes les sorties : le diagnostic est rejouable.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F2817" w14:textId="459905D5" w:rsidR="0019795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7"/>
                <w:szCs w:val="17"/>
              </w:rPr>
              <w:t>Journal à deux niveaux</w:t>
            </w:r>
          </w:p>
          <w:p w14:paraId="71E1B852" w14:textId="77777777" w:rsidR="00197951" w:rsidRDefault="00000000">
            <w:pPr>
              <w:spacing w:before="40" w:after="40"/>
              <w:jc w:val="center"/>
            </w:pPr>
            <w:r>
              <w:rPr>
                <w:i/>
                <w:iCs/>
                <w:sz w:val="15"/>
                <w:szCs w:val="15"/>
              </w:rPr>
              <w:t>Flux de données à rétention courte, journal d'événements scellé à rétention longue.</w:t>
            </w:r>
          </w:p>
        </w:tc>
      </w:tr>
      <w:tr w:rsidR="00197951" w14:paraId="5ADF86B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93E59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9914E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Ce que le journal permet de refaire après coup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84748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Reconstituer la suite des décisions, mais pas les recalculer. Il faut croire le système sur parole pour les valeurs qui les ont produites.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38F5D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Rejouer le diagnostic à l'identique et vérifier chaque décision par recalcul. Seul des trois à rendre la vérification réellement indépendante.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FC685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Recalcul possible sur la fenêtre récente, simple reconstitution au-delà.</w:t>
            </w:r>
          </w:p>
        </w:tc>
      </w:tr>
      <w:tr w:rsidR="00197951" w14:paraId="6F0776A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06011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25C7E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Volume produit et effet sur le temps de cycle (EX-Q-01)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33254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Faible : une écriture seulement quand quelque chose change. Effet négligeable sur le budget de temps.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E9137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Une écriture par cycle et par variable, donc un coût fixe par cycle qu'il faut mesurer et inscrire au budget de temps.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5B682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Coût du journal de données sur la fenêtre, auquel s'ajoute le coût périodique du scellement.</w:t>
            </w:r>
          </w:p>
        </w:tc>
      </w:tr>
      <w:tr w:rsidR="00197951" w14:paraId="0605CB1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01EA5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44D1F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Mécanisme de preuve d'intégrité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F8C69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Chaînage par empreinte entre entrées successives : toute suppression ou modification rompt la chaîne et devient détectable.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A4C11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Même chaînage appliqué à un volume bien plus grand, donc un coût de vérification qui croît avec la durée de la campagne.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523A8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Scellement périodique par condensé de bloc, ce qui borne le coût de vérification indépendamment du volume accumulé.</w:t>
            </w:r>
          </w:p>
        </w:tc>
      </w:tr>
      <w:tr w:rsidR="00197951" w14:paraId="63C6DE5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BCEED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E10B9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Preuve qu'aucune entrée ne manque (EX-Q-02). Méthode commune : continuité stricte des numéros de séquence, et jamais l'absence constatée d'erreur.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44CA5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Facile à tenir, mais ne prouve que la complétude des événements, pas celle des acquisitions.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D1BB2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 nombre d'entrées doit égaler le nombre de cycles exécutés : c'est l'essai le plus direct de l'exigence.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C7FFD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Deux comptes à réconcilier, donc une vérification en deux temps à documenter.</w:t>
            </w:r>
          </w:p>
        </w:tc>
      </w:tr>
      <w:tr w:rsidR="00197951" w14:paraId="0E6A5FA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D33E8" w14:textId="77777777" w:rsidR="00197951" w:rsidRDefault="00197951">
            <w:pPr>
              <w:spacing w:before="40" w:after="4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D25DF" w14:textId="77777777" w:rsidR="00197951" w:rsidRDefault="00000000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Séparation des rôles et portée de la preuve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2A6A3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 producteur du journal détient la clé : l'intégrité est prouvée contre un tiers, pas contre le producteur lui-même. À écrire noir sur blanc dans le rapport.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FB81E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Même limite, et le volume rend la relecture humaine impraticable sans outil d'analyse.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74F4F" w14:textId="77777777" w:rsidR="00197951" w:rsidRDefault="00000000">
            <w:pPr>
              <w:spacing w:before="40" w:after="40"/>
            </w:pPr>
            <w:r>
              <w:rPr>
                <w:sz w:val="16"/>
                <w:szCs w:val="16"/>
              </w:rPr>
              <w:t>Le scellement peut être signé par un rôle distinct de celui qui écrit : seul des trois à approcher la non-répudiation.</w:t>
            </w:r>
          </w:p>
        </w:tc>
      </w:tr>
    </w:tbl>
    <w:p w14:paraId="21E3FD88" w14:textId="77777777" w:rsidR="00197951" w:rsidRDefault="00000000">
      <w:r>
        <w:br w:type="page"/>
      </w:r>
    </w:p>
    <w:p w14:paraId="428213E9" w14:textId="77777777" w:rsidR="00197951" w:rsidRDefault="00000000">
      <w:pPr>
        <w:pStyle w:val="Titre2"/>
        <w:spacing w:after="120"/>
      </w:pPr>
      <w:r>
        <w:rPr>
          <w:b/>
          <w:bCs/>
        </w:rPr>
        <w:lastRenderedPageBreak/>
        <w:t>Ce qui reste à produire après cette grille</w:t>
      </w:r>
    </w:p>
    <w:p w14:paraId="1342B2C1" w14:textId="77777777" w:rsidR="00197951" w:rsidRDefault="00000000">
      <w:pPr>
        <w:spacing w:after="100"/>
      </w:pPr>
      <w:r>
        <w:rPr>
          <w:sz w:val="19"/>
          <w:szCs w:val="19"/>
        </w:rPr>
        <w:t>1. Spécifications techniques. Pour chaque fonctionnalité, la cible chiffrée et la restriction à respecter. Les paramètres N, T, D, S, X et Y du registre des exigences sont encore ouverts et doivent être fixés ici, avec leur justification.</w:t>
      </w:r>
    </w:p>
    <w:p w14:paraId="00D0592E" w14:textId="77777777" w:rsidR="00197951" w:rsidRDefault="00000000">
      <w:pPr>
        <w:spacing w:after="100"/>
      </w:pPr>
      <w:r>
        <w:rPr>
          <w:sz w:val="19"/>
          <w:szCs w:val="19"/>
        </w:rPr>
        <w:t>2. Critères, pondération et barèmes. Un critère par ligne, un poids dont la somme fait 100, et un barème qui dit ce que vaut chaque niveau de performance, y compris le niveau de rejet.</w:t>
      </w:r>
    </w:p>
    <w:p w14:paraId="53F9DCA0" w14:textId="77777777" w:rsidR="00197951" w:rsidRDefault="00000000">
      <w:pPr>
        <w:spacing w:after="100"/>
      </w:pPr>
      <w:r>
        <w:rPr>
          <w:sz w:val="19"/>
          <w:szCs w:val="19"/>
        </w:rPr>
        <w:t>3. Conditions éliminatoires, à poser avant toute pondération. Trois sont déjà identifiées : l'indépendance de la référence de SS-3 vis-à-vis du simulateur de SS-1, l'impossibilité pour SS-5 d'émettre une commande, et la capacité du concept de SS-1 à représenter les quatre scénarios imposés par EX-F-02.</w:t>
      </w:r>
    </w:p>
    <w:p w14:paraId="3391D8B1" w14:textId="77777777" w:rsidR="00197951" w:rsidRDefault="00000000">
      <w:pPr>
        <w:spacing w:after="100"/>
      </w:pPr>
      <w:r>
        <w:rPr>
          <w:sz w:val="19"/>
          <w:szCs w:val="19"/>
        </w:rPr>
        <w:t>4. Matrice de décision pondérée. Pointage, résultat pondéré et commentaire par concept, avec le pourcentage obtenu par chaque solution.</w:t>
      </w:r>
    </w:p>
    <w:p w14:paraId="7D32D92F" w14:textId="77777777" w:rsidR="00197951" w:rsidRDefault="00000000">
      <w:pPr>
        <w:spacing w:after="100"/>
      </w:pPr>
      <w:r>
        <w:rPr>
          <w:sz w:val="19"/>
          <w:szCs w:val="19"/>
        </w:rPr>
        <w:t xml:space="preserve">5. Analyse de faisabilité, aux quatre axes physique, économique, temporel et socio-environnemental, avec </w:t>
      </w:r>
      <w:proofErr w:type="gramStart"/>
      <w:r>
        <w:rPr>
          <w:sz w:val="19"/>
          <w:szCs w:val="19"/>
        </w:rPr>
        <w:t>une décision retenu ou rejeté</w:t>
      </w:r>
      <w:proofErr w:type="gramEnd"/>
      <w:r>
        <w:rPr>
          <w:sz w:val="19"/>
          <w:szCs w:val="19"/>
        </w:rPr>
        <w:t xml:space="preserve"> par couple fonction et concept.</w:t>
      </w:r>
    </w:p>
    <w:p w14:paraId="22C2ECF1" w14:textId="77777777" w:rsidR="00197951" w:rsidRDefault="00000000">
      <w:pPr>
        <w:spacing w:after="100"/>
      </w:pPr>
      <w:r>
        <w:rPr>
          <w:sz w:val="19"/>
          <w:szCs w:val="19"/>
        </w:rPr>
        <w:t>6. Contraintes selon le cadre physique, technique, économique, environnemental, social, humain et légal, puis analyse de développement durable aux trois piliers, analyse de la valeur et discussion finale.</w:t>
      </w:r>
    </w:p>
    <w:p w14:paraId="40AA7948" w14:textId="48544EBA" w:rsidR="00197951" w:rsidRDefault="00197951">
      <w:pPr>
        <w:spacing w:after="100"/>
      </w:pPr>
    </w:p>
    <w:sectPr w:rsidR="00197951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30A2"/>
    <w:multiLevelType w:val="hybridMultilevel"/>
    <w:tmpl w:val="0206115A"/>
    <w:lvl w:ilvl="0" w:tplc="F5508120">
      <w:start w:val="1"/>
      <w:numFmt w:val="bullet"/>
      <w:lvlText w:val="●"/>
      <w:lvlJc w:val="left"/>
      <w:pPr>
        <w:ind w:left="720" w:hanging="360"/>
      </w:pPr>
    </w:lvl>
    <w:lvl w:ilvl="1" w:tplc="1AFA51F4">
      <w:start w:val="1"/>
      <w:numFmt w:val="bullet"/>
      <w:lvlText w:val="○"/>
      <w:lvlJc w:val="left"/>
      <w:pPr>
        <w:ind w:left="1440" w:hanging="360"/>
      </w:pPr>
    </w:lvl>
    <w:lvl w:ilvl="2" w:tplc="87483DAC">
      <w:start w:val="1"/>
      <w:numFmt w:val="bullet"/>
      <w:lvlText w:val="■"/>
      <w:lvlJc w:val="left"/>
      <w:pPr>
        <w:ind w:left="2160" w:hanging="360"/>
      </w:pPr>
    </w:lvl>
    <w:lvl w:ilvl="3" w:tplc="58481E96">
      <w:start w:val="1"/>
      <w:numFmt w:val="bullet"/>
      <w:lvlText w:val="●"/>
      <w:lvlJc w:val="left"/>
      <w:pPr>
        <w:ind w:left="2880" w:hanging="360"/>
      </w:pPr>
    </w:lvl>
    <w:lvl w:ilvl="4" w:tplc="D16EF9AC">
      <w:start w:val="1"/>
      <w:numFmt w:val="bullet"/>
      <w:lvlText w:val="○"/>
      <w:lvlJc w:val="left"/>
      <w:pPr>
        <w:ind w:left="3600" w:hanging="360"/>
      </w:pPr>
    </w:lvl>
    <w:lvl w:ilvl="5" w:tplc="FFCAA086">
      <w:start w:val="1"/>
      <w:numFmt w:val="bullet"/>
      <w:lvlText w:val="■"/>
      <w:lvlJc w:val="left"/>
      <w:pPr>
        <w:ind w:left="4320" w:hanging="360"/>
      </w:pPr>
    </w:lvl>
    <w:lvl w:ilvl="6" w:tplc="E722B602">
      <w:start w:val="1"/>
      <w:numFmt w:val="bullet"/>
      <w:lvlText w:val="●"/>
      <w:lvlJc w:val="left"/>
      <w:pPr>
        <w:ind w:left="5040" w:hanging="360"/>
      </w:pPr>
    </w:lvl>
    <w:lvl w:ilvl="7" w:tplc="1EE8FBE8">
      <w:start w:val="1"/>
      <w:numFmt w:val="bullet"/>
      <w:lvlText w:val="●"/>
      <w:lvlJc w:val="left"/>
      <w:pPr>
        <w:ind w:left="5760" w:hanging="360"/>
      </w:pPr>
    </w:lvl>
    <w:lvl w:ilvl="8" w:tplc="B9B27C42">
      <w:start w:val="1"/>
      <w:numFmt w:val="bullet"/>
      <w:lvlText w:val="●"/>
      <w:lvlJc w:val="left"/>
      <w:pPr>
        <w:ind w:left="6480" w:hanging="360"/>
      </w:pPr>
    </w:lvl>
  </w:abstractNum>
  <w:num w:numId="1" w16cid:durableId="1239827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951"/>
    <w:rsid w:val="00193EF1"/>
    <w:rsid w:val="00197951"/>
    <w:rsid w:val="00D2128D"/>
    <w:rsid w:val="00D9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96EF"/>
  <w15:docId w15:val="{7BFF34A6-8968-477A-BC3F-F072CEC2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2578</Words>
  <Characters>14185</Characters>
  <Application>Microsoft Office Word</Application>
  <DocSecurity>0</DocSecurity>
  <Lines>118</Lines>
  <Paragraphs>33</Paragraphs>
  <ScaleCrop>false</ScaleCrop>
  <Company/>
  <LinksUpToDate>false</LinksUpToDate>
  <CharactersWithSpaces>16730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Sawadogo</cp:lastModifiedBy>
  <cp:revision>2</cp:revision>
  <dcterms:created xsi:type="dcterms:W3CDTF">2026-10-09T18:06:00Z</dcterms:created>
  <dcterms:modified xsi:type="dcterms:W3CDTF">2026-10-09T18:06:00Z</dcterms:modified>
</cp:coreProperties>
</file>