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54"/>
        <w:gridCol w:w="2014"/>
        <w:gridCol w:w="2014"/>
        <w:gridCol w:w="2014"/>
      </w:tblGrid>
      <w:tr w:rsidR="008E7C2A" w14:paraId="6944B70F" w14:textId="77777777" w:rsidTr="5E538FA2">
        <w:tc>
          <w:tcPr>
            <w:tcW w:w="2254" w:type="dxa"/>
          </w:tcPr>
          <w:p w14:paraId="394FDF16" w14:textId="2A7B7C5E" w:rsidR="008E7C2A" w:rsidRDefault="008E7C2A">
            <w:r>
              <w:t>Fonctions</w:t>
            </w:r>
          </w:p>
        </w:tc>
        <w:tc>
          <w:tcPr>
            <w:tcW w:w="2014" w:type="dxa"/>
          </w:tcPr>
          <w:p w14:paraId="482E2B87" w14:textId="13C4460E" w:rsidR="008E7C2A" w:rsidRDefault="008E7C2A">
            <w:r>
              <w:t>Concept A</w:t>
            </w:r>
          </w:p>
        </w:tc>
        <w:tc>
          <w:tcPr>
            <w:tcW w:w="2014" w:type="dxa"/>
          </w:tcPr>
          <w:p w14:paraId="2E48C065" w14:textId="09EAD5CF" w:rsidR="008E7C2A" w:rsidRDefault="008E7C2A">
            <w:r>
              <w:t>Concept B</w:t>
            </w:r>
          </w:p>
        </w:tc>
        <w:tc>
          <w:tcPr>
            <w:tcW w:w="2014" w:type="dxa"/>
          </w:tcPr>
          <w:p w14:paraId="3809C12D" w14:textId="2DABCE1A" w:rsidR="008E7C2A" w:rsidRDefault="008E7C2A">
            <w:r>
              <w:t>Concept C</w:t>
            </w:r>
          </w:p>
        </w:tc>
      </w:tr>
      <w:tr w:rsidR="008E7C2A" w14:paraId="2FA37B1B" w14:textId="77777777" w:rsidTr="5E538FA2">
        <w:tc>
          <w:tcPr>
            <w:tcW w:w="2254" w:type="dxa"/>
          </w:tcPr>
          <w:p w14:paraId="0C2FA0E1" w14:textId="78EE7B70" w:rsidR="008E7C2A" w:rsidRDefault="008E7C2A">
            <w:r w:rsidRPr="008E7C2A">
              <w:t xml:space="preserve">Simuler le comportement physique de la boucle </w:t>
            </w:r>
            <w:proofErr w:type="spellStart"/>
            <w:r w:rsidRPr="008E7C2A">
              <w:t>thermohydraulique</w:t>
            </w:r>
            <w:proofErr w:type="spellEnd"/>
            <w:r w:rsidRPr="008E7C2A">
              <w:t>, en fonctionnement normal comme en défaillance.</w:t>
            </w:r>
          </w:p>
        </w:tc>
        <w:tc>
          <w:tcPr>
            <w:tcW w:w="2014" w:type="dxa"/>
          </w:tcPr>
          <w:p w14:paraId="7D1B921E" w14:textId="5FA8F90D" w:rsidR="004547A6" w:rsidRDefault="004547A6" w:rsidP="004547A6">
            <w:pPr>
              <w:spacing w:before="40" w:after="40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 xml:space="preserve"> Modèle à paramètres concentrés (0D)</w:t>
            </w:r>
          </w:p>
          <w:p w14:paraId="1A3B96D5" w14:textId="0C64FFD1" w:rsidR="008E7C2A" w:rsidRDefault="004547A6" w:rsidP="004547A6">
            <w:r>
              <w:rPr>
                <w:i/>
                <w:iCs/>
                <w:sz w:val="15"/>
                <w:szCs w:val="15"/>
              </w:rPr>
              <w:t>La boucle est découpée en volumes supposés homogènes.</w:t>
            </w:r>
          </w:p>
        </w:tc>
        <w:tc>
          <w:tcPr>
            <w:tcW w:w="2014" w:type="dxa"/>
          </w:tcPr>
          <w:p w14:paraId="0A8F67F8" w14:textId="0EDAE41E" w:rsidR="004547A6" w:rsidRPr="004547A6" w:rsidRDefault="00190A4F" w:rsidP="004547A6">
            <w:pPr>
              <w:spacing w:before="40" w:after="40"/>
              <w:rPr>
                <w:b/>
                <w:bCs/>
                <w:sz w:val="17"/>
                <w:szCs w:val="17"/>
              </w:rPr>
            </w:pPr>
            <w:r w:rsidRPr="004547A6">
              <w:rPr>
                <w:b/>
                <w:bCs/>
                <w:sz w:val="17"/>
                <w:szCs w:val="17"/>
              </w:rPr>
              <w:t xml:space="preserve"> </w:t>
            </w:r>
            <w:r w:rsidR="004547A6" w:rsidRPr="004547A6">
              <w:rPr>
                <w:b/>
                <w:bCs/>
                <w:sz w:val="17"/>
                <w:szCs w:val="17"/>
              </w:rPr>
              <w:t>Modèle unidimensionnel à mailles</w:t>
            </w:r>
          </w:p>
          <w:p w14:paraId="7B161A9B" w14:textId="3A945682" w:rsidR="008E7C2A" w:rsidRPr="004547A6" w:rsidRDefault="004547A6" w:rsidP="004547A6">
            <w:pPr>
              <w:spacing w:before="40" w:after="40"/>
              <w:rPr>
                <w:b/>
                <w:bCs/>
                <w:sz w:val="17"/>
                <w:szCs w:val="17"/>
              </w:rPr>
            </w:pPr>
            <w:r w:rsidRPr="004547A6">
              <w:rPr>
                <w:b/>
                <w:bCs/>
                <w:sz w:val="17"/>
                <w:szCs w:val="17"/>
              </w:rPr>
              <w:t>Chaque tronçon est discrétisé le long de son axe.</w:t>
            </w:r>
          </w:p>
        </w:tc>
        <w:tc>
          <w:tcPr>
            <w:tcW w:w="2014" w:type="dxa"/>
          </w:tcPr>
          <w:p w14:paraId="3A687261" w14:textId="6625117B" w:rsidR="004547A6" w:rsidRPr="004547A6" w:rsidRDefault="004547A6" w:rsidP="004547A6">
            <w:pPr>
              <w:spacing w:before="40" w:after="40"/>
              <w:rPr>
                <w:b/>
                <w:bCs/>
                <w:sz w:val="17"/>
                <w:szCs w:val="17"/>
              </w:rPr>
            </w:pPr>
            <w:r w:rsidRPr="004547A6">
              <w:rPr>
                <w:b/>
                <w:bCs/>
                <w:sz w:val="17"/>
                <w:szCs w:val="17"/>
              </w:rPr>
              <w:t>Modèle de comportement entrée-sortie</w:t>
            </w:r>
          </w:p>
          <w:p w14:paraId="1A07931D" w14:textId="53F8BE3E" w:rsidR="00190A4F" w:rsidRPr="004547A6" w:rsidRDefault="004547A6" w:rsidP="004547A6">
            <w:pPr>
              <w:spacing w:before="40" w:after="40"/>
              <w:rPr>
                <w:b/>
                <w:bCs/>
                <w:sz w:val="17"/>
                <w:szCs w:val="17"/>
              </w:rPr>
            </w:pPr>
            <w:r w:rsidRPr="004547A6">
              <w:rPr>
                <w:b/>
                <w:bCs/>
                <w:sz w:val="17"/>
                <w:szCs w:val="17"/>
              </w:rPr>
              <w:t>Aucune représentation spatiale : gains, constantes de temps et retards.</w:t>
            </w:r>
          </w:p>
        </w:tc>
      </w:tr>
      <w:tr w:rsidR="008E7C2A" w14:paraId="7A51DCAD" w14:textId="77777777" w:rsidTr="5E538FA2">
        <w:tc>
          <w:tcPr>
            <w:tcW w:w="2254" w:type="dxa"/>
          </w:tcPr>
          <w:p w14:paraId="2DB67DCC" w14:textId="490F3A26" w:rsidR="008E7C2A" w:rsidRDefault="008E7C2A">
            <w:r w:rsidRPr="008E7C2A">
              <w:t>Acquérir les grandeurs, les dégrader de façon réaliste, et qualifier ce qui est acquis.</w:t>
            </w:r>
          </w:p>
        </w:tc>
        <w:tc>
          <w:tcPr>
            <w:tcW w:w="2014" w:type="dxa"/>
            <w:shd w:val="clear" w:color="auto" w:fill="C00000"/>
          </w:tcPr>
          <w:p w14:paraId="682A5D75" w14:textId="0091DFD5" w:rsidR="004547A6" w:rsidRPr="004547A6" w:rsidRDefault="004547A6" w:rsidP="004547A6">
            <w:pPr>
              <w:spacing w:before="40" w:after="40"/>
              <w:rPr>
                <w:b/>
                <w:bCs/>
                <w:sz w:val="17"/>
                <w:szCs w:val="17"/>
              </w:rPr>
            </w:pPr>
            <w:r w:rsidRPr="004547A6">
              <w:rPr>
                <w:b/>
                <w:bCs/>
                <w:sz w:val="17"/>
                <w:szCs w:val="17"/>
              </w:rPr>
              <w:t>Erreur additive par capteur</w:t>
            </w:r>
          </w:p>
          <w:p w14:paraId="4D04BD6C" w14:textId="3C504E7C" w:rsidR="008E7C2A" w:rsidRDefault="004547A6" w:rsidP="004547A6">
            <w:r w:rsidRPr="004547A6">
              <w:rPr>
                <w:i/>
                <w:iCs/>
                <w:sz w:val="15"/>
                <w:szCs w:val="15"/>
              </w:rPr>
              <w:t>La mesure est la grandeur vraie plus un terme d'erreur, chaque capteur traité isolément.</w:t>
            </w:r>
          </w:p>
        </w:tc>
        <w:tc>
          <w:tcPr>
            <w:tcW w:w="2014" w:type="dxa"/>
            <w:shd w:val="clear" w:color="auto" w:fill="C00000"/>
          </w:tcPr>
          <w:p w14:paraId="168FB07A" w14:textId="5259EA87" w:rsidR="004547A6" w:rsidRPr="004547A6" w:rsidRDefault="004547A6" w:rsidP="004547A6">
            <w:pPr>
              <w:rPr>
                <w:b/>
                <w:bCs/>
                <w:lang w:val="fr-FR"/>
              </w:rPr>
            </w:pPr>
            <w:r w:rsidRPr="004547A6">
              <w:rPr>
                <w:b/>
                <w:bCs/>
                <w:lang w:val="fr-FR"/>
              </w:rPr>
              <w:t>Chaîne de mesure physique</w:t>
            </w:r>
          </w:p>
          <w:p w14:paraId="49E3A88F" w14:textId="2171FB88" w:rsidR="008E7C2A" w:rsidRDefault="004547A6" w:rsidP="004547A6">
            <w:r w:rsidRPr="004547A6">
              <w:rPr>
                <w:i/>
                <w:iCs/>
                <w:sz w:val="15"/>
                <w:szCs w:val="15"/>
              </w:rPr>
              <w:t>On modélise le principe de transduction et sa dynamique.</w:t>
            </w:r>
          </w:p>
        </w:tc>
        <w:tc>
          <w:tcPr>
            <w:tcW w:w="2014" w:type="dxa"/>
          </w:tcPr>
          <w:p w14:paraId="3EA52C70" w14:textId="04391218" w:rsidR="004547A6" w:rsidRPr="004547A6" w:rsidRDefault="004547A6" w:rsidP="004547A6">
            <w:pPr>
              <w:rPr>
                <w:b/>
                <w:bCs/>
                <w:lang w:val="fr-FR"/>
              </w:rPr>
            </w:pPr>
            <w:r w:rsidRPr="004547A6">
              <w:rPr>
                <w:b/>
                <w:bCs/>
                <w:lang w:val="fr-FR"/>
              </w:rPr>
              <w:t>Enveloppe d'incertitude déclarée</w:t>
            </w:r>
          </w:p>
          <w:p w14:paraId="3DC64500" w14:textId="61A698AE" w:rsidR="008E7C2A" w:rsidRDefault="004547A6" w:rsidP="004547A6">
            <w:r w:rsidRPr="004547A6">
              <w:rPr>
                <w:i/>
                <w:iCs/>
                <w:sz w:val="15"/>
                <w:szCs w:val="15"/>
              </w:rPr>
              <w:t>Aucun mécanisme modélisé : l'erreur est tirée dans une enveloppe bornée.</w:t>
            </w:r>
          </w:p>
        </w:tc>
      </w:tr>
      <w:tr w:rsidR="008E7C2A" w14:paraId="08972D03" w14:textId="77777777" w:rsidTr="5E538FA2">
        <w:trPr>
          <w:trHeight w:val="2040"/>
        </w:trPr>
        <w:tc>
          <w:tcPr>
            <w:tcW w:w="2254" w:type="dxa"/>
          </w:tcPr>
          <w:p w14:paraId="318BC439" w14:textId="7DF57BD8" w:rsidR="008E7C2A" w:rsidRDefault="008E7C2A">
            <w:r w:rsidRPr="008E7C2A">
              <w:t>Calculer le comportement attendu et le comparer au comportement observé.</w:t>
            </w:r>
          </w:p>
        </w:tc>
        <w:tc>
          <w:tcPr>
            <w:tcW w:w="2014" w:type="dxa"/>
          </w:tcPr>
          <w:p w14:paraId="38555CEE" w14:textId="648D04BA" w:rsidR="004547A6" w:rsidRPr="004547A6" w:rsidRDefault="004547A6" w:rsidP="004547A6">
            <w:pPr>
              <w:rPr>
                <w:b/>
                <w:bCs/>
                <w:lang w:val="fr-FR"/>
              </w:rPr>
            </w:pPr>
            <w:r w:rsidRPr="004547A6">
              <w:rPr>
                <w:b/>
                <w:bCs/>
                <w:lang w:val="fr-FR"/>
              </w:rPr>
              <w:t>Référence en boucle ouverte</w:t>
            </w:r>
          </w:p>
          <w:p w14:paraId="59F37D6C" w14:textId="3DDAEF67" w:rsidR="008E7C2A" w:rsidRDefault="004547A6" w:rsidP="004547A6">
            <w:r w:rsidRPr="004547A6">
              <w:rPr>
                <w:i/>
                <w:iCs/>
                <w:sz w:val="15"/>
                <w:szCs w:val="15"/>
              </w:rPr>
              <w:t>Le modèle tourne en parallèle, alimenté par les mêmes consignes, jamais corrigé par les mesures</w:t>
            </w:r>
          </w:p>
        </w:tc>
        <w:tc>
          <w:tcPr>
            <w:tcW w:w="2014" w:type="dxa"/>
          </w:tcPr>
          <w:p w14:paraId="649D3133" w14:textId="125FF945" w:rsidR="004547A6" w:rsidRPr="004547A6" w:rsidRDefault="004547A6" w:rsidP="004547A6">
            <w:pPr>
              <w:rPr>
                <w:b/>
                <w:bCs/>
                <w:lang w:val="fr-FR"/>
              </w:rPr>
            </w:pPr>
            <w:r w:rsidRPr="004547A6">
              <w:rPr>
                <w:b/>
                <w:bCs/>
                <w:lang w:val="fr-FR"/>
              </w:rPr>
              <w:t>Référence recalée</w:t>
            </w:r>
          </w:p>
          <w:p w14:paraId="6D1F7358" w14:textId="7D756F7A" w:rsidR="008E7C2A" w:rsidRDefault="004547A6" w:rsidP="004547A6">
            <w:r w:rsidRPr="004547A6">
              <w:rPr>
                <w:i/>
                <w:iCs/>
                <w:sz w:val="15"/>
                <w:szCs w:val="15"/>
              </w:rPr>
              <w:t>Le modèle est corrigé en continu par les mesures ; le résidu est l'écart avant correction.</w:t>
            </w:r>
          </w:p>
        </w:tc>
        <w:tc>
          <w:tcPr>
            <w:tcW w:w="2014" w:type="dxa"/>
          </w:tcPr>
          <w:p w14:paraId="70E67B36" w14:textId="5C5900F6" w:rsidR="004547A6" w:rsidRDefault="004547A6" w:rsidP="004547A6">
            <w:pPr>
              <w:spacing w:before="40" w:after="40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>Référence par relations invariantes</w:t>
            </w:r>
          </w:p>
          <w:p w14:paraId="6A98F260" w14:textId="2208C5E0" w:rsidR="008E7C2A" w:rsidRDefault="004547A6" w:rsidP="004547A6">
            <w:r>
              <w:rPr>
                <w:i/>
                <w:iCs/>
                <w:sz w:val="15"/>
                <w:szCs w:val="15"/>
              </w:rPr>
              <w:t>Aucune trajectoire prédite : des relations physiques doivent être vérifiées à tout instant.</w:t>
            </w:r>
          </w:p>
        </w:tc>
      </w:tr>
      <w:tr w:rsidR="008E7C2A" w14:paraId="5AA92490" w14:textId="77777777" w:rsidTr="5E538FA2">
        <w:tc>
          <w:tcPr>
            <w:tcW w:w="2254" w:type="dxa"/>
          </w:tcPr>
          <w:p w14:paraId="2AA6814A" w14:textId="1092B40A" w:rsidR="008E7C2A" w:rsidRDefault="008E7C2A">
            <w:r w:rsidRPr="008E7C2A">
              <w:t>Décider si un résidu traduit une anomalie, et dire avec quelle confiance.</w:t>
            </w:r>
          </w:p>
        </w:tc>
        <w:tc>
          <w:tcPr>
            <w:tcW w:w="2014" w:type="dxa"/>
          </w:tcPr>
          <w:p w14:paraId="3EB142D4" w14:textId="3BF3E39C" w:rsidR="004547A6" w:rsidRPr="004547A6" w:rsidRDefault="004547A6" w:rsidP="004547A6">
            <w:pPr>
              <w:rPr>
                <w:b/>
                <w:bCs/>
                <w:lang w:val="fr-FR"/>
              </w:rPr>
            </w:pPr>
            <w:r w:rsidRPr="004547A6">
              <w:rPr>
                <w:b/>
                <w:bCs/>
                <w:lang w:val="fr-FR"/>
              </w:rPr>
              <w:t>Décision par budget d'incertitude</w:t>
            </w:r>
          </w:p>
          <w:p w14:paraId="50BACC5F" w14:textId="315D9C01" w:rsidR="008E7C2A" w:rsidRDefault="004547A6" w:rsidP="004547A6">
            <w:r w:rsidRPr="004547A6">
              <w:rPr>
                <w:i/>
                <w:iCs/>
                <w:sz w:val="15"/>
                <w:szCs w:val="15"/>
              </w:rPr>
              <w:t>Un écart compte quand il dépasse ce que les incertitudes connues expliquent.</w:t>
            </w:r>
          </w:p>
        </w:tc>
        <w:tc>
          <w:tcPr>
            <w:tcW w:w="2014" w:type="dxa"/>
          </w:tcPr>
          <w:p w14:paraId="726F2B29" w14:textId="5834C9A9" w:rsidR="004547A6" w:rsidRDefault="004547A6" w:rsidP="004547A6">
            <w:pPr>
              <w:spacing w:before="40" w:after="40"/>
              <w:jc w:val="center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>Décision séquentielle</w:t>
            </w:r>
          </w:p>
          <w:p w14:paraId="293F4635" w14:textId="2DD7A9A6" w:rsidR="008E7C2A" w:rsidRDefault="004547A6" w:rsidP="004547A6">
            <w:r>
              <w:rPr>
                <w:i/>
                <w:iCs/>
                <w:sz w:val="15"/>
                <w:szCs w:val="15"/>
              </w:rPr>
              <w:t>L'information s'accumule dans le temps jusqu'à ce qu'un risque d'erreur déclaré soit atteint.</w:t>
            </w:r>
          </w:p>
        </w:tc>
        <w:tc>
          <w:tcPr>
            <w:tcW w:w="2014" w:type="dxa"/>
          </w:tcPr>
          <w:p w14:paraId="75CFD6AD" w14:textId="0276EE7C" w:rsidR="004547A6" w:rsidRDefault="004547A6" w:rsidP="004547A6">
            <w:pPr>
              <w:spacing w:before="40" w:after="40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>Décision par signature</w:t>
            </w:r>
          </w:p>
          <w:p w14:paraId="7B753618" w14:textId="416BAD99" w:rsidR="008E7C2A" w:rsidRDefault="004547A6" w:rsidP="004547A6">
            <w:r>
              <w:rPr>
                <w:i/>
                <w:iCs/>
                <w:sz w:val="15"/>
                <w:szCs w:val="15"/>
              </w:rPr>
              <w:t>Le vecteur d'écarts est comparé à une table de signatures défaut-symptôme établie à la conception.</w:t>
            </w:r>
          </w:p>
        </w:tc>
      </w:tr>
      <w:tr w:rsidR="008E7C2A" w14:paraId="23057BC1" w14:textId="77777777" w:rsidTr="5E538FA2">
        <w:tc>
          <w:tcPr>
            <w:tcW w:w="2254" w:type="dxa"/>
          </w:tcPr>
          <w:p w14:paraId="786E4AD2" w14:textId="56B466C0" w:rsidR="008E7C2A" w:rsidRPr="008E7C2A" w:rsidRDefault="008E7C2A">
            <w:r w:rsidRPr="008E7C2A">
              <w:t>Présenter l’état, la confiance et les contributions à l’opérateur, sans commander l’installation.</w:t>
            </w:r>
          </w:p>
        </w:tc>
        <w:tc>
          <w:tcPr>
            <w:tcW w:w="2014" w:type="dxa"/>
          </w:tcPr>
          <w:p w14:paraId="2B9CCFFC" w14:textId="2192F71A" w:rsidR="004547A6" w:rsidRDefault="004547A6" w:rsidP="004547A6">
            <w:pPr>
              <w:spacing w:before="40" w:after="40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>Présentation par variable</w:t>
            </w:r>
          </w:p>
          <w:p w14:paraId="3A395D6A" w14:textId="39E3C1DA" w:rsidR="008E7C2A" w:rsidRDefault="004547A6" w:rsidP="004547A6">
            <w:r>
              <w:rPr>
                <w:i/>
                <w:iCs/>
                <w:sz w:val="15"/>
                <w:szCs w:val="15"/>
              </w:rPr>
              <w:t>Chaque grandeur, son écart et sa limite. L'opérateur fait la synthèse.</w:t>
            </w:r>
          </w:p>
        </w:tc>
        <w:tc>
          <w:tcPr>
            <w:tcW w:w="2014" w:type="dxa"/>
          </w:tcPr>
          <w:p w14:paraId="4B36D92E" w14:textId="689D7914" w:rsidR="004547A6" w:rsidRDefault="004547A6" w:rsidP="004547A6">
            <w:pPr>
              <w:spacing w:before="40" w:after="40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 xml:space="preserve"> Présentation par état de la boucle</w:t>
            </w:r>
          </w:p>
          <w:p w14:paraId="45C1808D" w14:textId="12369401" w:rsidR="008E7C2A" w:rsidRDefault="004547A6" w:rsidP="004547A6">
            <w:r>
              <w:rPr>
                <w:i/>
                <w:iCs/>
                <w:sz w:val="15"/>
                <w:szCs w:val="15"/>
              </w:rPr>
              <w:t>Un état synthétique, le détail accessible à la demande. L'opérateur audite la synthèse.</w:t>
            </w:r>
          </w:p>
        </w:tc>
        <w:tc>
          <w:tcPr>
            <w:tcW w:w="2014" w:type="dxa"/>
          </w:tcPr>
          <w:p w14:paraId="69220D44" w14:textId="4742101D" w:rsidR="004547A6" w:rsidRDefault="004547A6" w:rsidP="004547A6">
            <w:pPr>
              <w:spacing w:before="40" w:after="40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 xml:space="preserve"> Présentation par hypothèse de défaillance</w:t>
            </w:r>
          </w:p>
          <w:p w14:paraId="2B6D8148" w14:textId="5A63C8DC" w:rsidR="008E7C2A" w:rsidRDefault="004547A6" w:rsidP="004547A6">
            <w:r>
              <w:rPr>
                <w:i/>
                <w:iCs/>
                <w:sz w:val="15"/>
                <w:szCs w:val="15"/>
              </w:rPr>
              <w:t>Les causes compatibles avec les observations, ordonnées. La machine propose un diagnostic.</w:t>
            </w:r>
          </w:p>
        </w:tc>
      </w:tr>
      <w:tr w:rsidR="008E7C2A" w14:paraId="670D1279" w14:textId="77777777" w:rsidTr="5E538FA2">
        <w:tc>
          <w:tcPr>
            <w:tcW w:w="2254" w:type="dxa"/>
          </w:tcPr>
          <w:p w14:paraId="5AD5B609" w14:textId="44DDEEBA" w:rsidR="008E7C2A" w:rsidRPr="008E7C2A" w:rsidRDefault="008E7C2A">
            <w:r w:rsidRPr="008E7C2A">
              <w:t>Journaliser, horodater et protéger l’intégrité de la chaîne, de l’acquisition à l’affichage.</w:t>
            </w:r>
          </w:p>
        </w:tc>
        <w:tc>
          <w:tcPr>
            <w:tcW w:w="2014" w:type="dxa"/>
          </w:tcPr>
          <w:p w14:paraId="21307A09" w14:textId="671506AC" w:rsidR="004547A6" w:rsidRDefault="004547A6" w:rsidP="004547A6">
            <w:pPr>
              <w:spacing w:before="40" w:after="40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>Journal d'événements</w:t>
            </w:r>
          </w:p>
          <w:p w14:paraId="53B55D65" w14:textId="5BC663D7" w:rsidR="008E7C2A" w:rsidRDefault="004547A6" w:rsidP="004547A6">
            <w:r>
              <w:rPr>
                <w:i/>
                <w:iCs/>
                <w:sz w:val="15"/>
                <w:szCs w:val="15"/>
              </w:rPr>
              <w:t>On enregistre ce qui change : transitions, décisions, rejets, confirmations.</w:t>
            </w:r>
          </w:p>
        </w:tc>
        <w:tc>
          <w:tcPr>
            <w:tcW w:w="2014" w:type="dxa"/>
          </w:tcPr>
          <w:p w14:paraId="50CFEA7C" w14:textId="426133C6" w:rsidR="004547A6" w:rsidRDefault="004547A6" w:rsidP="004547A6">
            <w:pPr>
              <w:spacing w:before="40" w:after="40"/>
              <w:jc w:val="center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 xml:space="preserve"> Journal de données</w:t>
            </w:r>
          </w:p>
          <w:p w14:paraId="6FCCDBA2" w14:textId="536376F4" w:rsidR="008E7C2A" w:rsidRDefault="004547A6" w:rsidP="004547A6">
            <w:r>
              <w:rPr>
                <w:i/>
                <w:iCs/>
                <w:sz w:val="15"/>
                <w:szCs w:val="15"/>
              </w:rPr>
              <w:t>On enregistre tous les échantillons et toutes les sorties : le diagnostic est rejouable.</w:t>
            </w:r>
          </w:p>
        </w:tc>
        <w:tc>
          <w:tcPr>
            <w:tcW w:w="2014" w:type="dxa"/>
          </w:tcPr>
          <w:p w14:paraId="07F3E3A3" w14:textId="3B298607" w:rsidR="004547A6" w:rsidRDefault="004547A6" w:rsidP="004547A6">
            <w:pPr>
              <w:spacing w:before="40" w:after="40"/>
              <w:jc w:val="center"/>
              <w:rPr>
                <w:lang w:val="fr-FR"/>
              </w:rPr>
            </w:pPr>
            <w:r>
              <w:rPr>
                <w:b/>
                <w:bCs/>
                <w:sz w:val="17"/>
                <w:szCs w:val="17"/>
              </w:rPr>
              <w:t>Journal à deux niveaux</w:t>
            </w:r>
          </w:p>
          <w:p w14:paraId="2112BDEE" w14:textId="3270A3AE" w:rsidR="008E7C2A" w:rsidRDefault="004547A6" w:rsidP="004547A6">
            <w:r>
              <w:rPr>
                <w:i/>
                <w:iCs/>
                <w:sz w:val="15"/>
                <w:szCs w:val="15"/>
              </w:rPr>
              <w:t>Flux de données à rétention courte, journal d'événements scellé à rétention longue.</w:t>
            </w:r>
          </w:p>
        </w:tc>
      </w:tr>
    </w:tbl>
    <w:p w14:paraId="1152EF5A" w14:textId="77777777" w:rsidR="008A2193" w:rsidRPr="008A2193" w:rsidRDefault="008A2193">
      <w:pPr>
        <w:rPr>
          <w:lang w:val="fr-FR"/>
        </w:rPr>
      </w:pPr>
    </w:p>
    <w:sectPr w:rsidR="008A2193" w:rsidRPr="008A219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49F0"/>
    <w:multiLevelType w:val="multilevel"/>
    <w:tmpl w:val="788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666AE"/>
    <w:multiLevelType w:val="multilevel"/>
    <w:tmpl w:val="F58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530DC"/>
    <w:multiLevelType w:val="multilevel"/>
    <w:tmpl w:val="49E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95514"/>
    <w:multiLevelType w:val="multilevel"/>
    <w:tmpl w:val="6EB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54285"/>
    <w:multiLevelType w:val="multilevel"/>
    <w:tmpl w:val="70A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56C38"/>
    <w:multiLevelType w:val="multilevel"/>
    <w:tmpl w:val="E08E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537632">
    <w:abstractNumId w:val="1"/>
  </w:num>
  <w:num w:numId="2" w16cid:durableId="1660965837">
    <w:abstractNumId w:val="3"/>
  </w:num>
  <w:num w:numId="3" w16cid:durableId="220604324">
    <w:abstractNumId w:val="0"/>
  </w:num>
  <w:num w:numId="4" w16cid:durableId="141243268">
    <w:abstractNumId w:val="4"/>
  </w:num>
  <w:num w:numId="5" w16cid:durableId="1314333536">
    <w:abstractNumId w:val="5"/>
  </w:num>
  <w:num w:numId="6" w16cid:durableId="608202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EC"/>
    <w:rsid w:val="00190A4F"/>
    <w:rsid w:val="002B19AB"/>
    <w:rsid w:val="003C4BE5"/>
    <w:rsid w:val="004547A6"/>
    <w:rsid w:val="004D7BB7"/>
    <w:rsid w:val="005C0BB5"/>
    <w:rsid w:val="00664548"/>
    <w:rsid w:val="007631EC"/>
    <w:rsid w:val="00786103"/>
    <w:rsid w:val="00884E7C"/>
    <w:rsid w:val="008A2193"/>
    <w:rsid w:val="008E7C2A"/>
    <w:rsid w:val="00AF3A96"/>
    <w:rsid w:val="00BC54E1"/>
    <w:rsid w:val="00C439F0"/>
    <w:rsid w:val="00D924F3"/>
    <w:rsid w:val="4F30461E"/>
    <w:rsid w:val="5738BD4D"/>
    <w:rsid w:val="5E538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D51D"/>
  <w15:chartTrackingRefBased/>
  <w15:docId w15:val="{CB851333-CFD8-447A-AF1E-44E99796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763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3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3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3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3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3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3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3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3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31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7631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7631EC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7631EC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7631EC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7631EC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7631EC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7631EC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7631EC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763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31EC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3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31EC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763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31EC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7631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31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3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31EC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7631E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E7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BC54E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C54E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BC54E1"/>
    <w:rPr>
      <w:sz w:val="20"/>
      <w:szCs w:val="20"/>
      <w:lang w:val="fr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C54E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C54E1"/>
    <w:rPr>
      <w:b/>
      <w:bCs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CADAF5620CD54AA5F65188030E7CD3" ma:contentTypeVersion="3" ma:contentTypeDescription="Crée un document." ma:contentTypeScope="" ma:versionID="58294c6d4a74a5a8f505087f6adebe93">
  <xsd:schema xmlns:xsd="http://www.w3.org/2001/XMLSchema" xmlns:xs="http://www.w3.org/2001/XMLSchema" xmlns:p="http://schemas.microsoft.com/office/2006/metadata/properties" xmlns:ns2="cca4720d-7861-448a-906e-9eecdd53594f" targetNamespace="http://schemas.microsoft.com/office/2006/metadata/properties" ma:root="true" ma:fieldsID="83fcd88ce5d98e92350d7fdd1631802f" ns2:_="">
    <xsd:import namespace="cca4720d-7861-448a-906e-9eecdd5359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4720d-7861-448a-906e-9eecdd5359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80D3E6-0AAE-40E6-984A-3CC699D02D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D446A3-8C5E-476F-89B1-573827DF6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a4720d-7861-448a-906e-9eecdd5359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B6AD33-A2F2-46F5-81FA-BFD17CD96D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Sawadogo</dc:creator>
  <cp:keywords/>
  <dc:description/>
  <cp:lastModifiedBy>Christian Sawadogo</cp:lastModifiedBy>
  <cp:revision>2</cp:revision>
  <dcterms:created xsi:type="dcterms:W3CDTF">2026-10-09T18:02:00Z</dcterms:created>
  <dcterms:modified xsi:type="dcterms:W3CDTF">2026-10-09T18:02:00Z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0x010100A2CADAF5620CD54AA5F65188030E7CD3</vt:lpwstr>
  </property>
</Properties>
</file>