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color w:val="666666"/>
          <w:sz w:val="18"/>
          <w:szCs w:val="18"/>
        </w:rPr>
        <w:t xml:space="preserve">6GEN135 — IMP2 · UQAC</w:t>
      </w:r>
    </w:p>
    <w:p>
      <w:pPr>
        <w:pStyle w:val="Heading1"/>
        <w:spacing w:after="100"/>
      </w:pPr>
      <w:r>
        <w:rPr>
          <w:b/>
          <w:bCs/>
          <w:sz w:val="30"/>
          <w:szCs w:val="30"/>
        </w:rPr>
        <w:t xml:space="preserve">SS-6 : définition de l'évaluation des concepts</w:t>
      </w:r>
    </w:p>
    <w:p>
      <w:pPr>
        <w:spacing w:after="40"/>
      </w:pPr>
      <w:r>
        <w:rPr>
          <w:b/>
          <w:bCs/>
          <w:sz w:val="19"/>
          <w:szCs w:val="19"/>
        </w:rPr>
        <w:t xml:space="preserve">Fonction (tableau 1-4 du plan de projet). </w:t>
      </w:r>
      <w:r>
        <w:rPr>
          <w:sz w:val="19"/>
          <w:szCs w:val="19"/>
        </w:rPr>
        <w:t xml:space="preserve">Journaliser, horodater et protéger l'intégrité de la chaîne, de l'acquisition à l'affichage.</w:t>
      </w:r>
    </w:p>
    <w:p>
      <w:pPr>
        <w:spacing w:after="160"/>
      </w:pPr>
      <w:r>
        <w:rPr>
          <w:color w:val="666666"/>
          <w:sz w:val="18"/>
          <w:szCs w:val="18"/>
        </w:rPr>
        <w:t xml:space="preserve">Lot L5 · Auteur : Christian Kévin Sawadogo · Réviseur : à désigner · Version v0.2, 21 octobre 2026</w:t>
      </w:r>
    </w:p>
    <w:p>
      <w:pPr>
        <w:spacing w:after="100"/>
      </w:pPr>
      <w:r>
        <w:rPr>
          <w:sz w:val="19"/>
          <w:szCs w:val="19"/>
        </w:rPr>
        <w:t xml:space="preserve">Étape 4 de l'analyse des concepts. Les critères et les barèmes ci-dessous s'appliquent aux trois concepts de la fonction, et non au seul concept dont j'ai la charge : c'est cette identité de barème qui rend recevable la matrice de décision de l'étape 5. Un concept noté avec son propre barème obtient toujours une bonne note.</w:t>
      </w:r>
    </w:p>
    <w:p>
      <w:pPr>
        <w:spacing w:after="100"/>
      </w:pPr>
      <w:r>
        <w:rPr>
          <w:sz w:val="19"/>
          <w:szCs w:val="19"/>
        </w:rPr>
        <w:t xml:space="preserve">Deux conventions sont reprises du gabarit du cours. Un barème à 0 % signifie que le concept remplit la fonction au plus mauvais niveau encore acceptable. Un barème à rejet signifie que le concept est éliminé, quel que soit son pointage sur les autres critères.</w:t>
      </w:r>
    </w:p>
    <w:p>
      <w:pPr>
        <w:spacing w:after="100"/>
      </w:pPr>
      <w:r>
        <w:rPr>
          <w:sz w:val="19"/>
          <w:szCs w:val="19"/>
        </w:rPr>
        <w:t xml:space="preserve">Les pondérations sont des propositions à ratifier au jalon J2. La grille doit être ratifiée avant que le moindre concept soit noté : si la notation précède la discussion du barème, chacun ajustera les poids en faveur de son propre concept.</w:t>
      </w:r>
    </w:p>
    <w:p>
      <w:pPr>
        <w:spacing w:after="220"/>
      </w:pPr>
      <w:r>
        <w:rPr>
          <w:i/>
          <w:iCs/>
          <w:sz w:val="19"/>
          <w:szCs w:val="19"/>
        </w:rPr>
        <w:t xml:space="preserve">La colonne de spécification reprend les cibles fixées à l'étape 3 dans SS6-ConceptA_Specifications-techniques.md.</w:t>
      </w:r>
    </w:p>
    <w:p>
      <w:pPr>
        <w:spacing w:after="120" w:before="280"/>
      </w:pPr>
      <w:r>
        <w:rPr>
          <w:b/>
          <w:bCs/>
          <w:sz w:val="24"/>
          <w:szCs w:val="24"/>
        </w:rPr>
        <w:t xml:space="preserve">Grille d'évaluation</w:t>
      </w:r>
    </w:p>
    <w:tbl>
      <w:tblPr>
        <w:tblW w:type="dxa" w:w="14400"/>
        <w:tblBorders>
          <w:top w:val="single" w:color="AAAAAA" w:sz="4"/>
          <w:left w:val="single" w:color="AAAAAA" w:sz="4"/>
          <w:bottom w:val="single" w:color="AAAAAA" w:sz="4"/>
          <w:right w:val="single" w:color="AAAAAA" w:sz="4"/>
          <w:insideH w:val="single" w:color="AAAAAA" w:sz="4"/>
          <w:insideV w:val="single" w:color="AAAAAA" w:sz="4"/>
        </w:tblBorders>
      </w:tblPr>
      <w:tblGrid>
        <w:gridCol w:w="3800"/>
        <w:gridCol w:w="1300"/>
        <w:gridCol w:w="6000"/>
        <w:gridCol w:w="1650"/>
        <w:gridCol w:w="1650"/>
      </w:tblGrid>
      <w:tr>
        <w:trPr>
          <w:tblHeader/>
        </w:trPr>
        <w:tc>
          <w:tcPr>
            <w:tcW w:type="dxa" w:w="3800"/>
            <w:shd w:fill="D9D9D9" w:color="auto" w:val="clear"/>
            <w:tcMar>
              <w:top w:type="dxa" w:w="50"/>
              <w:left w:type="dxa" w:w="80"/>
              <w:bottom w:type="dxa" w:w="50"/>
              <w:right w:type="dxa" w:w="80"/>
            </w:tcMar>
            <w:vAlign w:val="top"/>
          </w:tcPr>
          <w:p>
            <w:pPr>
              <w:spacing w:after="30" w:before="30"/>
              <w:jc w:val="center"/>
            </w:pPr>
            <w:r>
              <w:rPr>
                <w:b/>
                <w:bCs/>
                <w:i w:val="false"/>
                <w:iCs w:val="false"/>
                <w:sz w:val="18"/>
                <w:szCs w:val="18"/>
              </w:rPr>
              <w:t xml:space="preserve">Critères</w:t>
            </w:r>
          </w:p>
        </w:tc>
        <w:tc>
          <w:tcPr>
            <w:tcW w:type="dxa" w:w="1300"/>
            <w:shd w:fill="D9D9D9" w:color="auto" w:val="clear"/>
            <w:tcMar>
              <w:top w:type="dxa" w:w="50"/>
              <w:left w:type="dxa" w:w="80"/>
              <w:bottom w:type="dxa" w:w="50"/>
              <w:right w:type="dxa" w:w="80"/>
            </w:tcMar>
            <w:vAlign w:val="top"/>
          </w:tcPr>
          <w:p>
            <w:pPr>
              <w:spacing w:after="30" w:before="30"/>
              <w:jc w:val="center"/>
            </w:pPr>
            <w:r>
              <w:rPr>
                <w:b/>
                <w:bCs/>
                <w:i w:val="false"/>
                <w:iCs w:val="false"/>
                <w:sz w:val="18"/>
                <w:szCs w:val="18"/>
              </w:rPr>
              <w:t xml:space="preserve">Pondération</w:t>
            </w:r>
          </w:p>
        </w:tc>
        <w:tc>
          <w:tcPr>
            <w:tcW w:type="dxa" w:w="6000"/>
            <w:shd w:fill="D9D9D9" w:color="auto" w:val="clear"/>
            <w:tcMar>
              <w:top w:type="dxa" w:w="50"/>
              <w:left w:type="dxa" w:w="80"/>
              <w:bottom w:type="dxa" w:w="50"/>
              <w:right w:type="dxa" w:w="80"/>
            </w:tcMar>
            <w:vAlign w:val="top"/>
          </w:tcPr>
          <w:p>
            <w:pPr>
              <w:spacing w:after="30" w:before="30"/>
              <w:jc w:val="center"/>
            </w:pPr>
            <w:r>
              <w:rPr>
                <w:b/>
                <w:bCs/>
                <w:i w:val="false"/>
                <w:iCs w:val="false"/>
                <w:sz w:val="18"/>
                <w:szCs w:val="18"/>
              </w:rPr>
              <w:t xml:space="preserve">Barèmes</w:t>
            </w:r>
          </w:p>
        </w:tc>
        <w:tc>
          <w:tcPr>
            <w:tcW w:type="dxa" w:w="1650"/>
            <w:shd w:fill="D9D9D9" w:color="auto" w:val="clear"/>
            <w:tcMar>
              <w:top w:type="dxa" w:w="50"/>
              <w:left w:type="dxa" w:w="80"/>
              <w:bottom w:type="dxa" w:w="50"/>
              <w:right w:type="dxa" w:w="80"/>
            </w:tcMar>
            <w:vAlign w:val="top"/>
          </w:tcPr>
          <w:p>
            <w:pPr>
              <w:spacing w:after="30" w:before="30"/>
              <w:jc w:val="center"/>
            </w:pPr>
            <w:r>
              <w:rPr>
                <w:b/>
                <w:bCs/>
                <w:i w:val="false"/>
                <w:iCs w:val="false"/>
                <w:sz w:val="18"/>
                <w:szCs w:val="18"/>
              </w:rPr>
              <w:t xml:space="preserve">Spécification min.</w:t>
            </w:r>
          </w:p>
        </w:tc>
        <w:tc>
          <w:tcPr>
            <w:tcW w:type="dxa" w:w="1650"/>
            <w:shd w:fill="D9D9D9" w:color="auto" w:val="clear"/>
            <w:tcMar>
              <w:top w:type="dxa" w:w="50"/>
              <w:left w:type="dxa" w:w="80"/>
              <w:bottom w:type="dxa" w:w="50"/>
              <w:right w:type="dxa" w:w="80"/>
            </w:tcMar>
            <w:vAlign w:val="top"/>
          </w:tcPr>
          <w:p>
            <w:pPr>
              <w:spacing w:after="30" w:before="30"/>
              <w:jc w:val="center"/>
            </w:pPr>
            <w:r>
              <w:rPr>
                <w:b/>
                <w:bCs/>
                <w:i w:val="false"/>
                <w:iCs w:val="false"/>
                <w:sz w:val="18"/>
                <w:szCs w:val="18"/>
              </w:rPr>
              <w:t xml:space="preserve">Spécification max.</w:t>
            </w:r>
          </w:p>
        </w:tc>
      </w:tr>
      <w:tr>
        <w:tc>
          <w:tcPr>
            <w:tcW w:type="dxa" w:w="3800"/>
            <w:shd w:fill="EFEFEF" w:color="auto" w:val="clear"/>
            <w:tcMar>
              <w:top w:type="dxa" w:w="50"/>
              <w:left w:type="dxa" w:w="80"/>
              <w:bottom w:type="dxa" w:w="50"/>
              <w:right w:type="dxa" w:w="80"/>
            </w:tcMar>
            <w:vAlign w:val="top"/>
          </w:tcPr>
          <w:p>
            <w:pPr>
              <w:spacing w:after="30" w:before="30"/>
              <w:jc w:val="left"/>
            </w:pPr>
            <w:r>
              <w:rPr>
                <w:b/>
                <w:bCs/>
                <w:i w:val="false"/>
                <w:iCs w:val="false"/>
                <w:sz w:val="17"/>
                <w:szCs w:val="17"/>
              </w:rPr>
              <w:t xml:space="preserve">Force de la preuve</w:t>
            </w:r>
          </w:p>
        </w:tc>
        <w:tc>
          <w:tcPr>
            <w:tcW w:type="dxa" w:w="1300"/>
            <w:shd w:fill="EFEFEF" w:color="auto" w:val="clear"/>
            <w:tcMar>
              <w:top w:type="dxa" w:w="50"/>
              <w:left w:type="dxa" w:w="80"/>
              <w:bottom w:type="dxa" w:w="50"/>
              <w:right w:type="dxa" w:w="80"/>
            </w:tcMar>
            <w:vAlign w:val="top"/>
          </w:tcPr>
          <w:p>
            <w:pPr>
              <w:spacing w:after="30" w:before="30"/>
              <w:jc w:val="center"/>
            </w:pPr>
            <w:r>
              <w:rPr>
                <w:b/>
                <w:bCs/>
                <w:i w:val="false"/>
                <w:iCs w:val="false"/>
                <w:sz w:val="17"/>
                <w:szCs w:val="17"/>
              </w:rPr>
              <w:t xml:space="preserve">35</w:t>
            </w:r>
          </w:p>
        </w:tc>
        <w:tc>
          <w:tcPr>
            <w:tcW w:type="dxa" w:w="6000"/>
            <w:shd w:fill="EFEFEF" w:color="auto" w:val="clear"/>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
            </w:r>
          </w:p>
        </w:tc>
        <w:tc>
          <w:tcPr>
            <w:tcW w:type="dxa" w:w="1650"/>
            <w:shd w:fill="EFEFEF" w:color="auto" w:val="clear"/>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
            </w:r>
          </w:p>
        </w:tc>
        <w:tc>
          <w:tcPr>
            <w:tcW w:type="dxa" w:w="1650"/>
            <w:shd w:fill="EFEFEF" w:color="auto" w:val="clear"/>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
            </w:r>
          </w:p>
        </w:tc>
      </w:tr>
      <w:tr>
        <w:tc>
          <w:tcPr>
            <w:tcW w:type="dxa" w:w="3800"/>
            <w:vMerge w:val="restart"/>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Preuve d'intégrité</w:t>
            </w:r>
          </w:p>
        </w:tc>
        <w:tc>
          <w:tcPr>
            <w:tcW w:type="dxa" w:w="130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15</w:t>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chaînage par entrée, toute altération localisée à l'entrée près -&gt; 100 %</w:t>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SHA-256</w:t>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scellement par bloc, altération localisée au bloc près -&gt; 75 %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condensé global du fichier, altération détectée sans localisation -&gt; 25 %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aucun mécanisme opposable à un tiers -&gt; rejet</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restart"/>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Preuve qu'aucune entrée ne manque</w:t>
            </w:r>
          </w:p>
        </w:tc>
        <w:tc>
          <w:tcPr>
            <w:tcW w:type="dxa" w:w="130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12</w:t>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continuité de séquence et égalité du compte d'entrées au compte de cycles -&gt; 100 %</w:t>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D = 60 min</w:t>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continuité de séquence seule -&gt; 75 %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deux comptes à réconcilier en deux temps -&gt; 50 %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absence constatée d'erreur présentée comme preuve -&gt; rejet</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restart"/>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Indépendance du vérificateur</w:t>
            </w:r>
          </w:p>
        </w:tc>
        <w:tc>
          <w:tcPr>
            <w:tcW w:type="dxa" w:w="130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8</w:t>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exécutable sur un poste neutre, sans dépendance hors bibliothèque standard -&gt; 100 %</w:t>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3 entrées</w:t>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exécutable sur un poste neutre, avec dépendances à installer -&gt; 75 %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exige le moteur de stockage ou un outil d'analyse -&gt; 25 %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exige l'application complète -&gt; rejet</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shd w:fill="EFEFEF" w:color="auto" w:val="clear"/>
            <w:tcMar>
              <w:top w:type="dxa" w:w="50"/>
              <w:left w:type="dxa" w:w="80"/>
              <w:bottom w:type="dxa" w:w="50"/>
              <w:right w:type="dxa" w:w="80"/>
            </w:tcMar>
            <w:vAlign w:val="top"/>
          </w:tcPr>
          <w:p>
            <w:pPr>
              <w:spacing w:after="30" w:before="30"/>
              <w:jc w:val="left"/>
            </w:pPr>
            <w:r>
              <w:rPr>
                <w:b/>
                <w:bCs/>
                <w:i w:val="false"/>
                <w:iCs w:val="false"/>
                <w:sz w:val="17"/>
                <w:szCs w:val="17"/>
              </w:rPr>
              <w:t xml:space="preserve">Capacité de reconstitution</w:t>
            </w:r>
          </w:p>
        </w:tc>
        <w:tc>
          <w:tcPr>
            <w:tcW w:type="dxa" w:w="1300"/>
            <w:shd w:fill="EFEFEF" w:color="auto" w:val="clear"/>
            <w:tcMar>
              <w:top w:type="dxa" w:w="50"/>
              <w:left w:type="dxa" w:w="80"/>
              <w:bottom w:type="dxa" w:w="50"/>
              <w:right w:type="dxa" w:w="80"/>
            </w:tcMar>
            <w:vAlign w:val="top"/>
          </w:tcPr>
          <w:p>
            <w:pPr>
              <w:spacing w:after="30" w:before="30"/>
              <w:jc w:val="center"/>
            </w:pPr>
            <w:r>
              <w:rPr>
                <w:b/>
                <w:bCs/>
                <w:i w:val="false"/>
                <w:iCs w:val="false"/>
                <w:sz w:val="17"/>
                <w:szCs w:val="17"/>
              </w:rPr>
              <w:t xml:space="preserve">25</w:t>
            </w:r>
          </w:p>
        </w:tc>
        <w:tc>
          <w:tcPr>
            <w:tcW w:type="dxa" w:w="6000"/>
            <w:shd w:fill="EFEFEF" w:color="auto" w:val="clear"/>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
            </w:r>
          </w:p>
        </w:tc>
        <w:tc>
          <w:tcPr>
            <w:tcW w:type="dxa" w:w="1650"/>
            <w:shd w:fill="EFEFEF" w:color="auto" w:val="clear"/>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
            </w:r>
          </w:p>
        </w:tc>
        <w:tc>
          <w:tcPr>
            <w:tcW w:type="dxa" w:w="1650"/>
            <w:shd w:fill="EFEFEF" w:color="auto" w:val="clear"/>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
            </w:r>
          </w:p>
        </w:tc>
      </w:tr>
      <w:tr>
        <w:tc>
          <w:tcPr>
            <w:tcW w:type="dxa" w:w="3800"/>
            <w:vMerge w:val="restart"/>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Possibilité de recalculer une décision</w:t>
            </w:r>
          </w:p>
        </w:tc>
        <w:tc>
          <w:tcPr>
            <w:tcW w:type="dxa" w:w="130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15</w:t>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valeurs enregistrées, recalcul direct et inconditionnel -&gt; 100 %</w:t>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valeurs régénérables par scénario, empreinte vérifiable -&gt; 75 %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recalcul limité à une fenêtre récente -&gt; 50 %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reconstitution de la suite des décisions seulement -&gt; 25 %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restart"/>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Portée de la rétention</w:t>
            </w:r>
          </w:p>
        </w:tc>
        <w:tc>
          <w:tcPr>
            <w:tcW w:type="dxa" w:w="130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10</w:t>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rétention longue des événements et des données -&gt; 100 %</w:t>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rétention longue des événements, courte des données -&gt; 75 %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rétention longue des événements seuls -&gt; 50 %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rétention bornée par la seule taille du fichier -&gt; 25 %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shd w:fill="EFEFEF" w:color="auto" w:val="clear"/>
            <w:tcMar>
              <w:top w:type="dxa" w:w="50"/>
              <w:left w:type="dxa" w:w="80"/>
              <w:bottom w:type="dxa" w:w="50"/>
              <w:right w:type="dxa" w:w="80"/>
            </w:tcMar>
            <w:vAlign w:val="top"/>
          </w:tcPr>
          <w:p>
            <w:pPr>
              <w:spacing w:after="30" w:before="30"/>
              <w:jc w:val="left"/>
            </w:pPr>
            <w:r>
              <w:rPr>
                <w:b/>
                <w:bCs/>
                <w:i w:val="false"/>
                <w:iCs w:val="false"/>
                <w:sz w:val="17"/>
                <w:szCs w:val="17"/>
              </w:rPr>
              <w:t xml:space="preserve">Coût d'exécution</w:t>
            </w:r>
          </w:p>
        </w:tc>
        <w:tc>
          <w:tcPr>
            <w:tcW w:type="dxa" w:w="1300"/>
            <w:shd w:fill="EFEFEF" w:color="auto" w:val="clear"/>
            <w:tcMar>
              <w:top w:type="dxa" w:w="50"/>
              <w:left w:type="dxa" w:w="80"/>
              <w:bottom w:type="dxa" w:w="50"/>
              <w:right w:type="dxa" w:w="80"/>
            </w:tcMar>
            <w:vAlign w:val="top"/>
          </w:tcPr>
          <w:p>
            <w:pPr>
              <w:spacing w:after="30" w:before="30"/>
              <w:jc w:val="center"/>
            </w:pPr>
            <w:r>
              <w:rPr>
                <w:b/>
                <w:bCs/>
                <w:i w:val="false"/>
                <w:iCs w:val="false"/>
                <w:sz w:val="17"/>
                <w:szCs w:val="17"/>
              </w:rPr>
              <w:t xml:space="preserve">20</w:t>
            </w:r>
          </w:p>
        </w:tc>
        <w:tc>
          <w:tcPr>
            <w:tcW w:type="dxa" w:w="6000"/>
            <w:shd w:fill="EFEFEF" w:color="auto" w:val="clear"/>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
            </w:r>
          </w:p>
        </w:tc>
        <w:tc>
          <w:tcPr>
            <w:tcW w:type="dxa" w:w="1650"/>
            <w:shd w:fill="EFEFEF" w:color="auto" w:val="clear"/>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
            </w:r>
          </w:p>
        </w:tc>
        <w:tc>
          <w:tcPr>
            <w:tcW w:type="dxa" w:w="1650"/>
            <w:shd w:fill="EFEFEF" w:color="auto" w:val="clear"/>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
            </w:r>
          </w:p>
        </w:tc>
      </w:tr>
      <w:tr>
        <w:tc>
          <w:tcPr>
            <w:tcW w:type="dxa" w:w="3800"/>
            <w:vMerge w:val="restart"/>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Part du temps de cycle consommée</w:t>
            </w:r>
          </w:p>
        </w:tc>
        <w:tc>
          <w:tcPr>
            <w:tcW w:type="dxa" w:w="130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10</w:t>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2 % de T ou moins -&gt; 100 %</w:t>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5 % de T</w:t>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de 2 à 5 % de T -&gt; 75 %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de 5 à 10 % de T -&gt; 25 %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au-delà de 10 % de T -&gt; rejet</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restart"/>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Volume produit</w:t>
            </w:r>
          </w:p>
        </w:tc>
        <w:tc>
          <w:tcPr>
            <w:tcW w:type="dxa" w:w="130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10</w:t>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1 écriture par cycle au plus -&gt; 100 %</w:t>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512 octets par entrée</w:t>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3 écritures par cycle au plus -&gt; 75 %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1 écriture par variable et par cycle -&gt; 50 %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au-delà -&gt; 25 %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shd w:fill="EFEFEF" w:color="auto" w:val="clear"/>
            <w:tcMar>
              <w:top w:type="dxa" w:w="50"/>
              <w:left w:type="dxa" w:w="80"/>
              <w:bottom w:type="dxa" w:w="50"/>
              <w:right w:type="dxa" w:w="80"/>
            </w:tcMar>
            <w:vAlign w:val="top"/>
          </w:tcPr>
          <w:p>
            <w:pPr>
              <w:spacing w:after="30" w:before="30"/>
              <w:jc w:val="left"/>
            </w:pPr>
            <w:r>
              <w:rPr>
                <w:b/>
                <w:bCs/>
                <w:i w:val="false"/>
                <w:iCs w:val="false"/>
                <w:sz w:val="17"/>
                <w:szCs w:val="17"/>
              </w:rPr>
              <w:t xml:space="preserve">Charge de conception et séparation des rôles</w:t>
            </w:r>
          </w:p>
        </w:tc>
        <w:tc>
          <w:tcPr>
            <w:tcW w:type="dxa" w:w="1300"/>
            <w:shd w:fill="EFEFEF" w:color="auto" w:val="clear"/>
            <w:tcMar>
              <w:top w:type="dxa" w:w="50"/>
              <w:left w:type="dxa" w:w="80"/>
              <w:bottom w:type="dxa" w:w="50"/>
              <w:right w:type="dxa" w:w="80"/>
            </w:tcMar>
            <w:vAlign w:val="top"/>
          </w:tcPr>
          <w:p>
            <w:pPr>
              <w:spacing w:after="30" w:before="30"/>
              <w:jc w:val="center"/>
            </w:pPr>
            <w:r>
              <w:rPr>
                <w:b/>
                <w:bCs/>
                <w:i w:val="false"/>
                <w:iCs w:val="false"/>
                <w:sz w:val="17"/>
                <w:szCs w:val="17"/>
              </w:rPr>
              <w:t xml:space="preserve">20</w:t>
            </w:r>
          </w:p>
        </w:tc>
        <w:tc>
          <w:tcPr>
            <w:tcW w:type="dxa" w:w="6000"/>
            <w:shd w:fill="EFEFEF" w:color="auto" w:val="clear"/>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
            </w:r>
          </w:p>
        </w:tc>
        <w:tc>
          <w:tcPr>
            <w:tcW w:type="dxa" w:w="1650"/>
            <w:shd w:fill="EFEFEF" w:color="auto" w:val="clear"/>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
            </w:r>
          </w:p>
        </w:tc>
        <w:tc>
          <w:tcPr>
            <w:tcW w:type="dxa" w:w="1650"/>
            <w:shd w:fill="EFEFEF" w:color="auto" w:val="clear"/>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
            </w:r>
          </w:p>
        </w:tc>
      </w:tr>
      <w:tr>
        <w:tc>
          <w:tcPr>
            <w:tcW w:type="dxa" w:w="3800"/>
            <w:vMerge w:val="restart"/>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Effort de réalisation</w:t>
            </w:r>
          </w:p>
        </w:tc>
        <w:tc>
          <w:tcPr>
            <w:tcW w:type="dxa" w:w="130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10</w:t>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40 h-personnes ou moins -&gt; 100 %</w:t>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140 h-personnes</w:t>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de 40 à 70 h-personnes -&gt; 75 %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de 70 à 100 h-personnes -&gt; 50 %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de 100 à 140 h-personnes -&gt; 25 %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au-delà de 140 h-personnes -&gt; rejet</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restart"/>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Séparation des rôles</w:t>
            </w:r>
          </w:p>
        </w:tc>
        <w:tc>
          <w:tcPr>
            <w:tcW w:type="dxa" w:w="130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10</w:t>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clé de scellement détenue par un rôle distinct de celui qui écrit -&gt; 100 %</w:t>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
            </w:r>
          </w:p>
        </w:tc>
        <w:tc>
          <w:tcPr>
            <w:tcW w:type="dxa" w:w="1650"/>
            <w:vMerge w:val="restart"/>
            <w:tcMar>
              <w:top w:type="dxa" w:w="50"/>
              <w:left w:type="dxa" w:w="80"/>
              <w:bottom w:type="dxa" w:w="50"/>
              <w:right w:type="dxa" w:w="80"/>
            </w:tcMar>
            <w:vAlign w:val="center"/>
          </w:tcPr>
          <w:p>
            <w:pPr>
              <w:spacing w:after="30" w:before="30"/>
              <w:jc w:val="center"/>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clé détenue par le producteur, limite documentée au rapport -&gt; 50 %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clé détenue par le producteur, limite passée sous silence -&gt; 0 %</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30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6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aucune clé ni signature -&gt; rejet</w:t>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c>
          <w:tcPr>
            <w:tcW w:type="dxa" w:w="1650"/>
            <w:vMerge w:val="continue"/>
            <w:tcMar>
              <w:top w:type="dxa" w:w="50"/>
              <w:left w:type="dxa" w:w="80"/>
              <w:bottom w:type="dxa" w:w="50"/>
              <w:right w:type="dxa" w:w="80"/>
            </w:tcMar>
            <w:vAlign w:val="center"/>
          </w:tcPr>
          <w:p>
            <w:pPr>
              <w:spacing w:after="30" w:before="30"/>
              <w:jc w:val="left"/>
            </w:pPr>
            <w:r>
              <w:rPr>
                <w:b w:val="false"/>
                <w:bCs w:val="false"/>
                <w:i w:val="false"/>
                <w:iCs w:val="false"/>
                <w:sz w:val="16"/>
                <w:szCs w:val="16"/>
              </w:rPr>
              <w:t xml:space="preserve"/>
            </w:r>
          </w:p>
        </w:tc>
      </w:tr>
      <w:tr>
        <w:tc>
          <w:tcPr>
            <w:tcW w:type="dxa" w:w="3800"/>
            <w:shd w:fill="D9D9D9" w:color="auto" w:val="clear"/>
            <w:tcMar>
              <w:top w:type="dxa" w:w="50"/>
              <w:left w:type="dxa" w:w="80"/>
              <w:bottom w:type="dxa" w:w="50"/>
              <w:right w:type="dxa" w:w="80"/>
            </w:tcMar>
            <w:vAlign w:val="top"/>
          </w:tcPr>
          <w:p>
            <w:pPr>
              <w:spacing w:after="30" w:before="30"/>
              <w:jc w:val="left"/>
            </w:pPr>
            <w:r>
              <w:rPr>
                <w:b/>
                <w:bCs/>
                <w:i w:val="false"/>
                <w:iCs w:val="false"/>
                <w:sz w:val="17"/>
                <w:szCs w:val="17"/>
              </w:rPr>
              <w:t xml:space="preserve">Total</w:t>
            </w:r>
          </w:p>
        </w:tc>
        <w:tc>
          <w:tcPr>
            <w:tcW w:type="dxa" w:w="1300"/>
            <w:shd w:fill="D9D9D9" w:color="auto" w:val="clear"/>
            <w:tcMar>
              <w:top w:type="dxa" w:w="50"/>
              <w:left w:type="dxa" w:w="80"/>
              <w:bottom w:type="dxa" w:w="50"/>
              <w:right w:type="dxa" w:w="80"/>
            </w:tcMar>
            <w:vAlign w:val="top"/>
          </w:tcPr>
          <w:p>
            <w:pPr>
              <w:spacing w:after="30" w:before="30"/>
              <w:jc w:val="center"/>
            </w:pPr>
            <w:r>
              <w:rPr>
                <w:b/>
                <w:bCs/>
                <w:i w:val="false"/>
                <w:iCs w:val="false"/>
                <w:sz w:val="17"/>
                <w:szCs w:val="17"/>
              </w:rPr>
              <w:t xml:space="preserve">100</w:t>
            </w:r>
          </w:p>
        </w:tc>
        <w:tc>
          <w:tcPr>
            <w:tcW w:type="dxa" w:w="6000"/>
            <w:shd w:fill="D9D9D9" w:color="auto" w:val="clear"/>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
            </w:r>
          </w:p>
        </w:tc>
        <w:tc>
          <w:tcPr>
            <w:tcW w:type="dxa" w:w="1650"/>
            <w:shd w:fill="D9D9D9" w:color="auto" w:val="clear"/>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
            </w:r>
          </w:p>
        </w:tc>
        <w:tc>
          <w:tcPr>
            <w:tcW w:type="dxa" w:w="1650"/>
            <w:shd w:fill="D9D9D9" w:color="auto" w:val="clear"/>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
            </w:r>
          </w:p>
        </w:tc>
      </w:tr>
    </w:tbl>
    <w:p>
      <w:pPr>
        <w:spacing w:after="120" w:before="280"/>
      </w:pPr>
      <w:r>
        <w:rPr>
          <w:b/>
          <w:bCs/>
          <w:sz w:val="24"/>
          <w:szCs w:val="24"/>
        </w:rPr>
        <w:t xml:space="preserve">Justification des pondérations</w:t>
      </w:r>
    </w:p>
    <w:tbl>
      <w:tblPr>
        <w:tblW w:type="dxa" w:w="14400"/>
        <w:tblBorders>
          <w:top w:val="single" w:color="AAAAAA" w:sz="4"/>
          <w:left w:val="single" w:color="AAAAAA" w:sz="4"/>
          <w:bottom w:val="single" w:color="AAAAAA" w:sz="4"/>
          <w:right w:val="single" w:color="AAAAAA" w:sz="4"/>
          <w:insideH w:val="single" w:color="AAAAAA" w:sz="4"/>
          <w:insideV w:val="single" w:color="AAAAAA" w:sz="4"/>
        </w:tblBorders>
      </w:tblPr>
      <w:tblGrid>
        <w:gridCol w:w="4000"/>
        <w:gridCol w:w="1400"/>
        <w:gridCol w:w="9000"/>
      </w:tblGrid>
      <w:tr>
        <w:trPr>
          <w:tblHeader/>
        </w:trPr>
        <w:tc>
          <w:tcPr>
            <w:tcW w:type="dxa" w:w="4000"/>
            <w:shd w:fill="D9D9D9" w:color="auto" w:val="clear"/>
            <w:tcMar>
              <w:top w:type="dxa" w:w="50"/>
              <w:left w:type="dxa" w:w="80"/>
              <w:bottom w:type="dxa" w:w="50"/>
              <w:right w:type="dxa" w:w="80"/>
            </w:tcMar>
            <w:vAlign w:val="top"/>
          </w:tcPr>
          <w:p>
            <w:pPr>
              <w:spacing w:after="30" w:before="30"/>
              <w:jc w:val="center"/>
            </w:pPr>
            <w:r>
              <w:rPr>
                <w:b/>
                <w:bCs/>
                <w:i w:val="false"/>
                <w:iCs w:val="false"/>
                <w:sz w:val="18"/>
                <w:szCs w:val="18"/>
              </w:rPr>
              <w:t xml:space="preserve">Groupe</w:t>
            </w:r>
          </w:p>
        </w:tc>
        <w:tc>
          <w:tcPr>
            <w:tcW w:type="dxa" w:w="1400"/>
            <w:shd w:fill="D9D9D9" w:color="auto" w:val="clear"/>
            <w:tcMar>
              <w:top w:type="dxa" w:w="50"/>
              <w:left w:type="dxa" w:w="80"/>
              <w:bottom w:type="dxa" w:w="50"/>
              <w:right w:type="dxa" w:w="80"/>
            </w:tcMar>
            <w:vAlign w:val="top"/>
          </w:tcPr>
          <w:p>
            <w:pPr>
              <w:spacing w:after="30" w:before="30"/>
              <w:jc w:val="center"/>
            </w:pPr>
            <w:r>
              <w:rPr>
                <w:b/>
                <w:bCs/>
                <w:i w:val="false"/>
                <w:iCs w:val="false"/>
                <w:sz w:val="18"/>
                <w:szCs w:val="18"/>
              </w:rPr>
              <w:t xml:space="preserve">Poids</w:t>
            </w:r>
          </w:p>
        </w:tc>
        <w:tc>
          <w:tcPr>
            <w:tcW w:type="dxa" w:w="9000"/>
            <w:shd w:fill="D9D9D9" w:color="auto" w:val="clear"/>
            <w:tcMar>
              <w:top w:type="dxa" w:w="50"/>
              <w:left w:type="dxa" w:w="80"/>
              <w:bottom w:type="dxa" w:w="50"/>
              <w:right w:type="dxa" w:w="80"/>
            </w:tcMar>
            <w:vAlign w:val="top"/>
          </w:tcPr>
          <w:p>
            <w:pPr>
              <w:spacing w:after="30" w:before="30"/>
              <w:jc w:val="center"/>
            </w:pPr>
            <w:r>
              <w:rPr>
                <w:b/>
                <w:bCs/>
                <w:i w:val="false"/>
                <w:iCs w:val="false"/>
                <w:sz w:val="18"/>
                <w:szCs w:val="18"/>
              </w:rPr>
              <w:t xml:space="preserve">Pourquoi ce poids</w:t>
            </w:r>
          </w:p>
        </w:tc>
      </w:tr>
      <w:tr>
        <w:tc>
          <w:tcPr>
            <w:tcW w:type="dxa" w:w="4000"/>
            <w:tcMar>
              <w:top w:type="dxa" w:w="50"/>
              <w:left w:type="dxa" w:w="80"/>
              <w:bottom w:type="dxa" w:w="50"/>
              <w:right w:type="dxa" w:w="80"/>
            </w:tcMar>
            <w:vAlign w:val="top"/>
          </w:tcPr>
          <w:p>
            <w:pPr>
              <w:spacing w:after="30" w:before="30"/>
              <w:jc w:val="left"/>
            </w:pPr>
            <w:r>
              <w:rPr>
                <w:b/>
                <w:bCs/>
                <w:i w:val="false"/>
                <w:iCs w:val="false"/>
                <w:sz w:val="16"/>
                <w:szCs w:val="16"/>
              </w:rPr>
              <w:t xml:space="preserve">Force de la preuve</w:t>
            </w:r>
          </w:p>
        </w:tc>
        <w:tc>
          <w:tcPr>
            <w:tcW w:type="dxa" w:w="1400"/>
            <w:tcMar>
              <w:top w:type="dxa" w:w="50"/>
              <w:left w:type="dxa" w:w="80"/>
              <w:bottom w:type="dxa" w:w="50"/>
              <w:right w:type="dxa" w:w="80"/>
            </w:tcMar>
            <w:vAlign w:val="top"/>
          </w:tcPr>
          <w:p>
            <w:pPr>
              <w:spacing w:after="30" w:before="30"/>
              <w:jc w:val="center"/>
            </w:pPr>
            <w:r>
              <w:rPr>
                <w:b w:val="false"/>
                <w:bCs w:val="false"/>
                <w:i w:val="false"/>
                <w:iCs w:val="false"/>
                <w:sz w:val="16"/>
                <w:szCs w:val="16"/>
              </w:rPr>
              <w:t xml:space="preserve">35</w:t>
            </w:r>
          </w:p>
        </w:tc>
        <w:tc>
          <w:tcPr>
            <w:tcW w:type="dxa" w:w="9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Un journal dont l'intégrité n'est pas démontrable ne sert ni à la vérification et validation, ni à un auditeur. C'est la seule chose que cette fonction apporte que personne d'autre n'apporte.</w:t>
            </w:r>
          </w:p>
        </w:tc>
      </w:tr>
      <w:tr>
        <w:tc>
          <w:tcPr>
            <w:tcW w:type="dxa" w:w="4000"/>
            <w:tcMar>
              <w:top w:type="dxa" w:w="50"/>
              <w:left w:type="dxa" w:w="80"/>
              <w:bottom w:type="dxa" w:w="50"/>
              <w:right w:type="dxa" w:w="80"/>
            </w:tcMar>
            <w:vAlign w:val="top"/>
          </w:tcPr>
          <w:p>
            <w:pPr>
              <w:spacing w:after="30" w:before="30"/>
              <w:jc w:val="left"/>
            </w:pPr>
            <w:r>
              <w:rPr>
                <w:b/>
                <w:bCs/>
                <w:i w:val="false"/>
                <w:iCs w:val="false"/>
                <w:sz w:val="16"/>
                <w:szCs w:val="16"/>
              </w:rPr>
              <w:t xml:space="preserve">Capacité de reconstitution</w:t>
            </w:r>
          </w:p>
        </w:tc>
        <w:tc>
          <w:tcPr>
            <w:tcW w:type="dxa" w:w="1400"/>
            <w:tcMar>
              <w:top w:type="dxa" w:w="50"/>
              <w:left w:type="dxa" w:w="80"/>
              <w:bottom w:type="dxa" w:w="50"/>
              <w:right w:type="dxa" w:w="80"/>
            </w:tcMar>
            <w:vAlign w:val="top"/>
          </w:tcPr>
          <w:p>
            <w:pPr>
              <w:spacing w:after="30" w:before="30"/>
              <w:jc w:val="center"/>
            </w:pPr>
            <w:r>
              <w:rPr>
                <w:b w:val="false"/>
                <w:bCs w:val="false"/>
                <w:i w:val="false"/>
                <w:iCs w:val="false"/>
                <w:sz w:val="16"/>
                <w:szCs w:val="16"/>
              </w:rPr>
              <w:t xml:space="preserve">25</w:t>
            </w:r>
          </w:p>
        </w:tc>
        <w:tc>
          <w:tcPr>
            <w:tcW w:type="dxa" w:w="9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C'est l'axe même qui sépare les trois concepts, donc celui qui porte le choix. Aucun niveau de rejet n'y figure, parce qu'aucune exigence du registre n'impose le recalcul : le poids reflète une valeur d'usage, pas une obligation.</w:t>
            </w:r>
          </w:p>
        </w:tc>
      </w:tr>
      <w:tr>
        <w:tc>
          <w:tcPr>
            <w:tcW w:type="dxa" w:w="4000"/>
            <w:tcMar>
              <w:top w:type="dxa" w:w="50"/>
              <w:left w:type="dxa" w:w="80"/>
              <w:bottom w:type="dxa" w:w="50"/>
              <w:right w:type="dxa" w:w="80"/>
            </w:tcMar>
            <w:vAlign w:val="top"/>
          </w:tcPr>
          <w:p>
            <w:pPr>
              <w:spacing w:after="30" w:before="30"/>
              <w:jc w:val="left"/>
            </w:pPr>
            <w:r>
              <w:rPr>
                <w:b/>
                <w:bCs/>
                <w:i w:val="false"/>
                <w:iCs w:val="false"/>
                <w:sz w:val="16"/>
                <w:szCs w:val="16"/>
              </w:rPr>
              <w:t xml:space="preserve">Coût d'exécution</w:t>
            </w:r>
          </w:p>
        </w:tc>
        <w:tc>
          <w:tcPr>
            <w:tcW w:type="dxa" w:w="1400"/>
            <w:tcMar>
              <w:top w:type="dxa" w:w="50"/>
              <w:left w:type="dxa" w:w="80"/>
              <w:bottom w:type="dxa" w:w="50"/>
              <w:right w:type="dxa" w:w="80"/>
            </w:tcMar>
            <w:vAlign w:val="top"/>
          </w:tcPr>
          <w:p>
            <w:pPr>
              <w:spacing w:after="30" w:before="30"/>
              <w:jc w:val="center"/>
            </w:pPr>
            <w:r>
              <w:rPr>
                <w:b w:val="false"/>
                <w:bCs w:val="false"/>
                <w:i w:val="false"/>
                <w:iCs w:val="false"/>
                <w:sz w:val="16"/>
                <w:szCs w:val="16"/>
              </w:rPr>
              <w:t xml:space="preserve">20</w:t>
            </w:r>
          </w:p>
        </w:tc>
        <w:tc>
          <w:tcPr>
            <w:tcW w:type="dxa" w:w="9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Le journal est une fonction de support. Au-delà d'une certaine part du temps de cycle, l'instrumentation modifie ce qu'elle observe, ce qui est un défaut de conception et non un simple inconfort.</w:t>
            </w:r>
          </w:p>
        </w:tc>
      </w:tr>
      <w:tr>
        <w:tc>
          <w:tcPr>
            <w:tcW w:type="dxa" w:w="4000"/>
            <w:tcMar>
              <w:top w:type="dxa" w:w="50"/>
              <w:left w:type="dxa" w:w="80"/>
              <w:bottom w:type="dxa" w:w="50"/>
              <w:right w:type="dxa" w:w="80"/>
            </w:tcMar>
            <w:vAlign w:val="top"/>
          </w:tcPr>
          <w:p>
            <w:pPr>
              <w:spacing w:after="30" w:before="30"/>
              <w:jc w:val="left"/>
            </w:pPr>
            <w:r>
              <w:rPr>
                <w:b/>
                <w:bCs/>
                <w:i w:val="false"/>
                <w:iCs w:val="false"/>
                <w:sz w:val="16"/>
                <w:szCs w:val="16"/>
              </w:rPr>
              <w:t xml:space="preserve">Charge de conception et séparation des rôles</w:t>
            </w:r>
          </w:p>
        </w:tc>
        <w:tc>
          <w:tcPr>
            <w:tcW w:type="dxa" w:w="1400"/>
            <w:tcMar>
              <w:top w:type="dxa" w:w="50"/>
              <w:left w:type="dxa" w:w="80"/>
              <w:bottom w:type="dxa" w:w="50"/>
              <w:right w:type="dxa" w:w="80"/>
            </w:tcMar>
            <w:vAlign w:val="top"/>
          </w:tcPr>
          <w:p>
            <w:pPr>
              <w:spacing w:after="30" w:before="30"/>
              <w:jc w:val="center"/>
            </w:pPr>
            <w:r>
              <w:rPr>
                <w:b w:val="false"/>
                <w:bCs w:val="false"/>
                <w:i w:val="false"/>
                <w:iCs w:val="false"/>
                <w:sz w:val="16"/>
                <w:szCs w:val="16"/>
              </w:rPr>
              <w:t xml:space="preserve">20</w:t>
            </w:r>
          </w:p>
        </w:tc>
        <w:tc>
          <w:tcPr>
            <w:tcW w:type="dxa" w:w="9000"/>
            <w:tcMar>
              <w:top w:type="dxa" w:w="50"/>
              <w:left w:type="dxa" w:w="80"/>
              <w:bottom w:type="dxa" w:w="50"/>
              <w:right w:type="dxa" w:w="80"/>
            </w:tcMar>
            <w:vAlign w:val="top"/>
          </w:tcPr>
          <w:p>
            <w:pPr>
              <w:spacing w:after="30" w:before="30"/>
              <w:jc w:val="left"/>
            </w:pPr>
            <w:r>
              <w:rPr>
                <w:b w:val="false"/>
                <w:bCs w:val="false"/>
                <w:i w:val="false"/>
                <w:iCs w:val="false"/>
                <w:sz w:val="16"/>
                <w:szCs w:val="16"/>
              </w:rPr>
              <w:t xml:space="preserve">Même raison qu'ailleurs pour l'effort. La séparation des rôles y est jointe parce que c'est un des quatre principes de cybersécurité que l'équipe a inscrits comme exigences internes à la section 6 du plan.</w:t>
            </w:r>
          </w:p>
        </w:tc>
      </w:tr>
    </w:tbl>
    <w:p>
      <w:pPr>
        <w:spacing w:after="120" w:before="280"/>
      </w:pPr>
      <w:r>
        <w:rPr>
          <w:b/>
          <w:bCs/>
          <w:sz w:val="24"/>
          <w:szCs w:val="24"/>
        </w:rPr>
        <w:t xml:space="preserve">Ce que ce barème dit déjà du concept A</w:t>
      </w:r>
    </w:p>
    <w:p>
      <w:pPr>
        <w:spacing w:after="100"/>
      </w:pPr>
      <w:r>
        <w:rPr>
          <w:sz w:val="19"/>
          <w:szCs w:val="19"/>
        </w:rPr>
        <w:t xml:space="preserve">Deux lignes placent le concept A en dessous du maximum, et c'est voulu.</w:t>
      </w:r>
    </w:p>
    <w:p>
      <w:pPr>
        <w:spacing w:after="100"/>
      </w:pPr>
      <w:r>
        <w:rPr>
          <w:sz w:val="19"/>
          <w:szCs w:val="19"/>
        </w:rPr>
        <w:t xml:space="preserve">Sur la possibilité de recalculer une décision, le concept A plafonne à 75 %, parce que les valeurs sont régénérables mais non enregistrées. Le concept B est le seul à pouvoir atteindre 100 %. Je n'ai pas construit de barème qui récompenserait l'empreinte des valeurs à l'égal d'un enregistrement réel, parce que la régénération reste conditionnelle à la reproductibilité de SS-1 alors que l'enregistrement ne l'est pas.</w:t>
      </w:r>
    </w:p>
    <w:p>
      <w:pPr>
        <w:spacing w:after="100"/>
      </w:pPr>
      <w:r>
        <w:rPr>
          <w:sz w:val="19"/>
          <w:szCs w:val="19"/>
        </w:rPr>
        <w:t xml:space="preserve">Sur la séparation des rôles, le concept A tel que défini plafonne à 50 %, puisque la clé est détenue par celui qui écrit. Le raffinement proposé dans sa définition, signer les entrées de scellement avec une clé tenue par un rôle distinct, est précisément ce qui ferait passer la ligne à 100 %. Le barème chiffre donc le coût de la limite que j'avais signalée, au lieu de la laisser à l'état de remarque.</w:t>
      </w:r>
    </w:p>
    <w:p>
      <w:pPr>
        <w:spacing w:after="100"/>
      </w:pPr>
      <w:r>
        <w:rPr>
          <w:sz w:val="19"/>
          <w:szCs w:val="19"/>
        </w:rPr>
        <w:t xml:space="preserve">En contrepartie, le concept A est le seul à pouvoir atteindre 100 % sur l'indépendance du vérificateur et sur la part du temps de cycle. Le barème ne départage pas les concepts sur une qualité globale, il les départage sur ce que chacun échange contre quoi.</w:t>
      </w:r>
    </w:p>
    <w:p>
      <w:pPr>
        <w:spacing w:after="120" w:before="280"/>
      </w:pPr>
      <w:r>
        <w:rPr>
          <w:b/>
          <w:bCs/>
          <w:sz w:val="24"/>
          <w:szCs w:val="24"/>
        </w:rPr>
        <w:t xml:space="preserve">Point à trancher avant de figer la grille</w:t>
      </w:r>
    </w:p>
    <w:p>
      <w:pPr>
        <w:spacing w:after="100"/>
      </w:pPr>
      <w:r>
        <w:rPr>
          <w:sz w:val="19"/>
          <w:szCs w:val="19"/>
        </w:rPr>
        <w:t xml:space="preserve">Le critère de recalcul pèse 15 points et le concept A y perd 25 % de ce poids au profit du concept B. Ce verdict bascule si la reproductibilité exacte des scénarios n'est pas tenue par SS-1 : dans ce cas, la régénération ne vaut plus rien et le concept A tombe au niveau « reconstitution seulement », à 25 %. La note de cette ligne dépend donc d'une décision prise dans un autre lot, et elle ne doit pas être figée avant que le concept de SS-1 soit arrêté.</w:t>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2026-10-22T00:46:50.556Z</dcterms:created>
  <dcterms:modified xsi:type="dcterms:W3CDTF">2026-10-22T00:46:50.556Z</dcterms:modified>
</cp:coreProperties>
</file>

<file path=docProps/custom.xml><?xml version="1.0" encoding="utf-8"?>
<Properties xmlns="http://schemas.openxmlformats.org/officeDocument/2006/custom-properties" xmlns:vt="http://schemas.openxmlformats.org/officeDocument/2006/docPropsVTypes"/>
</file>