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43174" w14:textId="77777777" w:rsidR="00CD5FD9" w:rsidRPr="00CD5FD9" w:rsidRDefault="00CD5FD9" w:rsidP="00CD5FD9">
      <w:r w:rsidRPr="00CD5FD9">
        <w:rPr>
          <w:b/>
          <w:bCs/>
        </w:rPr>
        <w:t>Concept C — Référence par relations invariantes</w:t>
      </w:r>
    </w:p>
    <w:p w14:paraId="488A0E4D" w14:textId="77777777" w:rsidR="00CD5FD9" w:rsidRPr="00CD5FD9" w:rsidRDefault="00CD5FD9" w:rsidP="00CD5FD9">
      <w:r w:rsidRPr="00CD5FD9">
        <w:rPr>
          <w:i/>
          <w:iCs/>
        </w:rPr>
        <w:t>Fonction : calculer le comportement attendu et le comparer au comportement observé.</w:t>
      </w:r>
    </w:p>
    <w:p w14:paraId="73536DAC" w14:textId="77777777" w:rsidR="00CD5FD9" w:rsidRPr="00CD5FD9" w:rsidRDefault="00CD5FD9" w:rsidP="00CD5FD9">
      <w:r w:rsidRPr="00CD5FD9">
        <w:rPr>
          <w:b/>
          <w:bCs/>
        </w:rPr>
        <w:t>Présentation du concept</w:t>
      </w:r>
    </w:p>
    <w:p w14:paraId="62A3472F" w14:textId="2A812DA5" w:rsidR="00CD5FD9" w:rsidRPr="00CD5FD9" w:rsidRDefault="00CD5FD9" w:rsidP="00CD5FD9">
      <w:r w:rsidRPr="00CD5FD9">
        <w:t xml:space="preserve">Ce concept consiste à vérifier si les mesures de la boucle </w:t>
      </w:r>
      <w:r w:rsidRPr="00CD5FD9">
        <w:t>thermo hydraulique</w:t>
      </w:r>
      <w:r w:rsidRPr="00CD5FD9">
        <w:t xml:space="preserve"> respectent des relations physiques connues, telles que les bilans de masse ou d’énergie. Le comportement attendu est représenté par ces relations, qui doivent rester satisfaites dans les conditions où elles sont applicables.</w:t>
      </w:r>
    </w:p>
    <w:p w14:paraId="2CEEBEE6" w14:textId="77777777" w:rsidR="00CD5FD9" w:rsidRPr="00CD5FD9" w:rsidRDefault="00CD5FD9" w:rsidP="00CD5FD9">
      <w:r w:rsidRPr="00CD5FD9">
        <w:t xml:space="preserve">Le terme « invariant » ne signifie pas que la température, la pression ou le débit restent constants. Il signifie que </w:t>
      </w:r>
      <w:r w:rsidRPr="00CD5FD9">
        <w:rPr>
          <w:b/>
          <w:bCs/>
        </w:rPr>
        <w:t>la relation physique demeure valable lorsque ces grandeurs évoluent</w:t>
      </w:r>
      <w:r w:rsidRPr="00CD5FD9">
        <w:t>. En régime transitoire, les bilans doivent notamment tenir compte de l’accumulation de masse ou d’énergie.</w:t>
      </w:r>
    </w:p>
    <w:p w14:paraId="5D6EBF19" w14:textId="1CBFB038" w:rsidR="00CD5FD9" w:rsidRPr="00CD5FD9" w:rsidRDefault="00CD5FD9" w:rsidP="00CD5FD9">
      <w:r w:rsidRPr="00CD5FD9">
        <w:t xml:space="preserve">Pour chaque relation retenue, le système calcule un </w:t>
      </w:r>
      <w:r w:rsidRPr="00CD5FD9">
        <w:rPr>
          <w:b/>
          <w:bCs/>
        </w:rPr>
        <w:t>résidu</w:t>
      </w:r>
      <w:r w:rsidRPr="00CD5FD9">
        <w:t>, c’est-à-dire un écart à la relation attendue :</w:t>
      </w:r>
      <w:r w:rsidRPr="00CD5FD9">
        <w:rPr>
          <w:rFonts w:ascii="Cambria Math" w:hAnsi="Cambria Math"/>
          <w:i/>
          <w:color w:val="666666"/>
        </w:rPr>
        <w:br/>
      </w:r>
      <m:oMathPara>
        <m:oMath>
          <m:sSub>
            <m:sSubPr>
              <m:ctrlPr>
                <w:rPr>
                  <w:rFonts w:ascii="Cambria Math" w:hAnsi="Cambria Math"/>
                  <w:color w:val="666666"/>
                </w:rPr>
              </m:ctrlPr>
            </m:sSubPr>
            <m:e>
              <m:r>
                <w:rPr>
                  <w:rFonts w:ascii="Cambria Math" w:hAnsi="Cambria Math"/>
                  <w:color w:val="666666"/>
                </w:rPr>
                <m:t>r</m:t>
              </m:r>
            </m:e>
            <m:sub>
              <m:r>
                <w:rPr>
                  <w:rFonts w:ascii="Cambria Math" w:hAnsi="Cambria Math"/>
                  <w:color w:val="666666"/>
                </w:rPr>
                <m:t>j</m:t>
              </m:r>
            </m:sub>
          </m:sSub>
          <m:d>
            <m:dPr>
              <m:ctrlPr>
                <w:rPr>
                  <w:rFonts w:ascii="Cambria Math" w:hAnsi="Cambria Math"/>
                  <w:color w:val="666666"/>
                </w:rPr>
              </m:ctrlPr>
            </m:dPr>
            <m:e>
              <m:r>
                <w:rPr>
                  <w:rFonts w:ascii="Cambria Math" w:hAnsi="Cambria Math"/>
                  <w:color w:val="666666"/>
                </w:rPr>
                <m:t>t</m:t>
              </m:r>
            </m:e>
          </m:d>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f</m:t>
              </m:r>
            </m:e>
            <m:sub>
              <m:r>
                <w:rPr>
                  <w:rFonts w:ascii="Cambria Math" w:hAnsi="Cambria Math"/>
                  <w:color w:val="666666"/>
                </w:rPr>
                <m:t>j</m:t>
              </m:r>
            </m:sub>
          </m:sSub>
          <m:d>
            <m:dPr>
              <m:ctrlPr>
                <w:rPr>
                  <w:rFonts w:ascii="Cambria Math" w:hAnsi="Cambria Math"/>
                  <w:color w:val="666666"/>
                </w:rPr>
              </m:ctrlPr>
            </m:dPr>
            <m:e>
              <m:r>
                <m:rPr>
                  <m:nor/>
                </m:rPr>
                <w:rPr>
                  <w:rFonts w:ascii="Cambria Math" w:hAnsi="Cambria Math"/>
                  <w:color w:val="666666"/>
                </w:rPr>
                <m:t>mesures</m:t>
              </m:r>
              <m:d>
                <m:dPr>
                  <m:ctrlPr>
                    <w:rPr>
                      <w:rFonts w:ascii="Cambria Math" w:hAnsi="Cambria Math"/>
                      <w:color w:val="666666"/>
                    </w:rPr>
                  </m:ctrlPr>
                </m:dPr>
                <m:e>
                  <m:r>
                    <w:rPr>
                      <w:rFonts w:ascii="Cambria Math" w:hAnsi="Cambria Math"/>
                      <w:color w:val="666666"/>
                    </w:rPr>
                    <m:t>t</m:t>
                  </m:r>
                </m:e>
              </m:d>
              <m:r>
                <w:rPr>
                  <w:rFonts w:ascii="Cambria Math" w:hAnsi="Cambria Math"/>
                  <w:color w:val="666666"/>
                </w:rPr>
                <m:t>,</m:t>
              </m:r>
              <m:r>
                <m:rPr>
                  <m:nor/>
                </m:rPr>
                <w:rPr>
                  <w:rFonts w:ascii="Cambria Math" w:hAnsi="Cambria Math"/>
                  <w:color w:val="666666"/>
                </w:rPr>
                <m:t>paramètres</m:t>
              </m:r>
            </m:e>
          </m:d>
        </m:oMath>
      </m:oMathPara>
    </w:p>
    <w:p w14:paraId="39C223B9" w14:textId="77777777" w:rsidR="00CD5FD9" w:rsidRPr="00CD5FD9" w:rsidRDefault="00CD5FD9" w:rsidP="00CD5FD9">
      <w:r w:rsidRPr="00CD5FD9">
        <w:t>Dans une situation idéale, ce résidu est nul. En pratique, les erreurs de mesure et les simplifications du modèle peuvent produire un résidu non nul sans qu’une défaillance soit présente.</w:t>
      </w:r>
    </w:p>
    <w:p w14:paraId="67E15489" w14:textId="77777777" w:rsidR="00CD5FD9" w:rsidRPr="00CD5FD9" w:rsidRDefault="00CD5FD9" w:rsidP="00CD5FD9">
      <w:r w:rsidRPr="00CD5FD9">
        <w:t>Ce concept répond au besoin de comparaison du projet en produisant des écarts physiquement interprétables. Il ne prédit pas nécessairement une trajectoire complète de chaque variable.</w:t>
      </w:r>
    </w:p>
    <w:p w14:paraId="4A74EDED" w14:textId="77777777" w:rsidR="00CD5FD9" w:rsidRPr="00CD5FD9" w:rsidRDefault="00CD5FD9" w:rsidP="00CD5FD9">
      <w:r w:rsidRPr="00CD5FD9">
        <w:rPr>
          <w:b/>
          <w:bCs/>
        </w:rPr>
        <w:t>Schéma de la solution</w:t>
      </w:r>
    </w:p>
    <w:p w14:paraId="556EC6B0" w14:textId="12A2AFF8" w:rsidR="00CD5FD9" w:rsidRDefault="00CD5FD9">
      <w:r>
        <w:rPr>
          <w:noProof/>
        </w:rPr>
        <w:drawing>
          <wp:inline distT="0" distB="0" distL="0" distR="0" wp14:anchorId="1DAA236D" wp14:editId="26CDF463">
            <wp:extent cx="5415280" cy="3726180"/>
            <wp:effectExtent l="0" t="0" r="0" b="7620"/>
            <wp:docPr id="684629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62932" name="Image 68462932"/>
                    <pic:cNvPicPr/>
                  </pic:nvPicPr>
                  <pic:blipFill>
                    <a:blip r:embed="rId7">
                      <a:extLst>
                        <a:ext uri="{28A0092B-C50C-407E-A947-70E740481C1C}">
                          <a14:useLocalDpi xmlns:a14="http://schemas.microsoft.com/office/drawing/2010/main" val="0"/>
                        </a:ext>
                      </a:extLst>
                    </a:blip>
                    <a:stretch>
                      <a:fillRect/>
                    </a:stretch>
                  </pic:blipFill>
                  <pic:spPr>
                    <a:xfrm>
                      <a:off x="0" y="0"/>
                      <a:ext cx="5436996" cy="3741122"/>
                    </a:xfrm>
                    <a:prstGeom prst="rect">
                      <a:avLst/>
                    </a:prstGeom>
                  </pic:spPr>
                </pic:pic>
              </a:graphicData>
            </a:graphic>
          </wp:inline>
        </w:drawing>
      </w:r>
    </w:p>
    <w:p w14:paraId="75A6A4BA" w14:textId="150A79C5" w:rsidR="00CD5FD9" w:rsidRDefault="00CD5FD9">
      <w:r>
        <w:br w:type="page"/>
      </w:r>
    </w:p>
    <w:p w14:paraId="47409875" w14:textId="2CDC070A" w:rsidR="00CD5FD9" w:rsidRDefault="00CD5FD9">
      <w:r>
        <w:lastRenderedPageBreak/>
        <w:t>Description des concepts</w:t>
      </w:r>
    </w:p>
    <w:tbl>
      <w:tblPr>
        <w:tblStyle w:val="Grilledutableau"/>
        <w:tblW w:w="0" w:type="auto"/>
        <w:tblLook w:val="04A0" w:firstRow="1" w:lastRow="0" w:firstColumn="1" w:lastColumn="0" w:noHBand="0" w:noVBand="1"/>
      </w:tblPr>
      <w:tblGrid>
        <w:gridCol w:w="4698"/>
        <w:gridCol w:w="4698"/>
      </w:tblGrid>
      <w:tr w:rsidR="00CD5FD9" w14:paraId="5840643F" w14:textId="77777777" w:rsidTr="00CD5FD9">
        <w:tc>
          <w:tcPr>
            <w:tcW w:w="4698" w:type="dxa"/>
          </w:tcPr>
          <w:p w14:paraId="64E1A38A" w14:textId="0AFC9F58" w:rsidR="00CD5FD9" w:rsidRDefault="00CD5FD9">
            <w:r w:rsidRPr="00CD5FD9">
              <w:t>Composant</w:t>
            </w:r>
          </w:p>
        </w:tc>
        <w:tc>
          <w:tcPr>
            <w:tcW w:w="4698" w:type="dxa"/>
          </w:tcPr>
          <w:p w14:paraId="3F4BC138" w14:textId="6D5658CA" w:rsidR="00CD5FD9" w:rsidRDefault="00CD5FD9">
            <w:r w:rsidRPr="00CD5FD9">
              <w:t>Rôle</w:t>
            </w:r>
          </w:p>
        </w:tc>
      </w:tr>
      <w:tr w:rsidR="00CD5FD9" w14:paraId="417AA40E" w14:textId="77777777" w:rsidTr="00CD5FD9">
        <w:tc>
          <w:tcPr>
            <w:tcW w:w="4698" w:type="dxa"/>
          </w:tcPr>
          <w:p w14:paraId="3952BC19" w14:textId="1E2EBC09" w:rsidR="00CD5FD9" w:rsidRDefault="00CD5FD9" w:rsidP="00CD5FD9">
            <w:r w:rsidRPr="00CD5FD9">
              <w:t>Réception des mesures</w:t>
            </w:r>
          </w:p>
        </w:tc>
        <w:tc>
          <w:tcPr>
            <w:tcW w:w="4698" w:type="dxa"/>
          </w:tcPr>
          <w:p w14:paraId="3606E48C" w14:textId="5D0AFA8F" w:rsidR="00CD5FD9" w:rsidRDefault="00CD5FD9">
            <w:r w:rsidRPr="00CD5FD9">
              <w:t>Recevoir les mesures simulées, leur horodatage et leur indicateur de qualité.</w:t>
            </w:r>
          </w:p>
        </w:tc>
      </w:tr>
      <w:tr w:rsidR="00CD5FD9" w14:paraId="146BF287" w14:textId="77777777" w:rsidTr="00CD5FD9">
        <w:tc>
          <w:tcPr>
            <w:tcW w:w="4698" w:type="dxa"/>
          </w:tcPr>
          <w:p w14:paraId="18F474B8" w14:textId="51463C2A" w:rsidR="00CD5FD9" w:rsidRDefault="00CD5FD9">
            <w:r w:rsidRPr="00CD5FD9">
              <w:t>Vérification de l’applicabilité</w:t>
            </w:r>
          </w:p>
        </w:tc>
        <w:tc>
          <w:tcPr>
            <w:tcW w:w="4698" w:type="dxa"/>
          </w:tcPr>
          <w:p w14:paraId="752E8331" w14:textId="05AFBCDB" w:rsidR="00CD5FD9" w:rsidRDefault="00CD5FD9">
            <w:r w:rsidRPr="00CD5FD9">
              <w:t>Vérifier que les données nécessaires sont disponibles, suffisamment synchronisées et compatibles avec les hypothèses de la relation.</w:t>
            </w:r>
          </w:p>
        </w:tc>
      </w:tr>
      <w:tr w:rsidR="00CD5FD9" w14:paraId="10643BEF" w14:textId="77777777" w:rsidTr="00CD5FD9">
        <w:tc>
          <w:tcPr>
            <w:tcW w:w="4698" w:type="dxa"/>
          </w:tcPr>
          <w:p w14:paraId="0C43E51C" w14:textId="248BC06F" w:rsidR="00CD5FD9" w:rsidRDefault="00CD5FD9">
            <w:r w:rsidRPr="00CD5FD9">
              <w:t>Bibliothèque de relations physiques</w:t>
            </w:r>
          </w:p>
        </w:tc>
        <w:tc>
          <w:tcPr>
            <w:tcW w:w="4698" w:type="dxa"/>
          </w:tcPr>
          <w:p w14:paraId="23B92243" w14:textId="72B414BC" w:rsidR="00CD5FD9" w:rsidRDefault="00CD5FD9">
            <w:r w:rsidRPr="00CD5FD9">
              <w:t>Contenir les équations retenues, leurs paramètres et leur domaine de validité.</w:t>
            </w:r>
          </w:p>
        </w:tc>
      </w:tr>
      <w:tr w:rsidR="00CD5FD9" w14:paraId="7DAEFC7D" w14:textId="77777777" w:rsidTr="00CD5FD9">
        <w:tc>
          <w:tcPr>
            <w:tcW w:w="4698" w:type="dxa"/>
          </w:tcPr>
          <w:p w14:paraId="705C0043" w14:textId="192BDD46" w:rsidR="00CD5FD9" w:rsidRDefault="00CD5FD9">
            <w:r w:rsidRPr="00CD5FD9">
              <w:t>Calculateur de résidus</w:t>
            </w:r>
          </w:p>
        </w:tc>
        <w:tc>
          <w:tcPr>
            <w:tcW w:w="4698" w:type="dxa"/>
          </w:tcPr>
          <w:p w14:paraId="1482EC46" w14:textId="49438108" w:rsidR="00CD5FD9" w:rsidRDefault="00CD5FD9">
            <w:r w:rsidRPr="00CD5FD9">
              <w:t>Évaluer chaque relation avec les données reçues et calculer l’écart correspondant.</w:t>
            </w:r>
          </w:p>
        </w:tc>
      </w:tr>
      <w:tr w:rsidR="00CD5FD9" w14:paraId="44EC060C" w14:textId="77777777" w:rsidTr="00CD5FD9">
        <w:tc>
          <w:tcPr>
            <w:tcW w:w="4698" w:type="dxa"/>
          </w:tcPr>
          <w:p w14:paraId="3D19370E" w14:textId="01EF7DFC" w:rsidR="00CD5FD9" w:rsidRDefault="00314739">
            <w:r>
              <w:t>Interface de sortie</w:t>
            </w:r>
          </w:p>
        </w:tc>
        <w:tc>
          <w:tcPr>
            <w:tcW w:w="4698" w:type="dxa"/>
          </w:tcPr>
          <w:p w14:paraId="0B61E071" w14:textId="62C38A96" w:rsidR="00CD5FD9" w:rsidRDefault="00314739">
            <w:r w:rsidRPr="00314739">
              <w:t>Transmettre les résidus, leurs unités, les variables impliquées et les éventuels motifs d’indisponibilité.</w:t>
            </w:r>
          </w:p>
        </w:tc>
      </w:tr>
    </w:tbl>
    <w:p w14:paraId="13531444" w14:textId="77777777" w:rsidR="00314739" w:rsidRPr="00314739" w:rsidRDefault="00314739" w:rsidP="00314739">
      <w:r w:rsidRPr="00314739">
        <w:rPr>
          <w:b/>
          <w:bCs/>
        </w:rPr>
        <w:t>Description du fonctionnement</w:t>
      </w:r>
    </w:p>
    <w:p w14:paraId="753D20D5" w14:textId="77777777" w:rsidR="00314739" w:rsidRPr="00314739" w:rsidRDefault="00314739" w:rsidP="00314739">
      <w:pPr>
        <w:numPr>
          <w:ilvl w:val="0"/>
          <w:numId w:val="1"/>
        </w:numPr>
      </w:pPr>
      <w:r w:rsidRPr="00314739">
        <w:t>Le système reçoit les mesures provenant de la chaîne d’acquisition.</w:t>
      </w:r>
    </w:p>
    <w:p w14:paraId="45218B0F" w14:textId="77777777" w:rsidR="00314739" w:rsidRPr="00314739" w:rsidRDefault="00314739" w:rsidP="00314739">
      <w:pPr>
        <w:numPr>
          <w:ilvl w:val="0"/>
          <w:numId w:val="1"/>
        </w:numPr>
      </w:pPr>
      <w:r w:rsidRPr="00314739">
        <w:t>Il vérifie la qualité des données et sélectionne les relations physiques applicables.</w:t>
      </w:r>
    </w:p>
    <w:p w14:paraId="32E085B5" w14:textId="77777777" w:rsidR="00314739" w:rsidRPr="00314739" w:rsidRDefault="00314739" w:rsidP="00314739">
      <w:pPr>
        <w:numPr>
          <w:ilvl w:val="0"/>
          <w:numId w:val="1"/>
        </w:numPr>
      </w:pPr>
      <w:r w:rsidRPr="00314739">
        <w:t>Il remplace les grandeurs des équations par les valeurs mesurées et les paramètres connus.</w:t>
      </w:r>
    </w:p>
    <w:p w14:paraId="6A7640A0" w14:textId="77777777" w:rsidR="00314739" w:rsidRPr="00314739" w:rsidRDefault="00314739" w:rsidP="00314739">
      <w:pPr>
        <w:numPr>
          <w:ilvl w:val="0"/>
          <w:numId w:val="1"/>
        </w:numPr>
      </w:pPr>
      <w:r w:rsidRPr="00314739">
        <w:t>Il calcule un résidu pour chaque relation.</w:t>
      </w:r>
    </w:p>
    <w:p w14:paraId="559A2C17" w14:textId="77777777" w:rsidR="00314739" w:rsidRPr="00314739" w:rsidRDefault="00314739" w:rsidP="00314739">
      <w:pPr>
        <w:numPr>
          <w:ilvl w:val="0"/>
          <w:numId w:val="1"/>
        </w:numPr>
      </w:pPr>
      <w:r w:rsidRPr="00314739">
        <w:t>Il transmet les résultats à la fonction de décision. Une relation impossible à évaluer est signalée comme indisponible ; son résidu n’est pas remplacé par zéro.</w:t>
      </w:r>
    </w:p>
    <w:p w14:paraId="169A52C3" w14:textId="77777777" w:rsidR="00314739" w:rsidRPr="00314739" w:rsidRDefault="00314739" w:rsidP="00314739">
      <w:r w:rsidRPr="00314739">
        <w:rPr>
          <w:b/>
          <w:bCs/>
        </w:rPr>
        <w:t>Exemple d’application</w:t>
      </w:r>
    </w:p>
    <w:p w14:paraId="3965C59A" w14:textId="77777777" w:rsidR="00314739" w:rsidRDefault="00314739" w:rsidP="00314739">
      <w:r w:rsidRPr="00314739">
        <w:t>Pour un tronçon présentant une résistance hydraulique, une relation simplifiée envisageable est :</w:t>
      </w:r>
    </w:p>
    <w:p w14:paraId="6C6CDD8E" w14:textId="7914A56E" w:rsidR="00314739" w:rsidRPr="00314739" w:rsidRDefault="00314739" w:rsidP="00314739">
      <w:pPr>
        <w:rPr>
          <w:rFonts w:ascii="Cambria Math" w:eastAsiaTheme="minorEastAsia" w:hAnsi="Cambria Math"/>
          <w:i/>
          <w:color w:val="666666"/>
        </w:rPr>
      </w:pPr>
      <w:r w:rsidRPr="00314739">
        <w:rPr>
          <w:rFonts w:ascii="Cambria Math" w:hAnsi="Cambria Math"/>
          <w:i/>
          <w:color w:val="666666"/>
        </w:rPr>
        <w:br/>
      </w:r>
      <m:oMathPara>
        <m:oMath>
          <m:r>
            <m:rPr>
              <m:sty m:val="p"/>
            </m:rPr>
            <w:rPr>
              <w:rFonts w:ascii="Cambria Math" w:hAnsi="Cambria Math"/>
              <w:color w:val="666666"/>
            </w:rPr>
            <m:t>Δ</m:t>
          </m:r>
          <m:r>
            <w:rPr>
              <w:rFonts w:ascii="Cambria Math" w:hAnsi="Cambria Math"/>
              <w:color w:val="666666"/>
            </w:rPr>
            <m:t>p=</m:t>
          </m:r>
          <m:sSub>
            <m:sSubPr>
              <m:ctrlPr>
                <w:rPr>
                  <w:rFonts w:ascii="Cambria Math" w:hAnsi="Cambria Math"/>
                  <w:color w:val="666666"/>
                </w:rPr>
              </m:ctrlPr>
            </m:sSubPr>
            <m:e>
              <m:r>
                <w:rPr>
                  <w:rFonts w:ascii="Cambria Math" w:hAnsi="Cambria Math"/>
                  <w:color w:val="666666"/>
                </w:rPr>
                <m:t>R</m:t>
              </m:r>
            </m:e>
            <m:sub>
              <m:r>
                <w:rPr>
                  <w:rFonts w:ascii="Cambria Math" w:hAnsi="Cambria Math"/>
                  <w:color w:val="666666"/>
                </w:rPr>
                <m:t>h</m:t>
              </m:r>
            </m:sub>
          </m:sSub>
          <m:r>
            <w:rPr>
              <w:rFonts w:ascii="Cambria Math" w:hAnsi="Cambria Math"/>
              <w:color w:val="666666"/>
            </w:rPr>
            <m:t>Q</m:t>
          </m:r>
          <m:d>
            <m:dPr>
              <m:begChr m:val="|"/>
              <m:endChr m:val="|"/>
              <m:ctrlPr>
                <w:rPr>
                  <w:rFonts w:ascii="Cambria Math" w:hAnsi="Cambria Math"/>
                  <w:color w:val="666666"/>
                </w:rPr>
              </m:ctrlPr>
            </m:dPr>
            <m:e>
              <m:r>
                <w:rPr>
                  <w:rFonts w:ascii="Cambria Math" w:hAnsi="Cambria Math"/>
                  <w:color w:val="666666"/>
                </w:rPr>
                <m:t>Q</m:t>
              </m:r>
            </m:e>
          </m:d>
          <m:r>
            <w:rPr>
              <w:rFonts w:ascii="Cambria Math" w:hAnsi="Cambria Math"/>
              <w:i/>
              <w:color w:val="666666"/>
            </w:rPr>
            <w:br/>
          </m:r>
        </m:oMath>
      </m:oMathPara>
    </w:p>
    <w:p w14:paraId="74B303B8" w14:textId="4DDB821A" w:rsidR="0066257A" w:rsidRDefault="00314739">
      <w:r>
        <w:t>Le résidu associé serait :</w:t>
      </w:r>
    </w:p>
    <w:p w14:paraId="007C2342" w14:textId="70253ED9" w:rsidR="00314739" w:rsidRPr="00314739" w:rsidRDefault="00314739" w:rsidP="00314739">
      <w:r w:rsidRPr="00314739">
        <w:rPr>
          <w:rFonts w:ascii="Cambria Math" w:hAnsi="Cambria Math"/>
          <w:i/>
          <w:color w:val="666666"/>
        </w:rPr>
        <w:br/>
      </w:r>
      <m:oMathPara>
        <m:oMath>
          <m:sSub>
            <m:sSubPr>
              <m:ctrlPr>
                <w:rPr>
                  <w:rFonts w:ascii="Cambria Math" w:hAnsi="Cambria Math"/>
                  <w:color w:val="666666"/>
                </w:rPr>
              </m:ctrlPr>
            </m:sSubPr>
            <m:e>
              <m:r>
                <w:rPr>
                  <w:rFonts w:ascii="Cambria Math" w:hAnsi="Cambria Math"/>
                  <w:color w:val="666666"/>
                </w:rPr>
                <m:t>r</m:t>
              </m:r>
            </m:e>
            <m:sub>
              <m:r>
                <w:rPr>
                  <w:rFonts w:ascii="Cambria Math" w:hAnsi="Cambria Math"/>
                  <w:color w:val="666666"/>
                </w:rPr>
                <m:t>p</m:t>
              </m:r>
            </m:sub>
          </m:sSub>
          <m:r>
            <w:rPr>
              <w:rFonts w:ascii="Cambria Math" w:hAnsi="Cambria Math"/>
              <w:color w:val="666666"/>
            </w:rPr>
            <m:t>=</m:t>
          </m:r>
          <m:r>
            <m:rPr>
              <m:sty m:val="p"/>
            </m:rPr>
            <w:rPr>
              <w:rFonts w:ascii="Cambria Math" w:hAnsi="Cambria Math"/>
              <w:color w:val="666666"/>
            </w:rPr>
            <m:t>Δ</m:t>
          </m:r>
          <m:sSub>
            <m:sSubPr>
              <m:ctrlPr>
                <w:rPr>
                  <w:rFonts w:ascii="Cambria Math" w:hAnsi="Cambria Math"/>
                  <w:color w:val="666666"/>
                </w:rPr>
              </m:ctrlPr>
            </m:sSubPr>
            <m:e>
              <m:r>
                <w:rPr>
                  <w:rFonts w:ascii="Cambria Math" w:hAnsi="Cambria Math"/>
                  <w:color w:val="666666"/>
                </w:rPr>
                <m:t>p</m:t>
              </m:r>
            </m:e>
            <m:sub>
              <m:r>
                <m:rPr>
                  <m:nor/>
                </m:rPr>
                <w:rPr>
                  <w:rFonts w:ascii="Cambria Math" w:hAnsi="Cambria Math"/>
                  <w:color w:val="666666"/>
                </w:rPr>
                <m:t>mesurée</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R</m:t>
              </m:r>
            </m:e>
            <m:sub>
              <m:r>
                <w:rPr>
                  <w:rFonts w:ascii="Cambria Math" w:hAnsi="Cambria Math"/>
                  <w:color w:val="666666"/>
                </w:rPr>
                <m:t>h</m:t>
              </m:r>
            </m:sub>
          </m:sSub>
          <m:sSub>
            <m:sSubPr>
              <m:ctrlPr>
                <w:rPr>
                  <w:rFonts w:ascii="Cambria Math" w:hAnsi="Cambria Math"/>
                  <w:color w:val="666666"/>
                </w:rPr>
              </m:ctrlPr>
            </m:sSubPr>
            <m:e>
              <m:r>
                <w:rPr>
                  <w:rFonts w:ascii="Cambria Math" w:hAnsi="Cambria Math"/>
                  <w:color w:val="666666"/>
                </w:rPr>
                <m:t>Q</m:t>
              </m:r>
            </m:e>
            <m:sub>
              <m:r>
                <m:rPr>
                  <m:nor/>
                </m:rPr>
                <w:rPr>
                  <w:rFonts w:ascii="Cambria Math" w:hAnsi="Cambria Math"/>
                  <w:color w:val="666666"/>
                </w:rPr>
                <m:t>mesuré</m:t>
              </m:r>
            </m:sub>
          </m:sSub>
          <m:d>
            <m:dPr>
              <m:begChr m:val="|"/>
              <m:endChr m:val="|"/>
              <m:ctrlPr>
                <w:rPr>
                  <w:rFonts w:ascii="Cambria Math" w:hAnsi="Cambria Math"/>
                  <w:color w:val="666666"/>
                </w:rPr>
              </m:ctrlPr>
            </m:dPr>
            <m:e>
              <m:sSub>
                <m:sSubPr>
                  <m:ctrlPr>
                    <w:rPr>
                      <w:rFonts w:ascii="Cambria Math" w:hAnsi="Cambria Math"/>
                      <w:color w:val="666666"/>
                    </w:rPr>
                  </m:ctrlPr>
                </m:sSubPr>
                <m:e>
                  <m:r>
                    <w:rPr>
                      <w:rFonts w:ascii="Cambria Math" w:hAnsi="Cambria Math"/>
                      <w:color w:val="666666"/>
                    </w:rPr>
                    <m:t>Q</m:t>
                  </m:r>
                </m:e>
                <m:sub>
                  <m:r>
                    <m:rPr>
                      <m:nor/>
                    </m:rPr>
                    <w:rPr>
                      <w:rFonts w:ascii="Cambria Math" w:hAnsi="Cambria Math"/>
                      <w:color w:val="666666"/>
                    </w:rPr>
                    <m:t>mesuré</m:t>
                  </m:r>
                </m:sub>
              </m:sSub>
            </m:e>
          </m:d>
          <m:r>
            <w:rPr>
              <w:rFonts w:ascii="Cambria Math" w:hAnsi="Cambria Math"/>
              <w:i/>
              <w:color w:val="666666"/>
            </w:rPr>
            <w:br/>
          </m:r>
        </m:oMath>
      </m:oMathPara>
      <w:proofErr w:type="gramStart"/>
      <w:r w:rsidRPr="00314739">
        <w:t>où</w:t>
      </w:r>
      <w:proofErr w:type="gramEnd"/>
      <w:r w:rsidRPr="00314739">
        <w:t xml:space="preserve"> </w:t>
      </w:r>
      <w:r>
        <w:t xml:space="preserve">Delta p </w:t>
      </w:r>
      <w:r w:rsidRPr="00314739">
        <w:t xml:space="preserve">est la différence de pression, </w:t>
      </w:r>
      <w:r>
        <w:t>Q</w:t>
      </w:r>
      <w:r w:rsidRPr="00314739">
        <w:t xml:space="preserve"> le débit volumique et </w:t>
      </w:r>
      <w:r>
        <w:t>Rh</w:t>
      </w:r>
      <w:r w:rsidRPr="00314739">
        <w:t xml:space="preserve"> un coefficient de résistance hydraulique.</w:t>
      </w:r>
    </w:p>
    <w:p w14:paraId="35615A11" w14:textId="77777777" w:rsidR="00314739" w:rsidRPr="00314739" w:rsidRDefault="00314739" w:rsidP="00314739">
      <w:r w:rsidRPr="00314739">
        <w:rPr>
          <w:b/>
          <w:bCs/>
        </w:rPr>
        <w:t>Cet exemple suppose</w:t>
      </w:r>
      <w:r w:rsidRPr="00314739">
        <w:t xml:space="preserve"> un régime où cette relation est valable, un coefficient caractérisé et une différence de pression disponible. Il ne peut pas être utilisé directement avec une seule pression absolue. Les relations définitives dépendront donc des points de mesure réellement retenus.</w:t>
      </w:r>
    </w:p>
    <w:p w14:paraId="72C915C4" w14:textId="77777777" w:rsidR="00314739" w:rsidRPr="00314739" w:rsidRDefault="00314739" w:rsidP="00314739">
      <w:r w:rsidRPr="00314739">
        <w:rPr>
          <w:b/>
          <w:bCs/>
        </w:rPr>
        <w:t>Limites du concept</w:t>
      </w:r>
    </w:p>
    <w:p w14:paraId="2754F282" w14:textId="77777777" w:rsidR="00314739" w:rsidRPr="00314739" w:rsidRDefault="00314739" w:rsidP="00314739">
      <w:r w:rsidRPr="00314739">
        <w:t>Une incohérence peut provenir d’un défaut du procédé, d’une erreur de capteur ou d’une relation mal adaptée. Le résidu ne permet pas, à lui seul, de déterminer la cause. Certains défauts peuvent également rester invisibles s’ils préservent les relations vérifiées.</w:t>
      </w:r>
    </w:p>
    <w:p w14:paraId="42EBA8B7" w14:textId="77777777" w:rsidR="00314739" w:rsidRPr="00314739" w:rsidRDefault="00314739" w:rsidP="00314739">
      <w:pPr>
        <w:pStyle w:val="En-tte"/>
        <w:tabs>
          <w:tab w:val="clear" w:pos="4703"/>
          <w:tab w:val="clear" w:pos="9406"/>
        </w:tabs>
        <w:spacing w:after="160" w:line="259" w:lineRule="auto"/>
      </w:pPr>
      <w:r w:rsidRPr="00314739">
        <w:t>Concept A — Décision par budget d’incertitude</w:t>
      </w:r>
    </w:p>
    <w:p w14:paraId="65B43EF5" w14:textId="77777777" w:rsidR="00314739" w:rsidRPr="00314739" w:rsidRDefault="00314739" w:rsidP="00314739">
      <w:pPr>
        <w:pStyle w:val="En-tte"/>
        <w:tabs>
          <w:tab w:val="clear" w:pos="4703"/>
          <w:tab w:val="clear" w:pos="9406"/>
        </w:tabs>
        <w:spacing w:after="160" w:line="259" w:lineRule="auto"/>
      </w:pPr>
    </w:p>
    <w:p w14:paraId="4EE02BF9" w14:textId="77777777" w:rsidR="00314739" w:rsidRPr="00314739" w:rsidRDefault="00314739" w:rsidP="00314739">
      <w:pPr>
        <w:pStyle w:val="En-tte"/>
        <w:tabs>
          <w:tab w:val="clear" w:pos="4703"/>
          <w:tab w:val="clear" w:pos="9406"/>
        </w:tabs>
        <w:spacing w:after="160" w:line="259" w:lineRule="auto"/>
      </w:pPr>
      <w:r w:rsidRPr="00314739">
        <w:t>Fonction : décider si un résidu traduit une anomalie, et dire avec quelle confiance.</w:t>
      </w:r>
    </w:p>
    <w:p w14:paraId="0903C9AD" w14:textId="77777777" w:rsidR="00314739" w:rsidRPr="00314739" w:rsidRDefault="00314739" w:rsidP="00314739">
      <w:pPr>
        <w:pStyle w:val="En-tte"/>
        <w:tabs>
          <w:tab w:val="clear" w:pos="4703"/>
          <w:tab w:val="clear" w:pos="9406"/>
        </w:tabs>
        <w:spacing w:after="160" w:line="259" w:lineRule="auto"/>
      </w:pPr>
    </w:p>
    <w:p w14:paraId="715C99A2" w14:textId="77777777" w:rsidR="00314739" w:rsidRPr="00314739" w:rsidRDefault="00314739" w:rsidP="00314739">
      <w:pPr>
        <w:pStyle w:val="En-tte"/>
        <w:tabs>
          <w:tab w:val="clear" w:pos="4703"/>
          <w:tab w:val="clear" w:pos="9406"/>
        </w:tabs>
        <w:spacing w:after="160" w:line="259" w:lineRule="auto"/>
      </w:pPr>
      <w:r w:rsidRPr="00314739">
        <w:t>Présentation du concept</w:t>
      </w:r>
    </w:p>
    <w:p w14:paraId="087EC701" w14:textId="77777777" w:rsidR="00314739" w:rsidRPr="00314739" w:rsidRDefault="00314739" w:rsidP="00314739">
      <w:pPr>
        <w:pStyle w:val="En-tte"/>
        <w:tabs>
          <w:tab w:val="clear" w:pos="4703"/>
          <w:tab w:val="clear" w:pos="9406"/>
        </w:tabs>
        <w:spacing w:after="160" w:line="259" w:lineRule="auto"/>
      </w:pPr>
    </w:p>
    <w:p w14:paraId="02A51B41" w14:textId="77777777" w:rsidR="00314739" w:rsidRPr="00314739" w:rsidRDefault="00314739" w:rsidP="00314739">
      <w:pPr>
        <w:pStyle w:val="En-tte"/>
        <w:tabs>
          <w:tab w:val="clear" w:pos="4703"/>
          <w:tab w:val="clear" w:pos="9406"/>
        </w:tabs>
        <w:spacing w:after="160" w:line="259" w:lineRule="auto"/>
      </w:pPr>
      <w:r w:rsidRPr="00314739">
        <w:t>Ce concept consiste à comparer chaque résidu à une limite calculée à partir des incertitudes connues. Le budget d’incertitude recense les contributions susceptibles d’expliquer un écart : incertitude des mesures, paramètres physiques, approximations du modèle et traitements numériques.</w:t>
      </w:r>
    </w:p>
    <w:p w14:paraId="13132E56" w14:textId="77777777" w:rsidR="00314739" w:rsidRPr="00314739" w:rsidRDefault="00314739" w:rsidP="00314739">
      <w:pPr>
        <w:pStyle w:val="En-tte"/>
        <w:tabs>
          <w:tab w:val="clear" w:pos="4703"/>
          <w:tab w:val="clear" w:pos="9406"/>
        </w:tabs>
        <w:spacing w:after="160" w:line="259" w:lineRule="auto"/>
      </w:pPr>
    </w:p>
    <w:p w14:paraId="61E542AE" w14:textId="77777777" w:rsidR="00314739" w:rsidRPr="00314739" w:rsidRDefault="00314739" w:rsidP="00314739">
      <w:pPr>
        <w:pStyle w:val="En-tte"/>
        <w:tabs>
          <w:tab w:val="clear" w:pos="4703"/>
          <w:tab w:val="clear" w:pos="9406"/>
        </w:tabs>
        <w:spacing w:after="160" w:line="259" w:lineRule="auto"/>
      </w:pPr>
      <w:r w:rsidRPr="00314739">
        <w:t>L’objectif est d’éviter qu’un petit écart explicable soit systématiquement interprété comme une anomalie. À l’inverse, un résidu dépassant la limite retenue indique une incompatibilité avec le comportement attendu, compte tenu du budget établi.</w:t>
      </w:r>
    </w:p>
    <w:p w14:paraId="333BE8D9" w14:textId="77777777" w:rsidR="00314739" w:rsidRPr="00314739" w:rsidRDefault="00314739" w:rsidP="00314739">
      <w:pPr>
        <w:pStyle w:val="En-tte"/>
        <w:tabs>
          <w:tab w:val="clear" w:pos="4703"/>
          <w:tab w:val="clear" w:pos="9406"/>
        </w:tabs>
        <w:spacing w:after="160" w:line="259" w:lineRule="auto"/>
      </w:pPr>
    </w:p>
    <w:p w14:paraId="1E1EB18F" w14:textId="1AF79EE5" w:rsidR="00314739" w:rsidRDefault="00314739" w:rsidP="00314739">
      <w:pPr>
        <w:pStyle w:val="En-tte"/>
        <w:tabs>
          <w:tab w:val="clear" w:pos="4703"/>
          <w:tab w:val="clear" w:pos="9406"/>
        </w:tabs>
        <w:spacing w:after="160" w:line="259" w:lineRule="auto"/>
      </w:pPr>
      <w:r w:rsidRPr="00314739">
        <w:t xml:space="preserve">Les contributions sont propagées jusqu’au résidu pour obtenir une incertitude-type composée </w:t>
      </w:r>
      <w:proofErr w:type="spellStart"/>
      <w:r>
        <w:t>Uc</w:t>
      </w:r>
      <w:proofErr w:type="spellEnd"/>
      <w:r>
        <w:t>(r)</w:t>
      </w:r>
      <w:r w:rsidRPr="00314739">
        <w:t>. Une incertitude élargie peut ensuite être définie par :</w:t>
      </w:r>
    </w:p>
    <w:p w14:paraId="061F17F5" w14:textId="1A866932" w:rsidR="00314739" w:rsidRPr="00314739" w:rsidRDefault="00314739" w:rsidP="00314739">
      <w:pPr>
        <w:pStyle w:val="En-tte"/>
      </w:pPr>
      <w:r w:rsidRPr="00314739">
        <w:rPr>
          <w:rFonts w:ascii="Cambria Math" w:hAnsi="Cambria Math"/>
          <w:i/>
          <w:color w:val="666666"/>
        </w:rPr>
        <w:br/>
      </w:r>
      <m:oMathPara>
        <m:oMath>
          <m:sSub>
            <m:sSubPr>
              <m:ctrlPr>
                <w:rPr>
                  <w:rFonts w:ascii="Cambria Math" w:hAnsi="Cambria Math"/>
                  <w:color w:val="666666"/>
                </w:rPr>
              </m:ctrlPr>
            </m:sSubPr>
            <m:e>
              <m:r>
                <w:rPr>
                  <w:rFonts w:ascii="Cambria Math" w:hAnsi="Cambria Math"/>
                  <w:color w:val="666666"/>
                </w:rPr>
                <m:t>U</m:t>
              </m:r>
            </m:e>
            <m:sub>
              <m:r>
                <w:rPr>
                  <w:rFonts w:ascii="Cambria Math" w:hAnsi="Cambria Math"/>
                  <w:color w:val="666666"/>
                </w:rPr>
                <m:t>r</m:t>
              </m:r>
            </m:sub>
          </m:sSub>
          <m:r>
            <w:rPr>
              <w:rFonts w:ascii="Cambria Math" w:hAnsi="Cambria Math"/>
              <w:color w:val="666666"/>
            </w:rPr>
            <m:t>=k </m:t>
          </m:r>
          <m:sSub>
            <m:sSubPr>
              <m:ctrlPr>
                <w:rPr>
                  <w:rFonts w:ascii="Cambria Math" w:hAnsi="Cambria Math"/>
                  <w:color w:val="666666"/>
                </w:rPr>
              </m:ctrlPr>
            </m:sSubPr>
            <m:e>
              <m:r>
                <w:rPr>
                  <w:rFonts w:ascii="Cambria Math" w:hAnsi="Cambria Math"/>
                  <w:color w:val="666666"/>
                </w:rPr>
                <m:t>u</m:t>
              </m:r>
            </m:e>
            <m:sub>
              <m:r>
                <w:rPr>
                  <w:rFonts w:ascii="Cambria Math" w:hAnsi="Cambria Math"/>
                  <w:color w:val="666666"/>
                </w:rPr>
                <m:t>c</m:t>
              </m:r>
            </m:sub>
          </m:sSub>
          <m:d>
            <m:dPr>
              <m:ctrlPr>
                <w:rPr>
                  <w:rFonts w:ascii="Cambria Math" w:hAnsi="Cambria Math"/>
                  <w:color w:val="666666"/>
                </w:rPr>
              </m:ctrlPr>
            </m:dPr>
            <m:e>
              <m:r>
                <w:rPr>
                  <w:rFonts w:ascii="Cambria Math" w:hAnsi="Cambria Math"/>
                  <w:color w:val="666666"/>
                </w:rPr>
                <m:t>r</m:t>
              </m:r>
            </m:e>
          </m:d>
          <m:r>
            <w:rPr>
              <w:rFonts w:ascii="Cambria Math" w:hAnsi="Cambria Math"/>
              <w:i/>
              <w:color w:val="666666"/>
            </w:rPr>
            <w:br/>
          </m:r>
        </m:oMath>
      </m:oMathPara>
      <w:proofErr w:type="gramStart"/>
      <w:r w:rsidRPr="00314739">
        <w:t>où  est</w:t>
      </w:r>
      <w:proofErr w:type="gramEnd"/>
      <w:r w:rsidRPr="00314739">
        <w:t xml:space="preserve"> </w:t>
      </w:r>
      <w:r>
        <w:t xml:space="preserve">k </w:t>
      </w:r>
      <w:r w:rsidRPr="00314739">
        <w:t>un facteur de couverture choisi et justifié. Cette construction suit le principe de combinaison et d’élargissement des incertitudes décrit par le NIST. Les corrélations entre contributions doivent être prises en compte lorsqu’elles existent.</w:t>
      </w:r>
    </w:p>
    <w:p w14:paraId="71E6D549" w14:textId="2A70F9FC" w:rsidR="00314739" w:rsidRPr="00314739" w:rsidRDefault="00314739" w:rsidP="00314739">
      <w:pPr>
        <w:pStyle w:val="En-tte"/>
        <w:spacing w:after="160" w:line="259" w:lineRule="auto"/>
      </w:pPr>
      <w:r w:rsidRPr="00314739">
        <w:t xml:space="preserve">L’utilisation de </w:t>
      </w:r>
      <w:r>
        <w:t>Ur</w:t>
      </w:r>
      <w:r w:rsidRPr="00314739">
        <w:t xml:space="preserve"> comme limite de décision constitue ici un </w:t>
      </w:r>
      <w:r w:rsidRPr="00314739">
        <w:rPr>
          <w:b/>
          <w:bCs/>
        </w:rPr>
        <w:t>choix de conception à valider par les essais</w:t>
      </w:r>
      <w:r w:rsidRPr="00314739">
        <w:t>.</w:t>
      </w:r>
    </w:p>
    <w:p w14:paraId="3F915611" w14:textId="77777777" w:rsidR="00314739" w:rsidRDefault="00314739" w:rsidP="00314739">
      <w:pPr>
        <w:pStyle w:val="En-tte"/>
        <w:spacing w:after="160" w:line="259" w:lineRule="auto"/>
        <w:rPr>
          <w:b/>
          <w:bCs/>
        </w:rPr>
      </w:pPr>
      <w:r w:rsidRPr="00314739">
        <w:rPr>
          <w:b/>
          <w:bCs/>
        </w:rPr>
        <w:t>Schéma de la solution</w:t>
      </w:r>
    </w:p>
    <w:p w14:paraId="7E5E53C6" w14:textId="19703A15" w:rsidR="00314739" w:rsidRPr="00314739" w:rsidRDefault="00314739" w:rsidP="00314739">
      <w:pPr>
        <w:pStyle w:val="En-tte"/>
        <w:spacing w:after="160" w:line="259" w:lineRule="auto"/>
      </w:pPr>
      <w:r>
        <w:rPr>
          <w:noProof/>
        </w:rPr>
        <w:drawing>
          <wp:inline distT="0" distB="0" distL="0" distR="0" wp14:anchorId="0170ECFB" wp14:editId="2CC44CF7">
            <wp:extent cx="5972810" cy="3284220"/>
            <wp:effectExtent l="0" t="0" r="8890" b="0"/>
            <wp:docPr id="177506148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061480" name="Image 1775061480"/>
                    <pic:cNvPicPr/>
                  </pic:nvPicPr>
                  <pic:blipFill>
                    <a:blip r:embed="rId8">
                      <a:extLst>
                        <a:ext uri="{28A0092B-C50C-407E-A947-70E740481C1C}">
                          <a14:useLocalDpi xmlns:a14="http://schemas.microsoft.com/office/drawing/2010/main" val="0"/>
                        </a:ext>
                      </a:extLst>
                    </a:blip>
                    <a:stretch>
                      <a:fillRect/>
                    </a:stretch>
                  </pic:blipFill>
                  <pic:spPr>
                    <a:xfrm>
                      <a:off x="0" y="0"/>
                      <a:ext cx="5972810" cy="3284220"/>
                    </a:xfrm>
                    <a:prstGeom prst="rect">
                      <a:avLst/>
                    </a:prstGeom>
                  </pic:spPr>
                </pic:pic>
              </a:graphicData>
            </a:graphic>
          </wp:inline>
        </w:drawing>
      </w:r>
    </w:p>
    <w:p w14:paraId="0E225CB2" w14:textId="2EB78B8D" w:rsidR="00314739" w:rsidRDefault="0078589D" w:rsidP="00314739">
      <w:pPr>
        <w:pStyle w:val="En-tte"/>
        <w:tabs>
          <w:tab w:val="clear" w:pos="4703"/>
          <w:tab w:val="clear" w:pos="9406"/>
        </w:tabs>
        <w:spacing w:after="160" w:line="259" w:lineRule="auto"/>
      </w:pPr>
      <w:r>
        <w:lastRenderedPageBreak/>
        <w:t xml:space="preserve">Description des composants </w:t>
      </w:r>
    </w:p>
    <w:tbl>
      <w:tblPr>
        <w:tblStyle w:val="Grilledutableau"/>
        <w:tblW w:w="0" w:type="auto"/>
        <w:tblLook w:val="04A0" w:firstRow="1" w:lastRow="0" w:firstColumn="1" w:lastColumn="0" w:noHBand="0" w:noVBand="1"/>
      </w:tblPr>
      <w:tblGrid>
        <w:gridCol w:w="4698"/>
        <w:gridCol w:w="4698"/>
      </w:tblGrid>
      <w:tr w:rsidR="0078589D" w14:paraId="33FE0BE2" w14:textId="77777777" w:rsidTr="0078589D">
        <w:tc>
          <w:tcPr>
            <w:tcW w:w="4698" w:type="dxa"/>
          </w:tcPr>
          <w:p w14:paraId="2AF50144" w14:textId="40FB66D0" w:rsidR="0078589D" w:rsidRDefault="0078589D" w:rsidP="00314739">
            <w:pPr>
              <w:pStyle w:val="En-tte"/>
              <w:tabs>
                <w:tab w:val="clear" w:pos="4703"/>
                <w:tab w:val="clear" w:pos="9406"/>
              </w:tabs>
              <w:spacing w:after="160" w:line="259" w:lineRule="auto"/>
            </w:pPr>
            <w:r w:rsidRPr="0078589D">
              <w:t>Composant</w:t>
            </w:r>
          </w:p>
        </w:tc>
        <w:tc>
          <w:tcPr>
            <w:tcW w:w="4698" w:type="dxa"/>
          </w:tcPr>
          <w:p w14:paraId="143E4587" w14:textId="3E6DB70C" w:rsidR="0078589D" w:rsidRDefault="0078589D" w:rsidP="00314739">
            <w:pPr>
              <w:pStyle w:val="En-tte"/>
              <w:tabs>
                <w:tab w:val="clear" w:pos="4703"/>
                <w:tab w:val="clear" w:pos="9406"/>
              </w:tabs>
              <w:spacing w:after="160" w:line="259" w:lineRule="auto"/>
            </w:pPr>
            <w:r w:rsidRPr="0078589D">
              <w:t>Rôle</w:t>
            </w:r>
          </w:p>
        </w:tc>
      </w:tr>
      <w:tr w:rsidR="0078589D" w14:paraId="4091D2A8" w14:textId="77777777" w:rsidTr="0078589D">
        <w:tc>
          <w:tcPr>
            <w:tcW w:w="4698" w:type="dxa"/>
          </w:tcPr>
          <w:p w14:paraId="341AADA7" w14:textId="200DDE73" w:rsidR="0078589D" w:rsidRDefault="0078589D" w:rsidP="00314739">
            <w:pPr>
              <w:pStyle w:val="En-tte"/>
              <w:tabs>
                <w:tab w:val="clear" w:pos="4703"/>
                <w:tab w:val="clear" w:pos="9406"/>
              </w:tabs>
              <w:spacing w:after="160" w:line="259" w:lineRule="auto"/>
            </w:pPr>
            <w:r>
              <w:t>Réception des résidus</w:t>
            </w:r>
          </w:p>
        </w:tc>
        <w:tc>
          <w:tcPr>
            <w:tcW w:w="4698" w:type="dxa"/>
          </w:tcPr>
          <w:p w14:paraId="7E849D41" w14:textId="06E709FD" w:rsidR="0078589D" w:rsidRDefault="0078589D" w:rsidP="00314739">
            <w:pPr>
              <w:pStyle w:val="En-tte"/>
              <w:tabs>
                <w:tab w:val="clear" w:pos="4703"/>
                <w:tab w:val="clear" w:pos="9406"/>
              </w:tabs>
              <w:spacing w:after="160" w:line="259" w:lineRule="auto"/>
            </w:pPr>
            <w:r w:rsidRPr="0078589D">
              <w:t>Recevoir les écarts calculés, les variables concernées et la qualité des données</w:t>
            </w:r>
          </w:p>
        </w:tc>
      </w:tr>
      <w:tr w:rsidR="0078589D" w14:paraId="1DFC4F9D" w14:textId="77777777" w:rsidTr="0078589D">
        <w:tc>
          <w:tcPr>
            <w:tcW w:w="4698" w:type="dxa"/>
          </w:tcPr>
          <w:p w14:paraId="354B3D3D" w14:textId="76F3C6AE" w:rsidR="0078589D" w:rsidRDefault="0078589D" w:rsidP="00314739">
            <w:pPr>
              <w:pStyle w:val="En-tte"/>
              <w:tabs>
                <w:tab w:val="clear" w:pos="4703"/>
                <w:tab w:val="clear" w:pos="9406"/>
              </w:tabs>
              <w:spacing w:after="160" w:line="259" w:lineRule="auto"/>
            </w:pPr>
            <w:r>
              <w:t>Budget d’incertitude</w:t>
            </w:r>
          </w:p>
        </w:tc>
        <w:tc>
          <w:tcPr>
            <w:tcW w:w="4698" w:type="dxa"/>
          </w:tcPr>
          <w:p w14:paraId="22792E92" w14:textId="70EB2BF3" w:rsidR="0078589D" w:rsidRDefault="0078589D" w:rsidP="00314739">
            <w:pPr>
              <w:pStyle w:val="En-tte"/>
              <w:tabs>
                <w:tab w:val="clear" w:pos="4703"/>
                <w:tab w:val="clear" w:pos="9406"/>
              </w:tabs>
              <w:spacing w:after="160" w:line="259" w:lineRule="auto"/>
            </w:pPr>
            <w:r w:rsidRPr="0078589D">
              <w:t>Recenser les contributions, leurs valeurs, leur origine et leurs éventuelles corrélations.</w:t>
            </w:r>
          </w:p>
        </w:tc>
      </w:tr>
      <w:tr w:rsidR="0078589D" w14:paraId="01631E0C" w14:textId="77777777" w:rsidTr="0078589D">
        <w:tc>
          <w:tcPr>
            <w:tcW w:w="4698" w:type="dxa"/>
          </w:tcPr>
          <w:p w14:paraId="7386F2D4" w14:textId="1A905045" w:rsidR="0078589D" w:rsidRDefault="0078589D" w:rsidP="00314739">
            <w:pPr>
              <w:pStyle w:val="En-tte"/>
              <w:tabs>
                <w:tab w:val="clear" w:pos="4703"/>
                <w:tab w:val="clear" w:pos="9406"/>
              </w:tabs>
              <w:spacing w:after="160" w:line="259" w:lineRule="auto"/>
            </w:pPr>
            <w:r>
              <w:t>Calculateur</w:t>
            </w:r>
            <w:r w:rsidR="00F42FB5">
              <w:t xml:space="preserve"> d’incertitude</w:t>
            </w:r>
          </w:p>
        </w:tc>
        <w:tc>
          <w:tcPr>
            <w:tcW w:w="4698" w:type="dxa"/>
          </w:tcPr>
          <w:p w14:paraId="1B1EA315" w14:textId="45A4D095" w:rsidR="0078589D" w:rsidRDefault="00F42FB5" w:rsidP="00314739">
            <w:pPr>
              <w:pStyle w:val="En-tte"/>
              <w:tabs>
                <w:tab w:val="clear" w:pos="4703"/>
                <w:tab w:val="clear" w:pos="9406"/>
              </w:tabs>
              <w:spacing w:after="160" w:line="259" w:lineRule="auto"/>
            </w:pPr>
            <w:r w:rsidRPr="00F42FB5">
              <w:t>Propager les contributions pour obtenir une incertitude exprimée dans la même unité que le résidu.</w:t>
            </w:r>
          </w:p>
        </w:tc>
      </w:tr>
      <w:tr w:rsidR="0078589D" w14:paraId="3164F54F" w14:textId="77777777" w:rsidTr="0078589D">
        <w:tc>
          <w:tcPr>
            <w:tcW w:w="4698" w:type="dxa"/>
          </w:tcPr>
          <w:p w14:paraId="5284556D" w14:textId="2451BE9F" w:rsidR="0078589D" w:rsidRDefault="00F42FB5" w:rsidP="00314739">
            <w:pPr>
              <w:pStyle w:val="En-tte"/>
              <w:tabs>
                <w:tab w:val="clear" w:pos="4703"/>
                <w:tab w:val="clear" w:pos="9406"/>
              </w:tabs>
              <w:spacing w:after="160" w:line="259" w:lineRule="auto"/>
            </w:pPr>
            <w:r>
              <w:t>Module de décision</w:t>
            </w:r>
          </w:p>
        </w:tc>
        <w:tc>
          <w:tcPr>
            <w:tcW w:w="4698" w:type="dxa"/>
          </w:tcPr>
          <w:p w14:paraId="39CE10BD" w14:textId="27A318C2" w:rsidR="0078589D" w:rsidRDefault="00F42FB5" w:rsidP="00314739">
            <w:pPr>
              <w:pStyle w:val="En-tte"/>
              <w:tabs>
                <w:tab w:val="clear" w:pos="4703"/>
                <w:tab w:val="clear" w:pos="9406"/>
              </w:tabs>
              <w:spacing w:after="160" w:line="259" w:lineRule="auto"/>
            </w:pPr>
            <w:r w:rsidRPr="00F42FB5">
              <w:t xml:space="preserve">Comparer </w:t>
            </w:r>
            <w:r w:rsidRPr="00F42FB5">
              <w:t>le résidu à la limite retenu</w:t>
            </w:r>
            <w:r w:rsidRPr="00F42FB5">
              <w:t xml:space="preserve"> et produire le résultat.</w:t>
            </w:r>
          </w:p>
        </w:tc>
      </w:tr>
      <w:tr w:rsidR="0078589D" w14:paraId="134C16A3" w14:textId="77777777" w:rsidTr="0078589D">
        <w:tc>
          <w:tcPr>
            <w:tcW w:w="4698" w:type="dxa"/>
          </w:tcPr>
          <w:p w14:paraId="09239897" w14:textId="04152886" w:rsidR="0078589D" w:rsidRDefault="00F42FB5" w:rsidP="00314739">
            <w:pPr>
              <w:pStyle w:val="En-tte"/>
              <w:tabs>
                <w:tab w:val="clear" w:pos="4703"/>
                <w:tab w:val="clear" w:pos="9406"/>
              </w:tabs>
              <w:spacing w:after="160" w:line="259" w:lineRule="auto"/>
            </w:pPr>
            <w:r>
              <w:t>Gestion de l’incertitude</w:t>
            </w:r>
          </w:p>
        </w:tc>
        <w:tc>
          <w:tcPr>
            <w:tcW w:w="4698" w:type="dxa"/>
          </w:tcPr>
          <w:p w14:paraId="35A197DF" w14:textId="644B9843" w:rsidR="0078589D" w:rsidRDefault="00F42FB5" w:rsidP="00314739">
            <w:pPr>
              <w:pStyle w:val="En-tte"/>
              <w:tabs>
                <w:tab w:val="clear" w:pos="4703"/>
                <w:tab w:val="clear" w:pos="9406"/>
              </w:tabs>
              <w:spacing w:after="160" w:line="259" w:lineRule="auto"/>
            </w:pPr>
            <w:r w:rsidRPr="00F42FB5">
              <w:t>Suspendre la conclusion lorsque les données ou le budget ne permettent pas une comparaison fiable.</w:t>
            </w:r>
          </w:p>
        </w:tc>
      </w:tr>
      <w:tr w:rsidR="00F42FB5" w14:paraId="1457D229" w14:textId="77777777" w:rsidTr="0078589D">
        <w:tc>
          <w:tcPr>
            <w:tcW w:w="4698" w:type="dxa"/>
          </w:tcPr>
          <w:p w14:paraId="761EEB7E" w14:textId="3DC5B549" w:rsidR="00F42FB5" w:rsidRDefault="00F42FB5" w:rsidP="00314739">
            <w:pPr>
              <w:pStyle w:val="En-tte"/>
              <w:tabs>
                <w:tab w:val="clear" w:pos="4703"/>
                <w:tab w:val="clear" w:pos="9406"/>
              </w:tabs>
              <w:spacing w:after="160" w:line="259" w:lineRule="auto"/>
            </w:pPr>
            <w:r>
              <w:t>Explication du résultat</w:t>
            </w:r>
          </w:p>
        </w:tc>
        <w:tc>
          <w:tcPr>
            <w:tcW w:w="4698" w:type="dxa"/>
          </w:tcPr>
          <w:p w14:paraId="1B3D28ED" w14:textId="6BBFFFA7" w:rsidR="00F42FB5" w:rsidRPr="00F42FB5" w:rsidRDefault="00F42FB5" w:rsidP="00314739">
            <w:pPr>
              <w:pStyle w:val="En-tte"/>
              <w:tabs>
                <w:tab w:val="clear" w:pos="4703"/>
                <w:tab w:val="clear" w:pos="9406"/>
              </w:tabs>
              <w:spacing w:after="160" w:line="259" w:lineRule="auto"/>
            </w:pPr>
            <w:r w:rsidRPr="00F42FB5">
              <w:t>Fournir le résidu, la limite, les variables impliquées et les conditions de validité.</w:t>
            </w:r>
          </w:p>
        </w:tc>
      </w:tr>
    </w:tbl>
    <w:p w14:paraId="6661A99D" w14:textId="77777777" w:rsidR="0078589D" w:rsidRDefault="0078589D" w:rsidP="00314739">
      <w:pPr>
        <w:pStyle w:val="En-tte"/>
        <w:tabs>
          <w:tab w:val="clear" w:pos="4703"/>
          <w:tab w:val="clear" w:pos="9406"/>
        </w:tabs>
        <w:spacing w:after="160" w:line="259" w:lineRule="auto"/>
      </w:pPr>
    </w:p>
    <w:p w14:paraId="5BB5A53E" w14:textId="77777777" w:rsidR="00F42FB5" w:rsidRPr="00F42FB5" w:rsidRDefault="00F42FB5" w:rsidP="00F42FB5">
      <w:pPr>
        <w:pStyle w:val="En-tte"/>
        <w:spacing w:after="160" w:line="259" w:lineRule="auto"/>
      </w:pPr>
      <w:r w:rsidRPr="00F42FB5">
        <w:rPr>
          <w:b/>
          <w:bCs/>
        </w:rPr>
        <w:t>Description du fonctionnement</w:t>
      </w:r>
    </w:p>
    <w:p w14:paraId="6291191B" w14:textId="77777777" w:rsidR="00F42FB5" w:rsidRPr="00F42FB5" w:rsidRDefault="00F42FB5" w:rsidP="00F42FB5">
      <w:pPr>
        <w:pStyle w:val="En-tte"/>
        <w:numPr>
          <w:ilvl w:val="0"/>
          <w:numId w:val="2"/>
        </w:numPr>
        <w:spacing w:after="160" w:line="259" w:lineRule="auto"/>
      </w:pPr>
      <w:r w:rsidRPr="00F42FB5">
        <w:t>Le système reçoit un résidu et vérifie que les données ayant servi à son calcul sont utilisables.</w:t>
      </w:r>
    </w:p>
    <w:p w14:paraId="737D1BFD" w14:textId="77777777" w:rsidR="00F42FB5" w:rsidRPr="00F42FB5" w:rsidRDefault="00F42FB5" w:rsidP="00F42FB5">
      <w:pPr>
        <w:pStyle w:val="En-tte"/>
        <w:numPr>
          <w:ilvl w:val="0"/>
          <w:numId w:val="2"/>
        </w:numPr>
        <w:spacing w:after="160" w:line="259" w:lineRule="auto"/>
      </w:pPr>
      <w:r w:rsidRPr="00F42FB5">
        <w:t>Il sélectionne le budget correspondant à la relation physique et aux conditions de fonctionnement.</w:t>
      </w:r>
    </w:p>
    <w:p w14:paraId="21A7AA6E" w14:textId="77777777" w:rsidR="00F42FB5" w:rsidRPr="00F42FB5" w:rsidRDefault="00F42FB5" w:rsidP="00F42FB5">
      <w:pPr>
        <w:pStyle w:val="En-tte"/>
        <w:numPr>
          <w:ilvl w:val="0"/>
          <w:numId w:val="2"/>
        </w:numPr>
        <w:spacing w:after="160" w:line="259" w:lineRule="auto"/>
      </w:pPr>
      <w:r w:rsidRPr="00F42FB5">
        <w:t>Il calcule l’incertitude du résidu et la limite de décision.</w:t>
      </w:r>
    </w:p>
    <w:p w14:paraId="1723C7B0" w14:textId="1705121E" w:rsidR="00F42FB5" w:rsidRDefault="00F42FB5" w:rsidP="00314739">
      <w:pPr>
        <w:pStyle w:val="En-tte"/>
        <w:numPr>
          <w:ilvl w:val="0"/>
          <w:numId w:val="2"/>
        </w:numPr>
        <w:spacing w:after="160" w:line="259" w:lineRule="auto"/>
      </w:pPr>
      <w:r w:rsidRPr="00F42FB5">
        <w:t>Il applique la règle proposée :</w:t>
      </w:r>
    </w:p>
    <w:tbl>
      <w:tblPr>
        <w:tblStyle w:val="Grilledutableau"/>
        <w:tblW w:w="0" w:type="auto"/>
        <w:tblInd w:w="360" w:type="dxa"/>
        <w:tblLook w:val="04A0" w:firstRow="1" w:lastRow="0" w:firstColumn="1" w:lastColumn="0" w:noHBand="0" w:noVBand="1"/>
      </w:tblPr>
      <w:tblGrid>
        <w:gridCol w:w="4516"/>
        <w:gridCol w:w="4520"/>
      </w:tblGrid>
      <w:tr w:rsidR="00F42FB5" w14:paraId="789AB635" w14:textId="77777777" w:rsidTr="00F42FB5">
        <w:tc>
          <w:tcPr>
            <w:tcW w:w="4698" w:type="dxa"/>
          </w:tcPr>
          <w:p w14:paraId="0D394264" w14:textId="042DFE86" w:rsidR="00F42FB5" w:rsidRDefault="00F42FB5" w:rsidP="00F42FB5">
            <w:pPr>
              <w:pStyle w:val="En-tte"/>
              <w:spacing w:after="160" w:line="259" w:lineRule="auto"/>
            </w:pPr>
            <w:r>
              <w:t>Condition</w:t>
            </w:r>
          </w:p>
        </w:tc>
        <w:tc>
          <w:tcPr>
            <w:tcW w:w="4698" w:type="dxa"/>
          </w:tcPr>
          <w:p w14:paraId="68B4BBEF" w14:textId="593E6FEB" w:rsidR="00F42FB5" w:rsidRDefault="00F42FB5" w:rsidP="00F42FB5">
            <w:pPr>
              <w:pStyle w:val="En-tte"/>
              <w:spacing w:after="160" w:line="259" w:lineRule="auto"/>
            </w:pPr>
            <w:r>
              <w:t>Résultat</w:t>
            </w:r>
          </w:p>
        </w:tc>
      </w:tr>
      <w:tr w:rsidR="00F42FB5" w14:paraId="00F3490D" w14:textId="77777777" w:rsidTr="00F42FB5">
        <w:tc>
          <w:tcPr>
            <w:tcW w:w="4698" w:type="dxa"/>
          </w:tcPr>
          <w:p w14:paraId="624D0F28" w14:textId="701550BE" w:rsidR="00F42FB5" w:rsidRDefault="00F42FB5" w:rsidP="00F42FB5">
            <w:pPr>
              <w:pStyle w:val="En-tte"/>
              <w:spacing w:after="160" w:line="259" w:lineRule="auto"/>
            </w:pPr>
            <w:r>
              <w:t>Données ou budget non exploitables</w:t>
            </w:r>
          </w:p>
        </w:tc>
        <w:tc>
          <w:tcPr>
            <w:tcW w:w="4698" w:type="dxa"/>
          </w:tcPr>
          <w:p w14:paraId="414B4DC5" w14:textId="2A7A9C19" w:rsidR="00F42FB5" w:rsidRDefault="00F42FB5" w:rsidP="00F42FB5">
            <w:pPr>
              <w:pStyle w:val="En-tte"/>
              <w:spacing w:after="160" w:line="259" w:lineRule="auto"/>
            </w:pPr>
            <w:r w:rsidRPr="00F42FB5">
              <w:rPr>
                <w:b/>
                <w:bCs/>
              </w:rPr>
              <w:t>Incertain</w:t>
            </w:r>
            <w:r w:rsidRPr="00F42FB5">
              <w:t xml:space="preserve"> : aucune conclusion fiable.</w:t>
            </w:r>
          </w:p>
        </w:tc>
      </w:tr>
      <w:tr w:rsidR="00F42FB5" w14:paraId="119B0792" w14:textId="77777777" w:rsidTr="00F42FB5">
        <w:tc>
          <w:tcPr>
            <w:tcW w:w="4698" w:type="dxa"/>
          </w:tcPr>
          <w:p w14:paraId="104619F8" w14:textId="15C5F595" w:rsidR="00F42FB5" w:rsidRDefault="00631DBD" w:rsidP="00F42FB5">
            <w:pPr>
              <w:pStyle w:val="En-tte"/>
              <w:spacing w:after="160" w:line="259" w:lineRule="auto"/>
            </w:pPr>
            <m:oMathPara>
              <m:oMath>
                <m:d>
                  <m:dPr>
                    <m:begChr m:val="|"/>
                    <m:endChr m:val="|"/>
                    <m:ctrlPr>
                      <w:rPr>
                        <w:rFonts w:ascii="Cambria Math" w:hAnsi="Cambria Math"/>
                        <w:color w:val="666666"/>
                      </w:rPr>
                    </m:ctrlPr>
                  </m:dPr>
                  <m:e>
                    <m:r>
                      <w:rPr>
                        <w:rFonts w:ascii="Cambria Math" w:hAnsi="Cambria Math"/>
                        <w:color w:val="666666"/>
                      </w:rPr>
                      <m:t>r</m:t>
                    </m:r>
                  </m:e>
                </m:d>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U</m:t>
                    </m:r>
                  </m:e>
                  <m:sub>
                    <m:r>
                      <w:rPr>
                        <w:rFonts w:ascii="Cambria Math" w:hAnsi="Cambria Math"/>
                        <w:color w:val="666666"/>
                      </w:rPr>
                      <m:t>r</m:t>
                    </m:r>
                  </m:sub>
                </m:sSub>
              </m:oMath>
            </m:oMathPara>
          </w:p>
        </w:tc>
        <w:tc>
          <w:tcPr>
            <w:tcW w:w="4698" w:type="dxa"/>
          </w:tcPr>
          <w:p w14:paraId="6C5EF2F1" w14:textId="7FEA1865" w:rsidR="00F42FB5" w:rsidRDefault="00F42FB5" w:rsidP="00F42FB5">
            <w:pPr>
              <w:pStyle w:val="En-tte"/>
              <w:spacing w:after="160" w:line="259" w:lineRule="auto"/>
            </w:pPr>
            <w:r w:rsidRPr="00F42FB5">
              <w:rPr>
                <w:b/>
                <w:bCs/>
              </w:rPr>
              <w:t>Compatible avec les incertitudes</w:t>
            </w:r>
            <w:r w:rsidRPr="00F42FB5">
              <w:t xml:space="preserve"> : aucune anomalie mise en évidence par ce test.</w:t>
            </w:r>
          </w:p>
        </w:tc>
      </w:tr>
      <w:tr w:rsidR="00F42FB5" w14:paraId="198100B4" w14:textId="77777777" w:rsidTr="00F42FB5">
        <w:tc>
          <w:tcPr>
            <w:tcW w:w="4698" w:type="dxa"/>
          </w:tcPr>
          <w:p w14:paraId="037E193A" w14:textId="09D64091" w:rsidR="00F42FB5" w:rsidRDefault="00631DBD" w:rsidP="00F42FB5">
            <w:pPr>
              <w:pStyle w:val="En-tte"/>
              <w:spacing w:after="160" w:line="259" w:lineRule="auto"/>
            </w:pPr>
            <m:oMathPara>
              <m:oMath>
                <m:d>
                  <m:dPr>
                    <m:begChr m:val="|"/>
                    <m:endChr m:val="|"/>
                    <m:ctrlPr>
                      <w:rPr>
                        <w:rFonts w:ascii="Cambria Math" w:hAnsi="Cambria Math"/>
                        <w:color w:val="666666"/>
                      </w:rPr>
                    </m:ctrlPr>
                  </m:dPr>
                  <m:e>
                    <m:r>
                      <w:rPr>
                        <w:rFonts w:ascii="Cambria Math" w:hAnsi="Cambria Math"/>
                        <w:color w:val="666666"/>
                      </w:rPr>
                      <m:t>r</m:t>
                    </m:r>
                  </m:e>
                </m:d>
                <m:r>
                  <w:rPr>
                    <w:rFonts w:ascii="Cambria Math" w:hAnsi="Cambria Math"/>
                    <w:color w:val="666666"/>
                  </w:rPr>
                  <m:t>&gt;</m:t>
                </m:r>
                <m:sSub>
                  <m:sSubPr>
                    <m:ctrlPr>
                      <w:rPr>
                        <w:rFonts w:ascii="Cambria Math" w:hAnsi="Cambria Math"/>
                        <w:color w:val="666666"/>
                      </w:rPr>
                    </m:ctrlPr>
                  </m:sSubPr>
                  <m:e>
                    <m:r>
                      <w:rPr>
                        <w:rFonts w:ascii="Cambria Math" w:hAnsi="Cambria Math"/>
                        <w:color w:val="666666"/>
                      </w:rPr>
                      <m:t>U</m:t>
                    </m:r>
                  </m:e>
                  <m:sub>
                    <m:r>
                      <w:rPr>
                        <w:rFonts w:ascii="Cambria Math" w:hAnsi="Cambria Math"/>
                        <w:color w:val="666666"/>
                      </w:rPr>
                      <m:t>r</m:t>
                    </m:r>
                  </m:sub>
                </m:sSub>
              </m:oMath>
            </m:oMathPara>
          </w:p>
        </w:tc>
        <w:tc>
          <w:tcPr>
            <w:tcW w:w="4698" w:type="dxa"/>
          </w:tcPr>
          <w:p w14:paraId="179A677E" w14:textId="5C7A5AF9" w:rsidR="00F42FB5" w:rsidRDefault="00F42FB5" w:rsidP="00F42FB5">
            <w:pPr>
              <w:pStyle w:val="En-tte"/>
              <w:spacing w:after="160" w:line="259" w:lineRule="auto"/>
            </w:pPr>
            <w:r w:rsidRPr="00F42FB5">
              <w:rPr>
                <w:b/>
                <w:bCs/>
              </w:rPr>
              <w:t>Anomalie signalée</w:t>
            </w:r>
            <w:r w:rsidRPr="00F42FB5">
              <w:t xml:space="preserve"> : écart non expliqué par le budget retenu.</w:t>
            </w:r>
          </w:p>
        </w:tc>
      </w:tr>
    </w:tbl>
    <w:p w14:paraId="3DBDB887" w14:textId="77777777" w:rsidR="00F42FB5" w:rsidRDefault="00F42FB5" w:rsidP="00F42FB5">
      <w:pPr>
        <w:pStyle w:val="En-tte"/>
        <w:spacing w:after="160" w:line="259" w:lineRule="auto"/>
        <w:ind w:left="360"/>
      </w:pPr>
    </w:p>
    <w:p w14:paraId="5C4310F7" w14:textId="77777777" w:rsidR="00631DBD" w:rsidRPr="00631DBD" w:rsidRDefault="00631DBD" w:rsidP="00631DBD">
      <w:pPr>
        <w:pStyle w:val="En-tte"/>
        <w:spacing w:after="160" w:line="259" w:lineRule="auto"/>
        <w:ind w:left="720"/>
      </w:pPr>
      <w:r w:rsidRPr="00631DBD">
        <w:t>Il transmet la décision et sa justification à l’interface, sans commander la boucle.</w:t>
      </w:r>
    </w:p>
    <w:p w14:paraId="13EEBA76" w14:textId="77777777" w:rsidR="00631DBD" w:rsidRPr="00631DBD" w:rsidRDefault="00631DBD" w:rsidP="00631DBD">
      <w:pPr>
        <w:pStyle w:val="En-tte"/>
        <w:spacing w:after="160" w:line="259" w:lineRule="auto"/>
        <w:ind w:left="360"/>
      </w:pPr>
      <w:r w:rsidRPr="00631DBD">
        <w:rPr>
          <w:b/>
          <w:bCs/>
        </w:rPr>
        <w:t>Exemple illustratif</w:t>
      </w:r>
    </w:p>
    <w:p w14:paraId="4873F577" w14:textId="77777777" w:rsidR="00631DBD" w:rsidRPr="00631DBD" w:rsidRDefault="00631DBD" w:rsidP="00631DBD">
      <w:pPr>
        <w:pStyle w:val="En-tte"/>
        <w:spacing w:after="160" w:line="259" w:lineRule="auto"/>
        <w:ind w:left="360"/>
      </w:pPr>
      <w:r w:rsidRPr="00631DBD">
        <w:t xml:space="preserve">Supposons qu’un résidu de pression possède une limite de décision de </w:t>
      </w:r>
      <w:r w:rsidRPr="00631DBD">
        <w:rPr>
          <w:b/>
          <w:bCs/>
        </w:rPr>
        <w:t>5 kPa</w:t>
      </w:r>
      <w:r w:rsidRPr="00631DBD">
        <w:t>, obtenue à partir d’un budget validé :</w:t>
      </w:r>
    </w:p>
    <w:p w14:paraId="239CC3B4" w14:textId="77777777" w:rsidR="00631DBD" w:rsidRPr="00631DBD" w:rsidRDefault="00631DBD" w:rsidP="00631DBD">
      <w:pPr>
        <w:pStyle w:val="En-tte"/>
        <w:numPr>
          <w:ilvl w:val="0"/>
          <w:numId w:val="4"/>
        </w:numPr>
        <w:spacing w:after="160" w:line="259" w:lineRule="auto"/>
      </w:pPr>
      <w:r w:rsidRPr="00631DBD">
        <w:lastRenderedPageBreak/>
        <w:t xml:space="preserve">Un résidu de </w:t>
      </w:r>
      <w:r w:rsidRPr="00631DBD">
        <w:rPr>
          <w:b/>
          <w:bCs/>
        </w:rPr>
        <w:t>3 kPa</w:t>
      </w:r>
      <w:r w:rsidRPr="00631DBD">
        <w:t xml:space="preserve"> reste compatible avec les incertitudes.</w:t>
      </w:r>
    </w:p>
    <w:p w14:paraId="500C9254" w14:textId="77777777" w:rsidR="00631DBD" w:rsidRPr="00631DBD" w:rsidRDefault="00631DBD" w:rsidP="00631DBD">
      <w:pPr>
        <w:pStyle w:val="En-tte"/>
        <w:numPr>
          <w:ilvl w:val="0"/>
          <w:numId w:val="4"/>
        </w:numPr>
        <w:spacing w:after="160" w:line="259" w:lineRule="auto"/>
      </w:pPr>
      <w:r w:rsidRPr="00631DBD">
        <w:t xml:space="preserve">Un résidu de </w:t>
      </w:r>
      <w:r w:rsidRPr="00631DBD">
        <w:rPr>
          <w:b/>
          <w:bCs/>
        </w:rPr>
        <w:t>8 kPa</w:t>
      </w:r>
      <w:r w:rsidRPr="00631DBD">
        <w:t xml:space="preserve"> dépasse la limite et déclenche un signalement.</w:t>
      </w:r>
    </w:p>
    <w:p w14:paraId="0D56745D" w14:textId="77777777" w:rsidR="00631DBD" w:rsidRPr="00631DBD" w:rsidRDefault="00631DBD" w:rsidP="00631DBD">
      <w:pPr>
        <w:pStyle w:val="En-tte"/>
        <w:numPr>
          <w:ilvl w:val="0"/>
          <w:numId w:val="4"/>
        </w:numPr>
        <w:spacing w:after="160" w:line="259" w:lineRule="auto"/>
      </w:pPr>
      <w:r w:rsidRPr="00631DBD">
        <w:t xml:space="preserve">Si une mesure nécessaire manque, le résultat devient </w:t>
      </w:r>
      <w:r w:rsidRPr="00631DBD">
        <w:rPr>
          <w:b/>
          <w:bCs/>
        </w:rPr>
        <w:t>incertain</w:t>
      </w:r>
      <w:r w:rsidRPr="00631DBD">
        <w:t>.</w:t>
      </w:r>
    </w:p>
    <w:p w14:paraId="48BAD114" w14:textId="77777777" w:rsidR="00631DBD" w:rsidRPr="00631DBD" w:rsidRDefault="00631DBD" w:rsidP="00631DBD">
      <w:pPr>
        <w:pStyle w:val="En-tte"/>
        <w:spacing w:after="160" w:line="259" w:lineRule="auto"/>
        <w:ind w:left="360"/>
      </w:pPr>
      <w:r w:rsidRPr="00631DBD">
        <w:t>Ces valeurs illustrent le mécanisme ; elles ne sont pas des seuils fixés pour votre projet.</w:t>
      </w:r>
    </w:p>
    <w:p w14:paraId="41F3B612" w14:textId="77777777" w:rsidR="00631DBD" w:rsidRPr="00631DBD" w:rsidRDefault="00631DBD" w:rsidP="00631DBD">
      <w:pPr>
        <w:pStyle w:val="En-tte"/>
        <w:spacing w:after="160" w:line="259" w:lineRule="auto"/>
        <w:ind w:left="360"/>
      </w:pPr>
      <w:r w:rsidRPr="00631DBD">
        <w:rPr>
          <w:b/>
          <w:bCs/>
        </w:rPr>
        <w:t>Expression de la confiance et limites</w:t>
      </w:r>
    </w:p>
    <w:p w14:paraId="3D9CA728" w14:textId="77777777" w:rsidR="00631DBD" w:rsidRPr="00631DBD" w:rsidRDefault="00631DBD" w:rsidP="00631DBD">
      <w:pPr>
        <w:pStyle w:val="En-tte"/>
        <w:spacing w:after="160" w:line="259" w:lineRule="auto"/>
        <w:ind w:left="360"/>
      </w:pPr>
      <w:r w:rsidRPr="00631DBD">
        <w:t xml:space="preserve">L’interface présente le résidu, son incertitude et, lorsqu’il est justifié, le niveau de couverture associé. </w:t>
      </w:r>
      <w:r w:rsidRPr="00631DBD">
        <w:rPr>
          <w:b/>
          <w:bCs/>
        </w:rPr>
        <w:t>Un intervalle de couverture à 95 % ne signifie pas que le diagnostic est correct à 95 %.</w:t>
      </w:r>
      <w:r w:rsidRPr="00631DBD">
        <w:t xml:space="preserve"> Il renseigne sur l’incertitude évaluée, sous les hypothèses utilisées.</w:t>
      </w:r>
    </w:p>
    <w:p w14:paraId="3DC58279" w14:textId="77777777" w:rsidR="00631DBD" w:rsidRPr="00631DBD" w:rsidRDefault="00631DBD" w:rsidP="00631DBD">
      <w:pPr>
        <w:pStyle w:val="En-tte"/>
        <w:spacing w:after="160" w:line="259" w:lineRule="auto"/>
        <w:ind w:left="360"/>
      </w:pPr>
      <w:r w:rsidRPr="00631DBD">
        <w:t>Un budget trop faible peut provoquer de fausses alertes ; un budget trop large peut masquer des anomalies. Son réglage devra donc être vérifié sur des scénarios normaux et défaillants. Enfin, un résultat compatible avec les incertitudes indique seulement que ce test n’a pas mis en évidence d’anomalie.</w:t>
      </w:r>
    </w:p>
    <w:p w14:paraId="5D2B26BC" w14:textId="77777777" w:rsidR="00631DBD" w:rsidRPr="00631DBD" w:rsidRDefault="00631DBD" w:rsidP="00631DBD">
      <w:pPr>
        <w:pStyle w:val="En-tte"/>
        <w:spacing w:after="160" w:line="259" w:lineRule="auto"/>
        <w:ind w:left="360"/>
      </w:pPr>
      <w:r w:rsidRPr="00631DBD">
        <w:rPr>
          <w:b/>
          <w:bCs/>
        </w:rPr>
        <w:t>Articulation des deux concepts :</w:t>
      </w:r>
      <w:r w:rsidRPr="00631DBD">
        <w:t xml:space="preserve"> la référence par relations invariantes produit les résidus physiques ; la décision par budget d’incertitude détermine si ces résidus sont explicables, anormaux ou impossibles à interpréter de façon fiable.</w:t>
      </w:r>
    </w:p>
    <w:p w14:paraId="3B0D2C92" w14:textId="77777777" w:rsidR="00631DBD" w:rsidRDefault="00631DBD" w:rsidP="00F42FB5">
      <w:pPr>
        <w:pStyle w:val="En-tte"/>
        <w:spacing w:after="160" w:line="259" w:lineRule="auto"/>
        <w:ind w:left="360"/>
      </w:pPr>
    </w:p>
    <w:sectPr w:rsidR="00631DBD" w:rsidSect="00314739">
      <w:pgSz w:w="12240" w:h="15840"/>
      <w:pgMar w:top="426"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8F02F" w14:textId="77777777" w:rsidR="00B6576E" w:rsidRDefault="00B6576E" w:rsidP="00CD5FD9">
      <w:pPr>
        <w:spacing w:after="0" w:line="240" w:lineRule="auto"/>
      </w:pPr>
      <w:r>
        <w:separator/>
      </w:r>
    </w:p>
  </w:endnote>
  <w:endnote w:type="continuationSeparator" w:id="0">
    <w:p w14:paraId="0C6D1B3F" w14:textId="77777777" w:rsidR="00B6576E" w:rsidRDefault="00B6576E" w:rsidP="00CD5F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86DFD" w14:textId="77777777" w:rsidR="00B6576E" w:rsidRDefault="00B6576E" w:rsidP="00CD5FD9">
      <w:pPr>
        <w:spacing w:after="0" w:line="240" w:lineRule="auto"/>
      </w:pPr>
      <w:r>
        <w:separator/>
      </w:r>
    </w:p>
  </w:footnote>
  <w:footnote w:type="continuationSeparator" w:id="0">
    <w:p w14:paraId="38878E7E" w14:textId="77777777" w:rsidR="00B6576E" w:rsidRDefault="00B6576E" w:rsidP="00CD5F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66B94"/>
    <w:multiLevelType w:val="multilevel"/>
    <w:tmpl w:val="9F58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9F3C3A"/>
    <w:multiLevelType w:val="multilevel"/>
    <w:tmpl w:val="88ACCF9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5863BF"/>
    <w:multiLevelType w:val="multilevel"/>
    <w:tmpl w:val="E5EC5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4D455B"/>
    <w:multiLevelType w:val="multilevel"/>
    <w:tmpl w:val="ED94F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2529980">
    <w:abstractNumId w:val="2"/>
  </w:num>
  <w:num w:numId="2" w16cid:durableId="1310524937">
    <w:abstractNumId w:val="3"/>
  </w:num>
  <w:num w:numId="3" w16cid:durableId="696613983">
    <w:abstractNumId w:val="1"/>
  </w:num>
  <w:num w:numId="4" w16cid:durableId="1261062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FD9"/>
    <w:rsid w:val="00314739"/>
    <w:rsid w:val="00502139"/>
    <w:rsid w:val="00631DBD"/>
    <w:rsid w:val="0066257A"/>
    <w:rsid w:val="0078589D"/>
    <w:rsid w:val="007D6100"/>
    <w:rsid w:val="00A4635F"/>
    <w:rsid w:val="00B6576E"/>
    <w:rsid w:val="00CD5FD9"/>
    <w:rsid w:val="00F42FB5"/>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5A8DD"/>
  <w15:chartTrackingRefBased/>
  <w15:docId w15:val="{D594C6C8-46EE-42D3-9F29-7FE10CA8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D5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D5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D5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D5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D5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D5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D5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D5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D5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D5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D5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D5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D5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D5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D5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D5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D5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D5FD9"/>
    <w:rPr>
      <w:rFonts w:eastAsiaTheme="majorEastAsia" w:cstheme="majorBidi"/>
      <w:color w:val="272727" w:themeColor="text1" w:themeTint="D8"/>
    </w:rPr>
  </w:style>
  <w:style w:type="paragraph" w:styleId="Titre">
    <w:name w:val="Title"/>
    <w:basedOn w:val="Normal"/>
    <w:next w:val="Normal"/>
    <w:link w:val="TitreCar"/>
    <w:uiPriority w:val="10"/>
    <w:qFormat/>
    <w:rsid w:val="00CD5F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D5FD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D5FD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D5FD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D5FD9"/>
    <w:pPr>
      <w:spacing w:before="160"/>
      <w:jc w:val="center"/>
    </w:pPr>
    <w:rPr>
      <w:i/>
      <w:iCs/>
      <w:color w:val="404040" w:themeColor="text1" w:themeTint="BF"/>
    </w:rPr>
  </w:style>
  <w:style w:type="character" w:customStyle="1" w:styleId="CitationCar">
    <w:name w:val="Citation Car"/>
    <w:basedOn w:val="Policepardfaut"/>
    <w:link w:val="Citation"/>
    <w:uiPriority w:val="29"/>
    <w:rsid w:val="00CD5FD9"/>
    <w:rPr>
      <w:i/>
      <w:iCs/>
      <w:color w:val="404040" w:themeColor="text1" w:themeTint="BF"/>
    </w:rPr>
  </w:style>
  <w:style w:type="paragraph" w:styleId="Paragraphedeliste">
    <w:name w:val="List Paragraph"/>
    <w:basedOn w:val="Normal"/>
    <w:uiPriority w:val="34"/>
    <w:qFormat/>
    <w:rsid w:val="00CD5FD9"/>
    <w:pPr>
      <w:ind w:left="720"/>
      <w:contextualSpacing/>
    </w:pPr>
  </w:style>
  <w:style w:type="character" w:styleId="Accentuationintense">
    <w:name w:val="Intense Emphasis"/>
    <w:basedOn w:val="Policepardfaut"/>
    <w:uiPriority w:val="21"/>
    <w:qFormat/>
    <w:rsid w:val="00CD5FD9"/>
    <w:rPr>
      <w:i/>
      <w:iCs/>
      <w:color w:val="0F4761" w:themeColor="accent1" w:themeShade="BF"/>
    </w:rPr>
  </w:style>
  <w:style w:type="paragraph" w:styleId="Citationintense">
    <w:name w:val="Intense Quote"/>
    <w:basedOn w:val="Normal"/>
    <w:next w:val="Normal"/>
    <w:link w:val="CitationintenseCar"/>
    <w:uiPriority w:val="30"/>
    <w:qFormat/>
    <w:rsid w:val="00CD5F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D5FD9"/>
    <w:rPr>
      <w:i/>
      <w:iCs/>
      <w:color w:val="0F4761" w:themeColor="accent1" w:themeShade="BF"/>
    </w:rPr>
  </w:style>
  <w:style w:type="character" w:styleId="Rfrenceintense">
    <w:name w:val="Intense Reference"/>
    <w:basedOn w:val="Policepardfaut"/>
    <w:uiPriority w:val="32"/>
    <w:qFormat/>
    <w:rsid w:val="00CD5FD9"/>
    <w:rPr>
      <w:b/>
      <w:bCs/>
      <w:smallCaps/>
      <w:color w:val="0F4761" w:themeColor="accent1" w:themeShade="BF"/>
      <w:spacing w:val="5"/>
    </w:rPr>
  </w:style>
  <w:style w:type="paragraph" w:styleId="En-tte">
    <w:name w:val="header"/>
    <w:basedOn w:val="Normal"/>
    <w:link w:val="En-tteCar"/>
    <w:uiPriority w:val="99"/>
    <w:unhideWhenUsed/>
    <w:rsid w:val="00CD5FD9"/>
    <w:pPr>
      <w:tabs>
        <w:tab w:val="center" w:pos="4703"/>
        <w:tab w:val="right" w:pos="9406"/>
      </w:tabs>
      <w:spacing w:after="0" w:line="240" w:lineRule="auto"/>
    </w:pPr>
  </w:style>
  <w:style w:type="character" w:customStyle="1" w:styleId="En-tteCar">
    <w:name w:val="En-tête Car"/>
    <w:basedOn w:val="Policepardfaut"/>
    <w:link w:val="En-tte"/>
    <w:uiPriority w:val="99"/>
    <w:rsid w:val="00CD5FD9"/>
  </w:style>
  <w:style w:type="paragraph" w:styleId="Pieddepage">
    <w:name w:val="footer"/>
    <w:basedOn w:val="Normal"/>
    <w:link w:val="PieddepageCar"/>
    <w:uiPriority w:val="99"/>
    <w:unhideWhenUsed/>
    <w:rsid w:val="00CD5FD9"/>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CD5FD9"/>
  </w:style>
  <w:style w:type="character" w:styleId="Textedelespacerserv">
    <w:name w:val="Placeholder Text"/>
    <w:basedOn w:val="Policepardfaut"/>
    <w:uiPriority w:val="99"/>
    <w:semiHidden/>
    <w:rsid w:val="00CD5FD9"/>
    <w:rPr>
      <w:color w:val="666666"/>
    </w:rPr>
  </w:style>
  <w:style w:type="table" w:styleId="Grilledutableau">
    <w:name w:val="Table Grid"/>
    <w:basedOn w:val="TableauNormal"/>
    <w:uiPriority w:val="39"/>
    <w:rsid w:val="00CD5F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14739"/>
    <w:rPr>
      <w:rFonts w:ascii="Times New Roman" w:hAnsi="Times New Roman" w:cs="Times New Roman"/>
      <w:sz w:val="24"/>
      <w:szCs w:val="24"/>
    </w:rPr>
  </w:style>
  <w:style w:type="character" w:styleId="Lienhypertexte">
    <w:name w:val="Hyperlink"/>
    <w:basedOn w:val="Policepardfaut"/>
    <w:uiPriority w:val="99"/>
    <w:unhideWhenUsed/>
    <w:rsid w:val="00314739"/>
    <w:rPr>
      <w:color w:val="467886" w:themeColor="hyperlink"/>
      <w:u w:val="single"/>
    </w:rPr>
  </w:style>
  <w:style w:type="character" w:styleId="Mentionnonrsolue">
    <w:name w:val="Unresolved Mention"/>
    <w:basedOn w:val="Policepardfaut"/>
    <w:uiPriority w:val="99"/>
    <w:semiHidden/>
    <w:unhideWhenUsed/>
    <w:rsid w:val="003147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5</Pages>
  <Words>1113</Words>
  <Characters>6124</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RAYANE ARÈMOU AKOREDE ALIMI</dc:creator>
  <cp:keywords/>
  <dc:description/>
  <cp:lastModifiedBy>RAYANE ARÈMOU AKOREDE ALIMI</cp:lastModifiedBy>
  <cp:revision>1</cp:revision>
  <dcterms:created xsi:type="dcterms:W3CDTF">2026-10-21T20:54:00Z</dcterms:created>
  <dcterms:modified xsi:type="dcterms:W3CDTF">2026-10-21T21:56:00Z</dcterms:modified>
</cp:coreProperties>
</file>