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6365" cy="862965"/>
                <wp:effectExtent l="0" t="0" r="0" b="0"/>
                <wp:wrapNone/>
                <wp:docPr id="1" name="Shape1"/>
                <a:graphic xmlns:a="http://schemas.openxmlformats.org/drawingml/2006/main">
                  <a:graphicData uri="http://schemas.microsoft.com/office/word/2010/wordprocessingShape">
                    <wps:wsp>
                      <wps:cNvSpPr/>
                      <wps:spPr>
                        <a:xfrm>
                          <a:off x="0" y="0"/>
                          <a:ext cx="5205600" cy="86220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85pt;height:67.8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3590" cy="1510665"/>
                <wp:effectExtent l="0" t="0" r="0" b="0"/>
                <wp:wrapNone/>
                <wp:docPr id="3" name="Shape2"/>
                <a:graphic xmlns:a="http://schemas.openxmlformats.org/drawingml/2006/main">
                  <a:graphicData uri="http://schemas.microsoft.com/office/word/2010/wordprocessingShape">
                    <wps:wsp>
                      <wps:cNvSpPr/>
                      <wps:spPr>
                        <a:xfrm>
                          <a:off x="0" y="0"/>
                          <a:ext cx="5862960" cy="151020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6pt;height:118.8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3590" cy="554355"/>
                <wp:effectExtent l="0" t="0" r="0" b="0"/>
                <wp:wrapNone/>
                <wp:docPr id="5" name="Shape2_0"/>
                <a:graphic xmlns:a="http://schemas.openxmlformats.org/drawingml/2006/main">
                  <a:graphicData uri="http://schemas.microsoft.com/office/word/2010/wordprocessingShape">
                    <wps:wsp>
                      <wps:cNvSpPr/>
                      <wps:spPr>
                        <a:xfrm>
                          <a:off x="0" y="0"/>
                          <a:ext cx="5862960" cy="55368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6pt;height:43.5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30265" cy="2282190"/>
                <wp:effectExtent l="0" t="0" r="0" b="0"/>
                <wp:wrapNone/>
                <wp:docPr id="7" name="Shape3_0"/>
                <a:graphic xmlns:a="http://schemas.openxmlformats.org/drawingml/2006/main">
                  <a:graphicData uri="http://schemas.microsoft.com/office/word/2010/wordprocessingShape">
                    <wps:wsp>
                      <wps:cNvSpPr/>
                      <wps:spPr>
                        <a:xfrm>
                          <a:off x="0" y="0"/>
                          <a:ext cx="5929560" cy="228168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85pt;height:179.6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lang w:val="en-US"/>
        </w:rPr>
      </w:pPr>
      <w:r>
        <w:rPr/>
        <w:t>How the backend of a Redpitaya WebApp works</w:t>
      </w:r>
    </w:p>
    <w:p>
      <w:pPr>
        <w:pStyle w:val="Normal"/>
        <w:rPr>
          <w:lang w:val="en-US"/>
        </w:rPr>
      </w:pPr>
      <w:r>
        <w:rPr/>
        <w:t xml:space="preserve">Minimal webapp tempate can be found in the official redpitaya git: </w:t>
      </w:r>
      <w:r>
        <w:rPr>
          <w:rStyle w:val="InternetLink"/>
        </w:rPr>
        <w:t>https://github.com/RedPitaya/RedPitaya/tree/master/Examples/web-tutorial/1.template</w:t>
      </w:r>
    </w:p>
    <w:p>
      <w:pPr>
        <w:pStyle w:val="Normal"/>
        <w:rPr>
          <w:lang w:val="en-US"/>
        </w:rPr>
      </w:pPr>
      <w:r>
        <w:rPr/>
        <w:t xml:space="preserve">In case of the backend the app consists of two Makefiles aswell as the main.h and .cpp. </w:t>
      </w:r>
    </w:p>
    <w:p>
      <w:pPr>
        <w:pStyle w:val="Normal"/>
        <w:rPr>
          <w:lang w:val="en-US"/>
        </w:rPr>
      </w:pPr>
      <w:r>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t>„</w:t>
      </w:r>
      <w:r>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t>The „main.h“ file describes the api for the shared object which gets built by the Makefiles and includes the Redpitaya libraries. This api is called by the „ngnix“ server which manages the webserver functionality of the Redpitaya.</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main file must contain following functions: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rp_app_desc: returns a const char pointer to a string describing the application</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rp_app_init: Gets called by the „nginx“ server on loading the application. Is used for initializing the app and creating objects , etc.</w:t>
      </w:r>
    </w:p>
    <w:p>
      <w:pPr>
        <w:pStyle w:val="Normal"/>
        <w:numPr>
          <w:ilvl w:val="0"/>
          <w:numId w:val="0"/>
        </w:numPr>
        <w:ind w:left="720" w:hanging="0"/>
        <w:rPr/>
      </w:pPr>
      <w:r>
        <w:rPr>
          <w:rFonts w:eastAsia="Calibri" w:cs="" w:cstheme="minorBidi" w:eastAsiaTheme="minorHAnsi"/>
          <w:color w:val="auto"/>
          <w:kern w:val="0"/>
          <w:sz w:val="22"/>
          <w:szCs w:val="22"/>
          <w:lang w:val="de-DE" w:eastAsia="en-US" w:bidi="ar-SA"/>
        </w:rPr>
        <w:t xml:space="preserve">Must call „rp_Init()“ to initialize the app. Do </w:t>
      </w:r>
      <w:r>
        <w:rPr>
          <w:rFonts w:eastAsia="Calibri" w:cs="" w:cstheme="minorBidi" w:eastAsiaTheme="minorHAnsi"/>
          <w:b/>
          <w:bCs/>
          <w:color w:val="auto"/>
          <w:kern w:val="0"/>
          <w:sz w:val="22"/>
          <w:szCs w:val="22"/>
          <w:lang w:val="de-DE" w:eastAsia="en-US" w:bidi="ar-SA"/>
        </w:rPr>
        <w:t>not</w:t>
      </w:r>
      <w:r>
        <w:rPr>
          <w:rFonts w:eastAsia="Calibri" w:cs="" w:cstheme="minorBidi" w:eastAsiaTheme="minorHAnsi"/>
          <w:color w:val="auto"/>
          <w:kern w:val="0"/>
          <w:sz w:val="22"/>
          <w:szCs w:val="22"/>
          <w:lang w:val="de-DE" w:eastAsia="en-US" w:bidi="ar-SA"/>
        </w:rPr>
        <w:t xml:space="preserve"> use „</w:t>
      </w:r>
      <w:r>
        <w:rPr/>
        <w:t>rpApp_Init()</w:t>
      </w:r>
      <w:r>
        <w:rPr>
          <w:rFonts w:eastAsia="Calibri" w:cs="" w:cstheme="minorBidi" w:eastAsiaTheme="minorHAnsi"/>
          <w:color w:val="auto"/>
          <w:kern w:val="0"/>
          <w:sz w:val="22"/>
          <w:szCs w:val="22"/>
          <w:lang w:val="de-DE" w:eastAsia="en-US" w:bidi="ar-SA"/>
        </w:rPr>
        <w:t>“ like in many of the examples in the git. This has the effect, that the read pointer of the redpitaya fpga does not stop reading...</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rp_app_exit: Is like the destructor of the application and gets called, when the user leaves the website.</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rp_set_params, rp_get_params, rp_get_signals: Are internal functions, which do not have to be implemented, but have to exits!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UpdateSignals, UpdateParams are functions which get called in the Signal/ParamInterval which can be set by calling „CdataManager::GetInstance()-&gt;SetSignalInterval(t in ms)“ repectivly „CdataManager::GetInstance()-&gt;SetParamInterval()“.</w:t>
      </w:r>
    </w:p>
    <w:p>
      <w:pPr>
        <w:pStyle w:val="Normal"/>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OnNewParams, OnNewSignals: Are the really important functions. They are called, when the redpitaya websocket received data from the frontend. To work with any data the function „Update()“ </w:t>
      </w:r>
      <w:r>
        <w:rPr>
          <w:rFonts w:eastAsia="Calibri" w:cs="" w:cstheme="minorBidi" w:eastAsiaTheme="minorHAnsi"/>
          <w:b/>
          <w:bCs/>
          <w:color w:val="auto"/>
          <w:kern w:val="0"/>
          <w:sz w:val="22"/>
          <w:szCs w:val="22"/>
          <w:lang w:val="de-DE" w:eastAsia="en-US" w:bidi="ar-SA"/>
        </w:rPr>
        <w:t>has to be called</w:t>
      </w:r>
      <w:r>
        <w:rPr>
          <w:rFonts w:eastAsia="Calibri" w:cs="" w:cstheme="minorBidi" w:eastAsiaTheme="minorHAnsi"/>
          <w:color w:val="auto"/>
          <w:kern w:val="0"/>
          <w:sz w:val="22"/>
          <w:szCs w:val="22"/>
          <w:lang w:val="de-DE" w:eastAsia="en-US" w:bidi="ar-SA"/>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PostUpdateSignals: Was not tested by us. But should should be called after a signal update.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pPr>
      <w:r>
        <w:rPr/>
        <w:t>Libraries used in the backend</w:t>
      </w:r>
    </w:p>
    <w:p>
      <w:pPr>
        <w:pStyle w:val="Normal"/>
        <w:rPr/>
      </w:pPr>
      <w:r>
        <w:rPr/>
        <w:t>On top of the standard redpitaya libraries we used 3 additional.</w:t>
      </w:r>
    </w:p>
    <w:p>
      <w:pPr>
        <w:pStyle w:val="Heading3"/>
        <w:numPr>
          <w:ilvl w:val="2"/>
          <w:numId w:val="2"/>
        </w:numPr>
        <w:rPr/>
      </w:pPr>
      <w:r>
        <w:rPr/>
        <w:t>LibsigrokDecode</w:t>
      </w:r>
    </w:p>
    <w:p>
      <w:pPr>
        <w:pStyle w:val="TextBody"/>
        <w:rPr/>
      </w:pPr>
      <w:r>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6">
        <w:r>
          <w:rPr>
            <w:rStyle w:val="InternetLink"/>
          </w:rPr>
          <w:t>https://sigrok.org/wiki/PulseView</w:t>
        </w:r>
      </w:hyperlink>
      <w:r>
        <w:rPr/>
        <w:t>).</w:t>
      </w:r>
    </w:p>
    <w:p>
      <w:pPr>
        <w:pStyle w:val="TextBody"/>
        <w:rPr/>
      </w:pPr>
      <w:r>
        <w:rPr/>
        <w:t xml:space="preserve">The main entry point for the git, documentation, building information, etc. Can be found here: </w:t>
      </w:r>
      <w:r>
        <w:rPr>
          <w:rStyle w:val="InternetLink"/>
        </w:rPr>
        <w:t>https://sigrok.org/wiki/Libsigrokdecode</w:t>
      </w:r>
    </w:p>
    <w:p>
      <w:pPr>
        <w:pStyle w:val="TextBody"/>
        <w:rPr/>
      </w:pPr>
      <w:r>
        <w:rPr/>
        <w:t xml:space="preserve">Because the Redpitaya apt does not </w:t>
      </w:r>
      <w:r>
        <w:rPr>
          <w:rFonts w:eastAsia="Calibri" w:cs="" w:cstheme="minorBidi" w:eastAsiaTheme="minorHAnsi"/>
          <w:color w:val="auto"/>
          <w:kern w:val="0"/>
          <w:sz w:val="22"/>
          <w:szCs w:val="22"/>
          <w:lang w:val="de-DE" w:eastAsia="en-US" w:bidi="ar-SA"/>
        </w:rPr>
        <w:t>supply</w:t>
      </w:r>
      <w:r>
        <w:rPr/>
        <w:t xml:space="preserve"> the newest version (4) of LibsigrokDecode, version 2 is used on the device. This comes with a few api changes, so the correct api description is found here: </w:t>
      </w:r>
      <w:hyperlink r:id="rId7">
        <w:r>
          <w:rPr>
            <w:rStyle w:val="InternetLink"/>
          </w:rPr>
          <w:t>https://sigrok.org/api/libsigrokdecode/0.3.0/index.html</w:t>
        </w:r>
      </w:hyperlink>
    </w:p>
    <w:p>
      <w:pPr>
        <w:pStyle w:val="TextBody"/>
        <w:rPr/>
      </w:pPr>
      <w:r>
        <w:rPr/>
        <w:t xml:space="preserve">When developping with LibsigrokDecode there are many contact points with gLib (Docmentaion can be found here: </w:t>
      </w:r>
      <w:hyperlink r:id="rId8">
        <w:r>
          <w:rPr>
            <w:rStyle w:val="InternetLink"/>
          </w:rPr>
          <w:t>https://developer.gnome.org/glib/unstable/</w:t>
        </w:r>
      </w:hyperlink>
      <w:r>
        <w:rPr/>
        <w:t>) and on reading current decoder options you get in contact with the python c-api (</w:t>
      </w:r>
      <w:hyperlink r:id="rId9">
        <w:r>
          <w:rPr>
            <w:rStyle w:val="InternetLink"/>
          </w:rPr>
          <w:t>https://docs.python.org/3/c-api/index.html</w:t>
        </w:r>
      </w:hyperlink>
      <w:r>
        <w:rPr/>
        <w:t>).</w:t>
      </w:r>
    </w:p>
    <w:p>
      <w:pPr>
        <w:pStyle w:val="TextBody"/>
        <w:rPr/>
      </w:pPr>
      <w:r>
        <w:rPr/>
        <w:t>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Please refer to the api description for them):</w:t>
      </w:r>
    </w:p>
    <w:p>
      <w:pPr>
        <w:pStyle w:val="TextBody"/>
        <w:numPr>
          <w:ilvl w:val="0"/>
          <w:numId w:val="12"/>
        </w:numPr>
        <w:rPr/>
      </w:pPr>
      <w:r>
        <w:rPr/>
        <w:t>Main process:</w:t>
      </w:r>
    </w:p>
    <w:p>
      <w:pPr>
        <w:pStyle w:val="TextBody"/>
        <w:numPr>
          <w:ilvl w:val="1"/>
          <w:numId w:val="12"/>
        </w:numPr>
        <w:rPr/>
      </w:pPr>
      <w:r>
        <w:rPr/>
        <w:t>call to „srd_init()“ for intialization of the sigrok library</w:t>
      </w:r>
    </w:p>
    <w:p>
      <w:pPr>
        <w:pStyle w:val="TextBody"/>
        <w:numPr>
          <w:ilvl w:val="1"/>
          <w:numId w:val="12"/>
        </w:numPr>
        <w:rPr/>
      </w:pPr>
      <w:r>
        <w:rPr/>
        <w:t xml:space="preserve">creation of a session via „srd_session_new()“ </w:t>
      </w:r>
    </w:p>
    <w:p>
      <w:pPr>
        <w:pStyle w:val="TextBody"/>
        <w:numPr>
          <w:ilvl w:val="1"/>
          <w:numId w:val="12"/>
        </w:numPr>
        <w:rPr/>
      </w:pPr>
      <w:r>
        <w:rPr/>
        <w:t>loading of a available decoder via „srd_decoder_load()“. Available decoders can be found by running „srd_decoder_load_all()“ and „srd_decoder_list()“ or can be found in the LibsigrokDecode git under „decoders“.</w:t>
      </w:r>
    </w:p>
    <w:p>
      <w:pPr>
        <w:pStyle w:val="TextBody"/>
        <w:numPr>
          <w:ilvl w:val="1"/>
          <w:numId w:val="12"/>
        </w:numPr>
        <w:rPr/>
      </w:pPr>
      <w:r>
        <w:rPr/>
        <w:t>Instatiating the loaded decoder with „srd_inst_new()“</w:t>
      </w:r>
    </w:p>
    <w:p>
      <w:pPr>
        <w:pStyle w:val="TextBody"/>
        <w:numPr>
          <w:ilvl w:val="1"/>
          <w:numId w:val="12"/>
        </w:numPr>
        <w:rPr/>
      </w:pPr>
      <w:r>
        <w:rPr/>
        <w:t>Afterwards the available decoder options, channels and optional channels can be viewed.</w:t>
      </w:r>
    </w:p>
    <w:p>
      <w:pPr>
        <w:pStyle w:val="TextBody"/>
        <w:numPr>
          <w:ilvl w:val="1"/>
          <w:numId w:val="12"/>
        </w:numPr>
        <w:rPr/>
      </w:pPr>
      <w:r>
        <w:rPr/>
        <w:t xml:space="preserve">Before running any decoder, a channel map has to be set via „srd_inst_channel_set_all()“. This map maps channel </w:t>
      </w:r>
      <w:r>
        <w:rPr>
          <w:rFonts w:eastAsia="Calibri" w:cs="" w:cstheme="minorBidi" w:eastAsiaTheme="minorHAnsi"/>
          <w:color w:val="auto"/>
          <w:kern w:val="0"/>
          <w:sz w:val="22"/>
          <w:szCs w:val="22"/>
          <w:lang w:val="de-DE" w:eastAsia="en-US" w:bidi="ar-SA"/>
        </w:rPr>
        <w:t>ids</w:t>
      </w:r>
      <w:r>
        <w:rPr/>
        <w:t xml:space="preserve"> to numbers. They are relevant when passing data to the decoder.</w:t>
      </w:r>
    </w:p>
    <w:p>
      <w:pPr>
        <w:pStyle w:val="TextBody"/>
        <w:numPr>
          <w:ilvl w:val="0"/>
          <w:numId w:val="0"/>
        </w:numPr>
        <w:ind w:left="1080" w:hanging="0"/>
        <w:rPr/>
      </w:pPr>
      <w:r>
        <w:rPr/>
        <w:t>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But here a „const char *“ just gets converted.</w:t>
      </w:r>
    </w:p>
    <w:p>
      <w:pPr>
        <w:pStyle w:val="TextBody"/>
        <w:numPr>
          <w:ilvl w:val="1"/>
          <w:numId w:val="12"/>
        </w:numPr>
        <w:rPr/>
      </w:pPr>
      <w:r>
        <w:rPr/>
        <w:t xml:space="preserve">After this the options have to be set. Even if you are using the default values, „srd_inst_options_set()“ has to be </w:t>
      </w:r>
      <w:r>
        <w:rPr>
          <w:b/>
          <w:bCs/>
        </w:rPr>
        <w:t>at least called once.</w:t>
      </w:r>
      <w:r>
        <w:rPr/>
        <w:t xml:space="preserve"> This first run replaces the object at „srd_decoder_inst-&gt;decoder-&gt;options“ with a new python object which can be read by the decoder.</w:t>
      </w:r>
    </w:p>
    <w:p>
      <w:pPr>
        <w:pStyle w:val="TextBody"/>
        <w:numPr>
          <w:ilvl w:val="1"/>
          <w:numId w:val="12"/>
        </w:numPr>
        <w:rPr/>
      </w:pPr>
      <w:r>
        <w:rPr/>
        <w:t>To start a session, the samplerate has to be set too. This is done session wide and not for every decoder by calling „srd_session_metadata_set(..., SRD_CONF_SAMPLERATE, ...)“</w:t>
      </w:r>
    </w:p>
    <w:p>
      <w:pPr>
        <w:pStyle w:val="TextBody"/>
        <w:numPr>
          <w:ilvl w:val="1"/>
          <w:numId w:val="12"/>
        </w:numPr>
        <w:rPr/>
      </w:pPr>
      <w:r>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2"/>
        </w:numPr>
        <w:rPr/>
      </w:pPr>
      <w:r>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2"/>
        </w:numPr>
        <w:rPr/>
      </w:pPr>
      <w:r>
        <w:rPr/>
        <w:t xml:space="preserve">At any point in the program there has to be set a callback for process the output data. This can be done via „srd_pd_output_callback_add()“. You can set multiple versions of callbacks. A SRD_OUTPUT_ANN is a version, where you get a annotation class and a annotation text. So it is for </w:t>
      </w:r>
      <w:r>
        <w:rPr>
          <w:rFonts w:eastAsia="Calibri" w:cs="" w:cstheme="minorBidi" w:eastAsiaTheme="minorHAnsi"/>
          <w:color w:val="auto"/>
          <w:kern w:val="0"/>
          <w:sz w:val="22"/>
          <w:szCs w:val="22"/>
          <w:lang w:val="de-DE" w:eastAsia="en-US" w:bidi="ar-SA"/>
        </w:rPr>
        <w:t>humand readable displaying</w:t>
      </w:r>
      <w:r>
        <w:rPr/>
        <w:t>.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2"/>
        </w:numPr>
        <w:rPr/>
      </w:pPr>
      <w:r>
        <w:rPr/>
        <w:t>At last it is only a call to „srd_session_start()“ to start the session and the „srd_session_send()“ to send a package of data to the decoders.</w:t>
      </w:r>
    </w:p>
    <w:p>
      <w:pPr>
        <w:pStyle w:val="TextBody"/>
        <w:numPr>
          <w:ilvl w:val="0"/>
          <w:numId w:val="12"/>
        </w:numPr>
        <w:rPr/>
      </w:pPr>
      <w:r>
        <w:rPr/>
        <w:t>Convertion of available options to strings:</w:t>
      </w:r>
    </w:p>
    <w:p>
      <w:pPr>
        <w:pStyle w:val="TextBody"/>
        <w:numPr>
          <w:ilvl w:val="0"/>
          <w:numId w:val="0"/>
        </w:numPr>
        <w:ind w:left="720" w:hanging="0"/>
        <w:rPr/>
      </w:pPr>
      <w:r>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w:t>
      </w:r>
      <w:r>
        <w:rPr>
          <w:rFonts w:eastAsia="Calibri" w:cs="" w:cstheme="minorBidi" w:eastAsiaTheme="minorHAnsi"/>
          <w:color w:val="auto"/>
          <w:kern w:val="0"/>
          <w:sz w:val="22"/>
          <w:szCs w:val="22"/>
          <w:lang w:val="de-DE" w:eastAsia="en-US" w:bidi="ar-SA"/>
        </w:rPr>
        <w:t>STRING</w:t>
      </w:r>
      <w:r>
        <w:rPr/>
        <w:t xml:space="preserve"> and GVARIANT_TYPE_</w:t>
      </w:r>
      <w:r>
        <w:rPr>
          <w:rFonts w:eastAsia="Calibri" w:cs="" w:cstheme="minorBidi" w:eastAsiaTheme="minorHAnsi"/>
          <w:color w:val="auto"/>
          <w:kern w:val="0"/>
          <w:sz w:val="22"/>
          <w:szCs w:val="22"/>
          <w:lang w:val="de-DE" w:eastAsia="en-US" w:bidi="ar-SA"/>
        </w:rPr>
        <w:t>DOUBLE. So we only have to check which one it is and then call the approprate „g_variant_get_xxx()“ function.</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Setting of options from a map&lt;string, string&gt;:</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w:t>
      </w:r>
      <w:r>
        <w:rPr>
          <w:rFonts w:eastAsia="Calibri" w:cs="" w:cstheme="minorBidi" w:eastAsiaTheme="minorHAnsi"/>
          <w:color w:val="auto"/>
          <w:kern w:val="0"/>
          <w:sz w:val="22"/>
          <w:szCs w:val="22"/>
          <w:lang w:val="de-DE" w:eastAsia="en-US" w:bidi="ar-SA"/>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of current options:</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the current options is done with „printCurrentOptions()“ and leaves the Glib library and enters the python c-api. It is mostly the same as „printOptions()“ but has to convert python objects to strings.</w:t>
      </w:r>
    </w:p>
    <w:p>
      <w:pPr>
        <w:pStyle w:val="Heading3"/>
        <w:numPr>
          <w:ilvl w:val="2"/>
          <w:numId w:val="2"/>
        </w:numPr>
        <w:rPr/>
      </w:pPr>
      <w:r>
        <w:rPr/>
        <w:t>Nlohmann/Json</w:t>
      </w:r>
    </w:p>
    <w:p>
      <w:pPr>
        <w:pStyle w:val="Heading3"/>
        <w:numPr>
          <w:ilvl w:val="2"/>
          <w:numId w:val="2"/>
        </w:numPr>
        <w:rPr/>
      </w:pPr>
      <w:r>
        <w:rPr/>
        <w:t>Loguru</w:t>
      </w:r>
    </w:p>
    <w:p>
      <w:pPr>
        <w:pStyle w:val="Heading2"/>
        <w:rPr/>
      </w:pPr>
      <w:r>
        <w:rPr/>
      </w:r>
    </w:p>
    <w:p>
      <w:pPr>
        <w:pStyle w:val="Heading2"/>
        <w:rPr/>
      </w:pPr>
      <w:r>
        <w:rPr/>
        <w:t>Access Logs of Web Application</w:t>
      </w:r>
    </w:p>
    <w:p>
      <w:pPr>
        <w:pStyle w:val="Normal"/>
        <w:rPr/>
      </w:pPr>
      <w:r>
        <w:rPr/>
        <w:t>Redpitaya creates logfiles under „/var/log/redpitaya_nginx“</w:t>
      </w:r>
    </w:p>
    <w:p>
      <w:pPr>
        <w:pStyle w:val="Normal"/>
        <w:numPr>
          <w:ilvl w:val="0"/>
          <w:numId w:val="8"/>
        </w:numPr>
        <w:rPr/>
      </w:pPr>
      <w:r>
        <w:rPr/>
        <w:t>debug.log: printfs and fprintfs from the c/c++ application</w:t>
      </w:r>
    </w:p>
    <w:p>
      <w:pPr>
        <w:pStyle w:val="Normal"/>
        <w:numPr>
          <w:ilvl w:val="0"/>
          <w:numId w:val="8"/>
        </w:numPr>
        <w:rPr/>
      </w:pPr>
      <w:r>
        <w:rPr/>
        <w:t>error.log: Log from the nginx server</w:t>
      </w:r>
    </w:p>
    <w:p>
      <w:pPr>
        <w:pStyle w:val="Normal"/>
        <w:numPr>
          <w:ilvl w:val="0"/>
          <w:numId w:val="8"/>
        </w:numPr>
        <w:rPr/>
      </w:pPr>
      <w:r>
        <w:rPr/>
        <w:t>rp_sdk.log: parameter and signal logs</w:t>
      </w:r>
    </w:p>
    <w:p>
      <w:pPr>
        <w:pStyle w:val="Normal"/>
        <w:numPr>
          <w:ilvl w:val="0"/>
          <w:numId w:val="8"/>
        </w:numPr>
        <w:rPr/>
      </w:pPr>
      <w:r>
        <w:rPr/>
        <w:t>ws_server.log: Wbsocket logs</w:t>
      </w:r>
    </w:p>
    <w:p>
      <w:pPr>
        <w:pStyle w:val="Heading2"/>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4"/>
        </w:numPr>
        <w:spacing w:before="140" w:after="120"/>
        <w:rPr>
          <w:lang w:val="en-US"/>
        </w:rPr>
      </w:pPr>
      <w:r>
        <w:rPr/>
        <w:t>Backend</w:t>
      </w:r>
    </w:p>
    <w:p>
      <w:pPr>
        <w:pStyle w:val="TextBody"/>
        <w:numPr>
          <w:ilvl w:val="0"/>
          <w:numId w:val="9"/>
        </w:numPr>
        <w:spacing w:before="140" w:after="120"/>
        <w:rPr/>
      </w:pPr>
      <w:r>
        <w:rPr/>
        <w:t>Code for data acquisition works</w:t>
      </w:r>
    </w:p>
    <w:p>
      <w:pPr>
        <w:pStyle w:val="TextBody"/>
        <w:numPr>
          <w:ilvl w:val="0"/>
          <w:numId w:val="9"/>
        </w:numPr>
        <w:spacing w:before="140" w:after="120"/>
        <w:rPr/>
      </w:pPr>
      <w:r>
        <w:rPr/>
        <w:t>Code for packing data into JSON format and sending it to the frontend works</w:t>
      </w:r>
    </w:p>
    <w:p>
      <w:pPr>
        <w:pStyle w:val="TextBody"/>
        <w:numPr>
          <w:ilvl w:val="0"/>
          <w:numId w:val="9"/>
        </w:numPr>
        <w:spacing w:before="140" w:after="120"/>
        <w:rPr/>
      </w:pPr>
      <w:r>
        <w:rPr/>
        <w:t>Code for parsing JSON data from the frontend does not work (std::bad_alloc)</w:t>
      </w:r>
    </w:p>
    <w:p>
      <w:pPr>
        <w:pStyle w:val="TextBody"/>
        <w:numPr>
          <w:ilvl w:val="1"/>
          <w:numId w:val="9"/>
        </w:numPr>
        <w:spacing w:before="140" w:after="120"/>
        <w:rPr/>
      </w:pPr>
      <w:r>
        <w:rPr>
          <w:rFonts w:eastAsia="Calibri" w:cs=""/>
        </w:rPr>
        <w:t>This is the main problem. Would probably take very long to debug</w:t>
      </w:r>
    </w:p>
    <w:p>
      <w:pPr>
        <w:pStyle w:val="TextBody"/>
        <w:numPr>
          <w:ilvl w:val="1"/>
          <w:numId w:val="9"/>
        </w:numPr>
        <w:spacing w:before="140" w:after="120"/>
        <w:rPr/>
      </w:pPr>
      <w:r>
        <w:rPr/>
        <w:t>A hacky workaround could be to not use JSON for receiving data from the frontend</w:t>
      </w:r>
    </w:p>
    <w:p>
      <w:pPr>
        <w:pStyle w:val="TextBody"/>
        <w:numPr>
          <w:ilvl w:val="0"/>
          <w:numId w:val="9"/>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9"/>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pPr>
      <w:r>
        <w:rPr>
          <w:rFonts w:eastAsia="Calibri" w:cs=""/>
        </w:rPr>
        <w:t>Usage of Logging via Loguru into the debug.log works, Logging to the frontend via the Error class is not tested.</w:t>
      </w:r>
    </w:p>
    <w:p>
      <w:pPr>
        <w:pStyle w:val="TextBody"/>
        <w:numPr>
          <w:ilvl w:val="0"/>
          <w:numId w:val="9"/>
        </w:numPr>
        <w:spacing w:before="140" w:after="120"/>
        <w:rPr/>
      </w:pPr>
      <w:r>
        <w:rPr>
          <w:rFonts w:eastAsia="Calibri" w:cs=""/>
        </w:rPr>
        <w:t>Compilation via Makefiles works, but takes about 7 Minutes. Partial builds do not work.</w:t>
      </w:r>
    </w:p>
    <w:p>
      <w:pPr>
        <w:pStyle w:val="TextBody"/>
        <w:numPr>
          <w:ilvl w:val="1"/>
          <w:numId w:val="9"/>
        </w:numPr>
        <w:spacing w:before="140" w:after="120"/>
        <w:rPr/>
      </w:pPr>
      <w:r>
        <w:rPr>
          <w:rFonts w:eastAsia="Calibri" w:cs=""/>
        </w:rPr>
        <w:t>Probably a toolchain depending on cmake would do a better job.</w:t>
      </w:r>
    </w:p>
    <w:p>
      <w:pPr>
        <w:pStyle w:val="TextBody"/>
        <w:numPr>
          <w:ilvl w:val="1"/>
          <w:numId w:val="9"/>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Fonts w:eastAsia="Calibri" w:cs=""/>
        </w:rPr>
      </w:r>
    </w:p>
    <w:p>
      <w:pPr>
        <w:pStyle w:val="Heading2"/>
        <w:rPr/>
      </w:pPr>
      <w:r>
        <w:rPr/>
        <w:t>Future Directions</w:t>
      </w:r>
    </w:p>
    <w:p>
      <w:pPr>
        <w:pStyle w:val="Heading3"/>
        <w:numPr>
          <w:ilvl w:val="2"/>
          <w:numId w:val="3"/>
        </w:numPr>
        <w:rPr/>
      </w:pPr>
      <w:r>
        <w:rPr/>
        <w:t>General</w:t>
      </w:r>
    </w:p>
    <w:p>
      <w:pPr>
        <w:pStyle w:val="Heading3"/>
        <w:numPr>
          <w:ilvl w:val="2"/>
          <w:numId w:val="3"/>
        </w:numPr>
        <w:rPr/>
      </w:pPr>
      <w:r>
        <w:rPr/>
        <w:t>Frontend</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numPr>
          <w:ilvl w:val="0"/>
          <w:numId w:val="8"/>
        </w:numPr>
        <w:rPr/>
      </w:pPr>
      <w:r>
        <w:rPr/>
        <w:t>The following features are currently functional on the UI-side:</w:t>
      </w:r>
    </w:p>
    <w:p>
      <w:pPr>
        <w:pStyle w:val="TextBody"/>
        <w:numPr>
          <w:ilvl w:val="0"/>
          <w:numId w:val="8"/>
        </w:numPr>
        <w:rPr/>
      </w:pPr>
      <w:r>
        <w:rPr/>
        <w:t>Choosing the decoder</w:t>
      </w:r>
    </w:p>
    <w:p>
      <w:pPr>
        <w:pStyle w:val="TextBody"/>
        <w:numPr>
          <w:ilvl w:val="0"/>
          <w:numId w:val="8"/>
        </w:numPr>
        <w:rPr/>
      </w:pPr>
      <w:r>
        <w:rPr/>
        <w:t>Choosing decoder parameters</w:t>
      </w:r>
    </w:p>
    <w:p>
      <w:pPr>
        <w:pStyle w:val="TextBody"/>
        <w:numPr>
          <w:ilvl w:val="0"/>
          <w:numId w:val="8"/>
        </w:numPr>
        <w:rPr/>
      </w:pPr>
      <w:r>
        <w:rPr/>
        <w:t>Choosing decoder channels</w:t>
      </w:r>
    </w:p>
    <w:p>
      <w:pPr>
        <w:pStyle w:val="TextBody"/>
        <w:rPr>
          <w:rFonts w:ascii="Liberation Sans" w:hAnsi="Liberation Sans" w:eastAsia="Noto Sans CJK SC" w:cs="Droid Sans Devanagari"/>
          <w:b/>
          <w:b/>
          <w:bCs/>
          <w:color w:val="auto"/>
          <w:kern w:val="0"/>
          <w:sz w:val="28"/>
          <w:szCs w:val="28"/>
          <w:lang w:val="de-DE" w:eastAsia="en-US" w:bidi="ar-SA"/>
        </w:rPr>
      </w:pPr>
      <w:r>
        <w:rPr/>
        <w:t>Choosing acquirer parameters is currently partly implemented.</w:t>
      </w:r>
    </w:p>
    <w:p>
      <w:pPr>
        <w:pStyle w:val="TextBody"/>
        <w:rPr>
          <w:rFonts w:ascii="Liberation Sans" w:hAnsi="Liberation Sans" w:eastAsia="Noto Sans CJK SC" w:cs="Droid Sans Devanagari"/>
          <w:b/>
          <w:b/>
          <w:bCs/>
          <w:color w:val="auto"/>
          <w:kern w:val="0"/>
          <w:sz w:val="28"/>
          <w:szCs w:val="28"/>
          <w:lang w:val="de-DE" w:eastAsia="en-US" w:bidi="ar-SA"/>
        </w:rPr>
      </w:pPr>
      <w:r>
        <w:rPr/>
        <w:t>The following features are currently only implemented in the form of views, no logic:</w:t>
      </w:r>
    </w:p>
    <w:p>
      <w:pPr>
        <w:pStyle w:val="TextBody"/>
        <w:numPr>
          <w:ilvl w:val="0"/>
          <w:numId w:val="9"/>
        </w:numPr>
        <w:rPr/>
      </w:pPr>
      <w:r>
        <w:rPr/>
        <w:t>Starting the acquisition</w:t>
      </w:r>
    </w:p>
    <w:p>
      <w:pPr>
        <w:pStyle w:val="TextBody"/>
        <w:numPr>
          <w:ilvl w:val="0"/>
          <w:numId w:val="9"/>
        </w:numPr>
        <w:rPr/>
      </w:pPr>
      <w:r>
        <w:rPr/>
        <w:t>Showing acquired data</w:t>
      </w:r>
    </w:p>
    <w:p>
      <w:pPr>
        <w:pStyle w:val="TextBody"/>
        <w:numPr>
          <w:ilvl w:val="0"/>
          <w:numId w:val="9"/>
        </w:numPr>
        <w:rPr/>
      </w:pPr>
      <w:r>
        <w:rPr/>
        <w:t>Showing decoded data</w:t>
      </w:r>
    </w:p>
    <w:p>
      <w:pPr>
        <w:pStyle w:val="Heading3"/>
        <w:numPr>
          <w:ilvl w:val="2"/>
          <w:numId w:val="3"/>
        </w:numPr>
        <w:rPr/>
      </w:pPr>
      <w:r>
        <w:rPr/>
        <w:t>Backend</w:t>
      </w:r>
    </w:p>
    <w:p>
      <w:pPr>
        <w:pStyle w:val="TextBody"/>
        <w:numPr>
          <w:ilvl w:val="0"/>
          <w:numId w:val="10"/>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10"/>
        </w:numPr>
        <w:rPr/>
      </w:pPr>
      <w:r>
        <w:rPr/>
        <w:t>Usage of better toolcahin.</w:t>
      </w:r>
    </w:p>
    <w:p>
      <w:pPr>
        <w:pStyle w:val="TextBody"/>
        <w:numPr>
          <w:ilvl w:val="1"/>
          <w:numId w:val="10"/>
        </w:numPr>
        <w:rPr/>
      </w:pPr>
      <w:r>
        <w:rPr/>
        <w:t>Integrating of pre built libraries.</w:t>
      </w:r>
    </w:p>
    <w:p>
      <w:pPr>
        <w:pStyle w:val="TextBody"/>
        <w:numPr>
          <w:ilvl w:val="1"/>
          <w:numId w:val="10"/>
        </w:numPr>
        <w:rPr/>
      </w:pPr>
      <w:r>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pPr>
      <w:r>
        <w:rPr/>
        <w:t>Restructuring SPContainer aswell as S and Pcontainer.</w:t>
      </w:r>
    </w:p>
    <w:p>
      <w:pPr>
        <w:pStyle w:val="TextBody"/>
        <w:numPr>
          <w:ilvl w:val="1"/>
          <w:numId w:val="10"/>
        </w:numPr>
        <w:rPr/>
      </w:pPr>
      <w:r>
        <w:rPr/>
        <w:t>Integrating s and pDecoderList as static into the classes</w:t>
      </w:r>
    </w:p>
    <w:p>
      <w:pPr>
        <w:pStyle w:val="TextBody"/>
        <w:numPr>
          <w:ilvl w:val="1"/>
          <w:numId w:val="10"/>
        </w:numPr>
        <w:rPr/>
      </w:pPr>
      <w:r>
        <w:rPr/>
        <w:t>Usage of getInstance() function to get Insatance by Ccustomparamter::name. This would simplyfy the constructor situation drastically.</w:t>
      </w:r>
    </w:p>
    <w:p>
      <w:pPr>
        <w:pStyle w:val="TextBody"/>
        <w:numPr>
          <w:ilvl w:val="0"/>
          <w:numId w:val="10"/>
        </w:numPr>
        <w:rPr/>
      </w:pPr>
      <w:r>
        <w:rPr/>
        <w:t>Restructuring of whole class diagram to support multiple decoders</w:t>
      </w:r>
    </w:p>
    <w:p>
      <w:pPr>
        <w:pStyle w:val="TextBody"/>
        <w:numPr>
          <w:ilvl w:val="1"/>
          <w:numId w:val="10"/>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sigrok.org/wiki/PulseView" TargetMode="External"/><Relationship Id="rId7" Type="http://schemas.openxmlformats.org/officeDocument/2006/relationships/hyperlink" Target="https://sigrok.org/api/libsigrokdecode/0.3.0/index.html" TargetMode="External"/><Relationship Id="rId8" Type="http://schemas.openxmlformats.org/officeDocument/2006/relationships/hyperlink" Target="https://developer.gnome.org/glib/unstable/" TargetMode="External"/><Relationship Id="rId9" Type="http://schemas.openxmlformats.org/officeDocument/2006/relationships/hyperlink" Target="https://docs.python.org/3/c-api/index.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LibreOffice/7.0.4.2$Linux_X86_64 LibreOffice_project/00$Build-2</Application>
  <AppVersion>15.0000</AppVersion>
  <Pages>12</Pages>
  <Words>3928</Words>
  <Characters>21598</Characters>
  <CharactersWithSpaces>25243</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2021-03-01T17:51:44Z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