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2"/>
        </w:rPr>
        <w:t>SMILESRender: A Unified Open-Source Web Platform for Centralised Cheminformatics and Multi-Engine ADMET Profiling</w:t>
      </w:r>
    </w:p>
    <w:p>
      <w:pPr>
        <w:spacing w:before="80" w:after="40"/>
        <w:jc w:val="center"/>
      </w:pPr>
      <w:r>
        <w:rPr>
          <w:rFonts w:ascii="Times New Roman" w:hAnsi="Times New Roman"/>
          <w:b/>
          <w:i w:val="0"/>
          <w:sz w:val="24"/>
        </w:rPr>
        <w:t>Rui A. B. Shiraishi</w:t>
      </w:r>
      <w:r>
        <w:rPr>
          <w:rFonts w:ascii="Times New Roman" w:hAnsi="Times New Roman"/>
          <w:b w:val="0"/>
          <w:i w:val="0"/>
          <w:sz w:val="24"/>
        </w:rPr>
        <w:t>¹* &amp; Gabriel Grechuk</w:t>
      </w:r>
      <w:r>
        <w:rPr>
          <w:rFonts w:ascii="Times New Roman" w:hAnsi="Times New Roman"/>
          <w:b w:val="0"/>
          <w:i w:val="0"/>
          <w:sz w:val="16"/>
          <w:vertAlign w:val="superscript"/>
        </w:rPr>
        <w:t>¹</w:t>
      </w:r>
    </w:p>
    <w:p>
      <w:pPr>
        <w:spacing w:before="0" w:after="40"/>
        <w:jc w:val="center"/>
      </w:pPr>
      <w:r>
        <w:rPr>
          <w:rFonts w:ascii="Times New Roman" w:hAnsi="Times New Roman"/>
          <w:b w:val="0"/>
          <w:i/>
          <w:sz w:val="20"/>
        </w:rPr>
        <w:t>¹ [Department], [Institution], [City, Country]</w:t>
      </w:r>
    </w:p>
    <w:p>
      <w:pPr>
        <w:spacing w:before="0" w:after="200"/>
        <w:jc w:val="center"/>
      </w:pPr>
      <w:r>
        <w:rPr>
          <w:rFonts w:ascii="Times New Roman" w:hAnsi="Times New Roman"/>
          <w:b w:val="0"/>
          <w:i/>
          <w:sz w:val="20"/>
        </w:rPr>
        <w:t>*Corresponding author: carlos.seiti.shiraishi@gmail.com</w:t>
      </w:r>
    </w:p>
    <w:p>
      <w:r>
        <w:t>────────────────────────────────────────────────────────────────────────────────</w:t>
      </w:r>
    </w:p>
    <w:p>
      <w:pPr>
        <w:spacing w:before="240" w:after="80"/>
        <w:jc w:val="left"/>
      </w:pPr>
      <w:r>
        <w:rPr>
          <w:rFonts w:ascii="Times New Roman" w:hAnsi="Times New Roman"/>
          <w:b/>
          <w:i w:val="0"/>
          <w:sz w:val="28"/>
        </w:rPr>
        <w:t>Abstract</w:t>
      </w:r>
    </w:p>
    <w:p>
      <w:pPr>
        <w:spacing w:before="0" w:after="120"/>
        <w:jc w:val="both"/>
      </w:pPr>
      <w:r>
        <w:rPr>
          <w:rFonts w:ascii="Times New Roman" w:hAnsi="Times New Roman"/>
          <w:b w:val="0"/>
          <w:i w:val="0"/>
          <w:sz w:val="24"/>
        </w:rPr>
        <w:t>Computational ADMET (Absorption, Distribution, Metabolism, Excretion, and Toxicity) profiling is central to early-stage drug discovery, yet researchers must navigate a fragmented landscape of disconnected tools — structure editors, descriptor calculators, web-based prediction servers, and programming environments — that impose significant data-logistics overhead and limit reproducibility. We present SMILESRender, an open-source web platform that consolidates this toolset into a single session-consistent, offline-capable deployment. The platform integrates molecular structure rendering and interactive editing (JSME), comprehensive ADMET profiling spanning 85+ endpoints through three embedded local machine learning models and three external prediction oracles, structural alert screening (PAINS, BRENK, NIH catalogs), 60+ physicochemical descriptors, four QSAR-ready fingerprint types, chemical similarity search, and IUPAC nomenclature conversion. A rule-based Automated Interpretation Engine translates aggregated numerical predictions into severity-classified plain-language risk narratives, making ADMET data accessible to non-computational users. A systematic benchmark against five widely-used open-source cheminformatics platforms — DataWarrior, KNIME, Galaxy, ChemMine Tools, and MarvinSketch — demonstrates that SMILESRender is the only tool providing web-native, integrated multi-engine ADMET coverage with automated interpretation and Docker-reproducible deployment. Applied to a library of 20 thieno[2,3-b]pyridine derivatives, the platform completed full ADMET profiling in under 12 minutes, compared with approximately three hours for the equivalent manual multi-tool workflow. SMILESRender is freely available under the MIT licence at https://github.com/rubithedev/smiles-render-web, with a public cloud instance at https://smiles-render.onrender.com and a Docker Compose image for local deployment.</w:t>
      </w:r>
    </w:p>
    <w:p>
      <w:r>
        <w:t>────────────────────────────────────────────────────────────────────────────────</w:t>
      </w:r>
    </w:p>
    <w:p>
      <w:pPr>
        <w:spacing w:before="240" w:after="80"/>
        <w:jc w:val="left"/>
      </w:pPr>
      <w:r>
        <w:rPr>
          <w:rFonts w:ascii="Times New Roman" w:hAnsi="Times New Roman"/>
          <w:b/>
          <w:i w:val="0"/>
          <w:sz w:val="28"/>
        </w:rPr>
        <w:t>Introduction</w:t>
      </w:r>
    </w:p>
    <w:p>
      <w:pPr>
        <w:spacing w:before="0" w:after="120"/>
        <w:jc w:val="both"/>
      </w:pPr>
      <w:r>
        <w:rPr>
          <w:rFonts w:ascii="Times New Roman" w:hAnsi="Times New Roman"/>
          <w:b w:val="0"/>
          <w:i w:val="0"/>
          <w:sz w:val="24"/>
        </w:rPr>
        <w:t>Attrition due to unfavourable pharmacokinetics and toxicity remains the leading cause of failure in pharmaceutical development, responsible for 30–40% of clinical trial terminations even after decades of ADMET-guided lead optimisation</w:t>
      </w:r>
      <w:r>
        <w:rPr>
          <w:rFonts w:ascii="Times New Roman" w:hAnsi="Times New Roman"/>
          <w:b w:val="0"/>
          <w:i w:val="0"/>
          <w:sz w:val="16"/>
          <w:vertAlign w:val="superscript"/>
        </w:rPr>
        <w:t>12</w:t>
      </w:r>
      <w:r>
        <w:rPr>
          <w:rFonts w:ascii="Times New Roman" w:hAnsi="Times New Roman"/>
          <w:b w:val="0"/>
          <w:i w:val="0"/>
          <w:sz w:val="24"/>
        </w:rPr>
        <w:t>. Computational prediction of ADMET properties has become indispensable for candidate prioritisation before synthesis, enabling researchers to screen large chemical libraries at a fraction of the cost of experimental assays</w:t>
      </w:r>
      <w:r>
        <w:rPr>
          <w:rFonts w:ascii="Times New Roman" w:hAnsi="Times New Roman"/>
          <w:b w:val="0"/>
          <w:i w:val="0"/>
          <w:sz w:val="16"/>
          <w:vertAlign w:val="superscript"/>
        </w:rPr>
        <w:t>3</w:t>
      </w:r>
      <w:r>
        <w:rPr>
          <w:rFonts w:ascii="Times New Roman" w:hAnsi="Times New Roman"/>
          <w:b w:val="0"/>
          <w:i w:val="0"/>
          <w:sz w:val="24"/>
        </w:rPr>
        <w:t>. The five ADMET categories — Absorption, Distribution, Metabolism, Excretion, and Toxicity — together determine whether an orally administered compound reaches its target in sufficient concentration and for sufficient duration, without causing unacceptable harm to the patient.</w:t>
      </w:r>
    </w:p>
    <w:p>
      <w:pPr>
        <w:spacing w:before="0" w:after="120"/>
        <w:jc w:val="both"/>
      </w:pPr>
      <w:r>
        <w:rPr>
          <w:rFonts w:ascii="Times New Roman" w:hAnsi="Times New Roman"/>
          <w:b w:val="0"/>
          <w:i w:val="0"/>
          <w:sz w:val="24"/>
        </w:rPr>
        <w:t>The cheminformatics community has responded to this need with a rich ecosystem of specialised tools. Web-based services such as SwissADME</w:t>
      </w:r>
      <w:r>
        <w:rPr>
          <w:rFonts w:ascii="Times New Roman" w:hAnsi="Times New Roman"/>
          <w:b w:val="0"/>
          <w:i w:val="0"/>
          <w:sz w:val="16"/>
          <w:vertAlign w:val="superscript"/>
        </w:rPr>
        <w:t>4</w:t>
      </w:r>
      <w:r>
        <w:rPr>
          <w:rFonts w:ascii="Times New Roman" w:hAnsi="Times New Roman"/>
          <w:b w:val="0"/>
          <w:i w:val="0"/>
          <w:sz w:val="24"/>
        </w:rPr>
        <w:t>, pkCSM</w:t>
      </w:r>
      <w:r>
        <w:rPr>
          <w:rFonts w:ascii="Times New Roman" w:hAnsi="Times New Roman"/>
          <w:b w:val="0"/>
          <w:i w:val="0"/>
          <w:sz w:val="16"/>
          <w:vertAlign w:val="superscript"/>
        </w:rPr>
        <w:t>5</w:t>
      </w:r>
      <w:r>
        <w:rPr>
          <w:rFonts w:ascii="Times New Roman" w:hAnsi="Times New Roman"/>
          <w:b w:val="0"/>
          <w:i w:val="0"/>
          <w:sz w:val="24"/>
        </w:rPr>
        <w:t>, ADMETlab 3.0</w:t>
      </w:r>
      <w:r>
        <w:rPr>
          <w:rFonts w:ascii="Times New Roman" w:hAnsi="Times New Roman"/>
          <w:b w:val="0"/>
          <w:i w:val="0"/>
          <w:sz w:val="16"/>
          <w:vertAlign w:val="superscript"/>
        </w:rPr>
        <w:t>6</w:t>
      </w:r>
      <w:r>
        <w:rPr>
          <w:rFonts w:ascii="Times New Roman" w:hAnsi="Times New Roman"/>
          <w:b w:val="0"/>
          <w:i w:val="0"/>
          <w:sz w:val="24"/>
        </w:rPr>
        <w:t xml:space="preserve">, and the </w:t>
      </w:r>
      <w:r>
        <w:rPr>
          <w:rFonts w:ascii="Times New Roman" w:hAnsi="Times New Roman"/>
          <w:b w:val="0"/>
          <w:i/>
          <w:sz w:val="24"/>
        </w:rPr>
        <w:t>admet_ai</w:t>
      </w:r>
      <w:r>
        <w:rPr>
          <w:rFonts w:ascii="Times New Roman" w:hAnsi="Times New Roman"/>
          <w:b w:val="0"/>
          <w:i w:val="0"/>
          <w:sz w:val="24"/>
        </w:rPr>
        <w:t xml:space="preserve"> Python library</w:t>
      </w:r>
      <w:r>
        <w:rPr>
          <w:rFonts w:ascii="Times New Roman" w:hAnsi="Times New Roman"/>
          <w:b w:val="0"/>
          <w:i w:val="0"/>
          <w:sz w:val="16"/>
          <w:vertAlign w:val="superscript"/>
        </w:rPr>
        <w:t>7</w:t>
      </w:r>
      <w:r>
        <w:rPr>
          <w:rFonts w:ascii="Times New Roman" w:hAnsi="Times New Roman"/>
          <w:b w:val="0"/>
          <w:i w:val="0"/>
          <w:sz w:val="24"/>
        </w:rPr>
        <w:t xml:space="preserve"> each cover a distinct subset of ADMET properties with high predictive performance. Structure-focused desktop platforms such as DataWarrior</w:t>
      </w:r>
      <w:r>
        <w:rPr>
          <w:rFonts w:ascii="Times New Roman" w:hAnsi="Times New Roman"/>
          <w:b w:val="0"/>
          <w:i w:val="0"/>
          <w:sz w:val="16"/>
          <w:vertAlign w:val="superscript"/>
        </w:rPr>
        <w:t>8</w:t>
      </w:r>
      <w:r>
        <w:rPr>
          <w:rFonts w:ascii="Times New Roman" w:hAnsi="Times New Roman"/>
          <w:b w:val="0"/>
          <w:i w:val="0"/>
          <w:sz w:val="24"/>
        </w:rPr>
        <w:t xml:space="preserve"> and MarvinSketch provide excellent molecular visualisation and drug-likeness computation. Workflow platforms such as KNIME</w:t>
      </w:r>
      <w:r>
        <w:rPr>
          <w:rFonts w:ascii="Times New Roman" w:hAnsi="Times New Roman"/>
          <w:b w:val="0"/>
          <w:i w:val="0"/>
          <w:sz w:val="16"/>
          <w:vertAlign w:val="superscript"/>
        </w:rPr>
        <w:t>9</w:t>
      </w:r>
      <w:r>
        <w:rPr>
          <w:rFonts w:ascii="Times New Roman" w:hAnsi="Times New Roman"/>
          <w:b w:val="0"/>
          <w:i w:val="0"/>
          <w:sz w:val="24"/>
        </w:rPr>
        <w:t xml:space="preserve"> with RDKit nodes and Galaxy cheminformatics tools</w:t>
      </w:r>
      <w:r>
        <w:rPr>
          <w:rFonts w:ascii="Times New Roman" w:hAnsi="Times New Roman"/>
          <w:b w:val="0"/>
          <w:i w:val="0"/>
          <w:sz w:val="16"/>
          <w:vertAlign w:val="superscript"/>
        </w:rPr>
        <w:t>10</w:t>
      </w:r>
      <w:r>
        <w:rPr>
          <w:rFonts w:ascii="Times New Roman" w:hAnsi="Times New Roman"/>
          <w:b w:val="0"/>
          <w:i w:val="0"/>
          <w:sz w:val="24"/>
        </w:rPr>
        <w:t xml:space="preserve"> allow construction of custom analysis pipelines. Together, these tools represent a powerful and largely open computational resource for medicinal chemistry.</w:t>
      </w:r>
    </w:p>
    <w:p>
      <w:pPr>
        <w:spacing w:before="0" w:after="120"/>
        <w:jc w:val="both"/>
      </w:pPr>
      <w:r>
        <w:rPr>
          <w:rFonts w:ascii="Times New Roman" w:hAnsi="Times New Roman"/>
          <w:b w:val="0"/>
          <w:i w:val="0"/>
          <w:sz w:val="24"/>
        </w:rPr>
        <w:t>However, effective use of this ecosystem requires navigating its fragmentation. A researcher profiling 20 candidate molecules must enter SMILES strings at multiple separate websites, manage incompatible output formats, and manually reconcile predictions across heterogeneous numerical scales. Desktop tools require local installation and do not interface with web prediction services. Programming-based platforms (KNIME, RDKit scripts) demand computational expertise unavailable to many medicinal chemists. Platforms that rely exclusively on external API calls are vulnerable to server downtime, rate limiting, and API deprecation — all of which can disrupt an analysis session without warning. The cumulative overhead of this multi-tool workflow has been estimated at two to three hours for a 20-compound library, a bottleneck that is disproportionately acute for non-computational researchers who constitute the majority of potential users.</w:t>
      </w:r>
    </w:p>
    <w:p>
      <w:pPr>
        <w:spacing w:before="0" w:after="120"/>
        <w:jc w:val="both"/>
      </w:pPr>
      <w:r>
        <w:rPr>
          <w:rFonts w:ascii="Times New Roman" w:hAnsi="Times New Roman"/>
          <w:b w:val="0"/>
          <w:i w:val="0"/>
          <w:sz w:val="24"/>
        </w:rPr>
        <w:t>SMILESRender was designed to close this gap. By embedding machine learning models locally — eliminating network dependency for core ADMET properties — and integrating structure editing, descriptor computation, alert screening, similarity search, and automated interpretation within a single web session, the platform transforms ADMET profiling from a multi-hour, multi-tool process into a sub-15-minute workflow accessible from any browser. Here we describe the platform's architecture and capabilities, present an application to a real medicinal chemistry dataset, and benchmark its feature coverage against the principal open-source alternatives.</w:t>
      </w:r>
    </w:p>
    <w:p>
      <w:r>
        <w:t>────────────────────────────────────────────────────────────────────────────────</w:t>
      </w:r>
    </w:p>
    <w:p>
      <w:pPr>
        <w:spacing w:before="240" w:after="80"/>
        <w:jc w:val="left"/>
      </w:pPr>
      <w:r>
        <w:rPr>
          <w:rFonts w:ascii="Times New Roman" w:hAnsi="Times New Roman"/>
          <w:b/>
          <w:i w:val="0"/>
          <w:sz w:val="28"/>
        </w:rPr>
        <w:t>Results</w:t>
      </w:r>
    </w:p>
    <w:p>
      <w:pPr>
        <w:spacing w:before="240" w:after="80"/>
        <w:jc w:val="left"/>
      </w:pPr>
      <w:r>
        <w:rPr>
          <w:rFonts w:ascii="Times New Roman" w:hAnsi="Times New Roman"/>
          <w:b/>
          <w:i w:val="0"/>
          <w:sz w:val="24"/>
        </w:rPr>
        <w:t>Platform Overview and Architecture</w:t>
      </w:r>
    </w:p>
    <w:p>
      <w:pPr>
        <w:spacing w:before="0" w:after="120"/>
        <w:jc w:val="both"/>
      </w:pPr>
      <w:r>
        <w:rPr>
          <w:rFonts w:ascii="Times New Roman" w:hAnsi="Times New Roman"/>
          <w:b w:val="0"/>
          <w:i w:val="0"/>
          <w:sz w:val="24"/>
        </w:rPr>
        <w:t>SMILESRender operates as a three-tier web application: a React 19/TypeScript single-page frontend, a Python Flask 3.0 REST backend (Waitress 3.0 WSGI), and an optional Redis 7.4 cache layer (Figure 1). Six analytical modules are accessible from a unified hub: ADMET Profiling, Molecular Renderer, Descriptors, Similarity Search, IUPAC Converter, and Peptide Engineering. All modules share a single SMILES input session — a structure entered in any module is immediately accessible across all others without re-entry.</w:t>
      </w:r>
    </w:p>
    <w:p>
      <w:pPr>
        <w:spacing w:before="0" w:after="120"/>
        <w:jc w:val="both"/>
      </w:pPr>
      <w:r>
        <w:rPr>
          <w:rFonts w:ascii="Times New Roman" w:hAnsi="Times New Roman"/>
          <w:b w:val="0"/>
          <w:i w:val="0"/>
          <w:sz w:val="24"/>
        </w:rPr>
        <w:t xml:space="preserve">The backend maintains two computation pathways. The </w:t>
      </w:r>
      <w:r>
        <w:rPr>
          <w:rFonts w:ascii="Times New Roman" w:hAnsi="Times New Roman"/>
          <w:b/>
          <w:i w:val="0"/>
          <w:sz w:val="24"/>
        </w:rPr>
        <w:t>local pathway</w:t>
      </w:r>
      <w:r>
        <w:rPr>
          <w:rFonts w:ascii="Times New Roman" w:hAnsi="Times New Roman"/>
          <w:b w:val="0"/>
          <w:i w:val="0"/>
          <w:sz w:val="24"/>
        </w:rPr>
        <w:t xml:space="preserve"> runs three embedded ML models and all RDKit operations entirely in-process, requiring no network access and providing 100% uptime independent of external service availability. The </w:t>
      </w:r>
      <w:r>
        <w:rPr>
          <w:rFonts w:ascii="Times New Roman" w:hAnsi="Times New Roman"/>
          <w:b/>
          <w:i w:val="0"/>
          <w:sz w:val="24"/>
        </w:rPr>
        <w:t>external pathway</w:t>
      </w:r>
      <w:r>
        <w:rPr>
          <w:rFonts w:ascii="Times New Roman" w:hAnsi="Times New Roman"/>
          <w:b w:val="0"/>
          <w:i w:val="0"/>
          <w:sz w:val="24"/>
        </w:rPr>
        <w:t xml:space="preserve"> orchestrates asynchronous queries to three prediction servers — StopTox</w:t>
      </w:r>
      <w:r>
        <w:rPr>
          <w:rFonts w:ascii="Times New Roman" w:hAnsi="Times New Roman"/>
          <w:b w:val="0"/>
          <w:i w:val="0"/>
          <w:sz w:val="16"/>
          <w:vertAlign w:val="superscript"/>
        </w:rPr>
        <w:t>11</w:t>
      </w:r>
      <w:r>
        <w:rPr>
          <w:rFonts w:ascii="Times New Roman" w:hAnsi="Times New Roman"/>
          <w:b w:val="0"/>
          <w:i w:val="0"/>
          <w:sz w:val="24"/>
        </w:rPr>
        <w:t>, StopLight</w:t>
      </w:r>
      <w:r>
        <w:rPr>
          <w:rFonts w:ascii="Times New Roman" w:hAnsi="Times New Roman"/>
          <w:b w:val="0"/>
          <w:i w:val="0"/>
          <w:sz w:val="16"/>
          <w:vertAlign w:val="superscript"/>
        </w:rPr>
        <w:t>12</w:t>
      </w:r>
      <w:r>
        <w:rPr>
          <w:rFonts w:ascii="Times New Roman" w:hAnsi="Times New Roman"/>
          <w:b w:val="0"/>
          <w:i w:val="0"/>
          <w:sz w:val="24"/>
        </w:rPr>
        <w:t>, and ProTox 3.0</w:t>
      </w:r>
      <w:r>
        <w:rPr>
          <w:rFonts w:ascii="Times New Roman" w:hAnsi="Times New Roman"/>
          <w:b w:val="0"/>
          <w:i w:val="0"/>
          <w:sz w:val="16"/>
          <w:vertAlign w:val="superscript"/>
        </w:rPr>
        <w:t>13</w:t>
      </w:r>
      <w:r>
        <w:rPr>
          <w:rFonts w:ascii="Times New Roman" w:hAnsi="Times New Roman"/>
          <w:b w:val="0"/>
          <w:i w:val="0"/>
          <w:sz w:val="24"/>
        </w:rPr>
        <w:t xml:space="preserve"> — through a fault-isolation layer (ToolErrorBoundary) that preserves results from functioning services when any upstream server is unavailable. Together, the two pathways cover 85+ ADMET endpoints. A Redis cache (24-hour TTL, keyed by MD5 of canonical SMILES) reduces redundant external queries by 60–80% in iterative workflows. The full platform is containerised via Docker Compose, ensuring bit-identical results across deployments and enabling air-gapped local instances for data-sensitive environments.</w:t>
      </w:r>
    </w:p>
    <w:p>
      <w:pPr>
        <w:spacing w:before="240" w:after="80"/>
        <w:jc w:val="left"/>
      </w:pPr>
      <w:r>
        <w:rPr>
          <w:rFonts w:ascii="Times New Roman" w:hAnsi="Times New Roman"/>
          <w:b/>
          <w:i w:val="0"/>
          <w:sz w:val="24"/>
        </w:rPr>
        <w:t>Molecular Structure Rendering and Interactive Editing</w:t>
      </w:r>
    </w:p>
    <w:p>
      <w:pPr>
        <w:spacing w:before="0" w:after="120"/>
        <w:jc w:val="both"/>
      </w:pPr>
      <w:r>
        <w:rPr>
          <w:rFonts w:ascii="Times New Roman" w:hAnsi="Times New Roman"/>
          <w:b w:val="0"/>
          <w:i w:val="0"/>
          <w:sz w:val="24"/>
        </w:rPr>
        <w:t>SMILES strings are converted to 2D structural images using RDKit's Draw.MolToImage API with rdDepictor coordinate generation. Images are produced with transparent backgrounds (alpha-channel replacement of the white canvas), enabling direct use in publications and presentations. Eight export formats are supported: PNG, JPEG, WEBP, TIFF, BMP, GIF, EPS, and ICO. Batch mode accepts up to 20 SMILES per request and returns a deduplicated ZIP archive. Reaction SMILES (reactants&gt;&gt;products) are visualised as annotated reaction schemes via rdkit.Chem.Draw.ReactionToImage with atom-mapping support.</w:t>
      </w:r>
    </w:p>
    <w:p>
      <w:pPr>
        <w:spacing w:before="0" w:after="120"/>
        <w:jc w:val="both"/>
      </w:pPr>
      <w:r>
        <w:rPr>
          <w:rFonts w:ascii="Times New Roman" w:hAnsi="Times New Roman"/>
          <w:b w:val="0"/>
          <w:i w:val="0"/>
          <w:sz w:val="24"/>
        </w:rPr>
        <w:t>Interactive structure drawing is provided through the JSME Molecular Editor</w:t>
      </w:r>
      <w:r>
        <w:rPr>
          <w:rFonts w:ascii="Times New Roman" w:hAnsi="Times New Roman"/>
          <w:b w:val="0"/>
          <w:i w:val="0"/>
          <w:sz w:val="16"/>
          <w:vertAlign w:val="superscript"/>
        </w:rPr>
        <w:t>14</w:t>
      </w:r>
      <w:r>
        <w:rPr>
          <w:rFonts w:ascii="Times New Roman" w:hAnsi="Times New Roman"/>
          <w:b w:val="0"/>
          <w:i w:val="0"/>
          <w:sz w:val="24"/>
        </w:rPr>
        <w:t>, embedded as a browser-native JavaScript component requiring no plugin installation. Users can draw structures from scratch or modify existing SMILES, with JSME exporting canonical SMILES that feed directly into all downstream prediction modules. A custom benzene-ring cursor is applied to SMILES text fields as a domain-context affordance (Figure 2B).</w:t>
      </w:r>
    </w:p>
    <w:p>
      <w:pPr>
        <w:spacing w:before="240" w:after="80"/>
        <w:jc w:val="left"/>
      </w:pPr>
      <w:r>
        <w:rPr>
          <w:rFonts w:ascii="Times New Roman" w:hAnsi="Times New Roman"/>
          <w:b/>
          <w:i w:val="0"/>
          <w:sz w:val="24"/>
        </w:rPr>
        <w:t>Comprehensive ADMET Profiling</w:t>
      </w:r>
    </w:p>
    <w:p>
      <w:pPr>
        <w:spacing w:before="0" w:after="120"/>
        <w:jc w:val="both"/>
      </w:pPr>
      <w:r>
        <w:rPr>
          <w:rFonts w:ascii="Times New Roman" w:hAnsi="Times New Roman"/>
          <w:b w:val="0"/>
          <w:i w:val="0"/>
          <w:sz w:val="24"/>
        </w:rPr>
        <w:t>The ADMET Profiling module is the scientific centrepiece of SMILESRender. It covers 85+ endpoints across all five ADMET categories through three complementary layers that operate simultaneously and independently.</w:t>
      </w:r>
    </w:p>
    <w:p>
      <w:pPr>
        <w:spacing w:before="120" w:after="40"/>
        <w:jc w:val="left"/>
      </w:pPr>
      <w:r>
        <w:rPr>
          <w:rFonts w:ascii="Times New Roman" w:hAnsi="Times New Roman"/>
          <w:b/>
          <w:i/>
          <w:sz w:val="22"/>
        </w:rPr>
        <w:t>Absorption</w:t>
      </w:r>
    </w:p>
    <w:p>
      <w:pPr>
        <w:spacing w:before="0" w:after="120"/>
        <w:jc w:val="both"/>
      </w:pPr>
      <w:r>
        <w:rPr>
          <w:rFonts w:ascii="Times New Roman" w:hAnsi="Times New Roman"/>
          <w:b w:val="0"/>
          <w:i w:val="0"/>
          <w:sz w:val="24"/>
        </w:rPr>
        <w:t xml:space="preserve">Oral absorption is governed by intestinal permeability and first-pass metabolism. SMILESRender covers absorption through: (i) human intestinal absorption (HIA) — the fraction absorbed via passive and active transport, predicted by the Chemprop D-MPNN via </w:t>
      </w:r>
      <w:r>
        <w:rPr>
          <w:rFonts w:ascii="Times New Roman" w:hAnsi="Times New Roman"/>
          <w:b w:val="0"/>
          <w:i/>
          <w:sz w:val="24"/>
        </w:rPr>
        <w:t>admet_ai</w:t>
      </w:r>
      <w:r>
        <w:rPr>
          <w:rFonts w:ascii="Times New Roman" w:hAnsi="Times New Roman"/>
          <w:b w:val="0"/>
          <w:i w:val="0"/>
          <w:sz w:val="16"/>
          <w:vertAlign w:val="superscript"/>
        </w:rPr>
        <w:t>7</w:t>
      </w:r>
      <w:r>
        <w:rPr>
          <w:rFonts w:ascii="Times New Roman" w:hAnsi="Times New Roman"/>
          <w:b w:val="0"/>
          <w:i w:val="0"/>
          <w:sz w:val="24"/>
        </w:rPr>
        <w:t xml:space="preserve"> (AUC-ROC 0.98 on TDC benchmark</w:t>
      </w:r>
      <w:r>
        <w:rPr>
          <w:rFonts w:ascii="Times New Roman" w:hAnsi="Times New Roman"/>
          <w:b w:val="0"/>
          <w:i w:val="0"/>
          <w:sz w:val="16"/>
          <w:vertAlign w:val="superscript"/>
        </w:rPr>
        <w:t>7</w:t>
      </w:r>
      <w:r>
        <w:rPr>
          <w:rFonts w:ascii="Times New Roman" w:hAnsi="Times New Roman"/>
          <w:b w:val="0"/>
          <w:i w:val="0"/>
          <w:sz w:val="24"/>
        </w:rPr>
        <w:t>); (ii) Caco-2 permeability — transcellular permeability through the Caco-2 cell monolayer, the standard in vitro surrogate for intestinal permeability (Pearson r = 0.60 on TDC</w:t>
      </w:r>
      <w:r>
        <w:rPr>
          <w:rFonts w:ascii="Times New Roman" w:hAnsi="Times New Roman"/>
          <w:b w:val="0"/>
          <w:i w:val="0"/>
          <w:sz w:val="16"/>
          <w:vertAlign w:val="superscript"/>
        </w:rPr>
        <w:t>7</w:t>
      </w:r>
      <w:r>
        <w:rPr>
          <w:rFonts w:ascii="Times New Roman" w:hAnsi="Times New Roman"/>
          <w:b w:val="0"/>
          <w:i w:val="0"/>
          <w:sz w:val="24"/>
        </w:rPr>
        <w:t>); (iii) PAMPA permeability for passive transcellular transport; (iv) P-glycoprotein substrate and inhibitor predictions, critical because P-gp actively effluxes numerous drug candidates from the intestinal epithelium and the blood-brain barrier; and (v) oral bioavailability estimates (F20%, F30%). Complementing these ML-based predictions, the local RDKit engine computes TPSA and flags values &gt; 140 Å</w:t>
      </w:r>
      <w:r>
        <w:rPr>
          <w:rFonts w:ascii="Times New Roman" w:hAnsi="Times New Roman"/>
          <w:b w:val="0"/>
          <w:i w:val="0"/>
          <w:sz w:val="16"/>
          <w:vertAlign w:val="superscript"/>
        </w:rPr>
        <w:t>2</w:t>
      </w:r>
      <w:r>
        <w:rPr>
          <w:rFonts w:ascii="Times New Roman" w:hAnsi="Times New Roman"/>
          <w:b w:val="0"/>
          <w:i w:val="0"/>
          <w:sz w:val="24"/>
        </w:rPr>
        <w:t xml:space="preserve"> (reduced oral absorption, Veber et al.</w:t>
      </w:r>
      <w:r>
        <w:rPr>
          <w:rFonts w:ascii="Times New Roman" w:hAnsi="Times New Roman"/>
          <w:b w:val="0"/>
          <w:i w:val="0"/>
          <w:sz w:val="16"/>
          <w:vertAlign w:val="superscript"/>
        </w:rPr>
        <w:t>15</w:t>
      </w:r>
      <w:r>
        <w:rPr>
          <w:rFonts w:ascii="Times New Roman" w:hAnsi="Times New Roman"/>
          <w:b w:val="0"/>
          <w:i w:val="0"/>
          <w:sz w:val="24"/>
        </w:rPr>
        <w:t>) and violations of the Lipinski Rule of Five</w:t>
      </w:r>
      <w:r>
        <w:rPr>
          <w:rFonts w:ascii="Times New Roman" w:hAnsi="Times New Roman"/>
          <w:b w:val="0"/>
          <w:i w:val="0"/>
          <w:sz w:val="16"/>
          <w:vertAlign w:val="superscript"/>
        </w:rPr>
        <w:t>16</w:t>
      </w:r>
      <w:r>
        <w:rPr>
          <w:rFonts w:ascii="Times New Roman" w:hAnsi="Times New Roman"/>
          <w:b w:val="0"/>
          <w:i w:val="0"/>
          <w:sz w:val="24"/>
        </w:rPr>
        <w:t>, Veber, Ghose, Egan, and Muegge drug-likeness filters.</w:t>
      </w:r>
    </w:p>
    <w:p>
      <w:pPr>
        <w:spacing w:before="120" w:after="40"/>
        <w:jc w:val="left"/>
      </w:pPr>
      <w:r>
        <w:rPr>
          <w:rFonts w:ascii="Times New Roman" w:hAnsi="Times New Roman"/>
          <w:b/>
          <w:i/>
          <w:sz w:val="22"/>
        </w:rPr>
        <w:t>Distribution</w:t>
      </w:r>
    </w:p>
    <w:p>
      <w:pPr>
        <w:spacing w:before="0" w:after="120"/>
        <w:jc w:val="both"/>
      </w:pPr>
      <w:r>
        <w:rPr>
          <w:rFonts w:ascii="Times New Roman" w:hAnsi="Times New Roman"/>
          <w:b w:val="0"/>
          <w:i w:val="0"/>
          <w:sz w:val="24"/>
        </w:rPr>
        <w:t>Once absorbed, a compound partitions between plasma, tissues, and target organs. The most pharmacologically critical distribution endpoint is blood-brain barrier (BBB) permeability, which determines whether a drug can reach the CNS. SMILESRender provides two independent BBB predictions: a locally embedded GradientBoosting model trained on the curated B3DB dataset</w:t>
      </w:r>
      <w:r>
        <w:rPr>
          <w:rFonts w:ascii="Times New Roman" w:hAnsi="Times New Roman"/>
          <w:b w:val="0"/>
          <w:i w:val="0"/>
          <w:sz w:val="16"/>
          <w:vertAlign w:val="superscript"/>
        </w:rPr>
        <w:t>17</w:t>
      </w:r>
      <w:r>
        <w:rPr>
          <w:rFonts w:ascii="Times New Roman" w:hAnsi="Times New Roman"/>
          <w:b w:val="0"/>
          <w:i w:val="0"/>
          <w:sz w:val="24"/>
        </w:rPr>
        <w:t xml:space="preserve"> (n = 7,643; AUC-ROC = 0.92 on stratified hold-out), and the Chemprop BBB_Martins model via </w:t>
      </w:r>
      <w:r>
        <w:rPr>
          <w:rFonts w:ascii="Times New Roman" w:hAnsi="Times New Roman"/>
          <w:b w:val="0"/>
          <w:i/>
          <w:sz w:val="24"/>
        </w:rPr>
        <w:t>admet_ai</w:t>
      </w:r>
      <w:r>
        <w:rPr>
          <w:rFonts w:ascii="Times New Roman" w:hAnsi="Times New Roman"/>
          <w:b w:val="0"/>
          <w:i w:val="0"/>
          <w:sz w:val="24"/>
        </w:rPr>
        <w:t>. Concordant BBB− predictions from both models constitute a high-confidence CNS-impermeability signal. Each local BBB prediction is accompanied by a Tanimoto applicability domain (AD) flag: compounds with nearest-neighbour similarity to the training set below 0.30 receive an explicit uncertainty warning, following the OPERA QSAR AD framework</w:t>
      </w:r>
      <w:r>
        <w:rPr>
          <w:rFonts w:ascii="Times New Roman" w:hAnsi="Times New Roman"/>
          <w:b w:val="0"/>
          <w:i w:val="0"/>
          <w:sz w:val="16"/>
          <w:vertAlign w:val="superscript"/>
        </w:rPr>
        <w:t>18</w:t>
      </w:r>
      <w:r>
        <w:rPr>
          <w:rFonts w:ascii="Times New Roman" w:hAnsi="Times New Roman"/>
          <w:b w:val="0"/>
          <w:i w:val="0"/>
          <w:sz w:val="24"/>
        </w:rPr>
        <w:t>.</w:t>
      </w:r>
    </w:p>
    <w:p>
      <w:pPr>
        <w:spacing w:before="0" w:after="120"/>
        <w:jc w:val="both"/>
      </w:pPr>
      <w:r>
        <w:rPr>
          <w:rFonts w:ascii="Times New Roman" w:hAnsi="Times New Roman"/>
          <w:b w:val="0"/>
          <w:i w:val="0"/>
          <w:sz w:val="24"/>
        </w:rPr>
        <w:t xml:space="preserve">Additional distribution endpoints from </w:t>
      </w:r>
      <w:r>
        <w:rPr>
          <w:rFonts w:ascii="Times New Roman" w:hAnsi="Times New Roman"/>
          <w:b w:val="0"/>
          <w:i/>
          <w:sz w:val="24"/>
        </w:rPr>
        <w:t>admet_ai</w:t>
      </w:r>
      <w:r>
        <w:rPr>
          <w:rFonts w:ascii="Times New Roman" w:hAnsi="Times New Roman"/>
          <w:b w:val="0"/>
          <w:i w:val="0"/>
          <w:sz w:val="24"/>
        </w:rPr>
        <w:t xml:space="preserve"> include plasma protein binding (PPBR), volume of distribution at steady state (VDss), and P-glycoprotein substrate prediction at non-intestinal barriers.</w:t>
      </w:r>
    </w:p>
    <w:p>
      <w:pPr>
        <w:spacing w:before="120" w:after="40"/>
        <w:jc w:val="left"/>
      </w:pPr>
      <w:r>
        <w:rPr>
          <w:rFonts w:ascii="Times New Roman" w:hAnsi="Times New Roman"/>
          <w:b/>
          <w:i/>
          <w:sz w:val="22"/>
        </w:rPr>
        <w:t>Metabolism</w:t>
      </w:r>
    </w:p>
    <w:p>
      <w:pPr>
        <w:spacing w:before="0" w:after="120"/>
        <w:jc w:val="both"/>
      </w:pPr>
      <w:r>
        <w:rPr>
          <w:rFonts w:ascii="Times New Roman" w:hAnsi="Times New Roman"/>
          <w:b w:val="0"/>
          <w:i w:val="0"/>
          <w:sz w:val="24"/>
        </w:rPr>
        <w:t xml:space="preserve">Hepatic cytochrome P450 (CYP)-mediated metabolism determines the rate of drug clearance and is the leading source of drug–drug interactions (DDIs). SMILESRender predicts inhibition and substrate status for five clinically critical isoforms via </w:t>
      </w:r>
      <w:r>
        <w:rPr>
          <w:rFonts w:ascii="Times New Roman" w:hAnsi="Times New Roman"/>
          <w:b w:val="0"/>
          <w:i/>
          <w:sz w:val="24"/>
        </w:rPr>
        <w:t>admet_ai</w:t>
      </w:r>
      <w:r>
        <w:rPr>
          <w:rFonts w:ascii="Times New Roman" w:hAnsi="Times New Roman"/>
          <w:b w:val="0"/>
          <w:i w:val="0"/>
          <w:sz w:val="24"/>
        </w:rPr>
        <w:t xml:space="preserve">: </w:t>
      </w:r>
      <w:r>
        <w:rPr>
          <w:rFonts w:ascii="Times New Roman" w:hAnsi="Times New Roman"/>
          <w:b/>
          <w:i w:val="0"/>
          <w:sz w:val="24"/>
        </w:rPr>
        <w:t>CYP1A2</w:t>
      </w:r>
      <w:r>
        <w:rPr>
          <w:rFonts w:ascii="Times New Roman" w:hAnsi="Times New Roman"/>
          <w:b w:val="0"/>
          <w:i w:val="0"/>
          <w:sz w:val="24"/>
        </w:rPr>
        <w:t xml:space="preserve"> (caffeine, clozapine metabolism), </w:t>
      </w:r>
      <w:r>
        <w:rPr>
          <w:rFonts w:ascii="Times New Roman" w:hAnsi="Times New Roman"/>
          <w:b/>
          <w:i w:val="0"/>
          <w:sz w:val="24"/>
        </w:rPr>
        <w:t>CYP2C9</w:t>
      </w:r>
      <w:r>
        <w:rPr>
          <w:rFonts w:ascii="Times New Roman" w:hAnsi="Times New Roman"/>
          <w:b w:val="0"/>
          <w:i w:val="0"/>
          <w:sz w:val="24"/>
        </w:rPr>
        <w:t xml:space="preserve"> (warfarin, phenytoin — DDI inhibition carries bleeding risk), </w:t>
      </w:r>
      <w:r>
        <w:rPr>
          <w:rFonts w:ascii="Times New Roman" w:hAnsi="Times New Roman"/>
          <w:b/>
          <w:i w:val="0"/>
          <w:sz w:val="24"/>
        </w:rPr>
        <w:t>CYP2C19</w:t>
      </w:r>
      <w:r>
        <w:rPr>
          <w:rFonts w:ascii="Times New Roman" w:hAnsi="Times New Roman"/>
          <w:b w:val="0"/>
          <w:i w:val="0"/>
          <w:sz w:val="24"/>
        </w:rPr>
        <w:t xml:space="preserve"> (clopidogrel activation — inhibition impairs antiplatelet efficacy), </w:t>
      </w:r>
      <w:r>
        <w:rPr>
          <w:rFonts w:ascii="Times New Roman" w:hAnsi="Times New Roman"/>
          <w:b/>
          <w:i w:val="0"/>
          <w:sz w:val="24"/>
        </w:rPr>
        <w:t>CYP2D6</w:t>
      </w:r>
      <w:r>
        <w:rPr>
          <w:rFonts w:ascii="Times New Roman" w:hAnsi="Times New Roman"/>
          <w:b w:val="0"/>
          <w:i w:val="0"/>
          <w:sz w:val="24"/>
        </w:rPr>
        <w:t xml:space="preserve"> (~25% of marketed drugs; tamoxifen, codeine; polymorphic — poor/ultra-rapid metaboliser populations), and </w:t>
      </w:r>
      <w:r>
        <w:rPr>
          <w:rFonts w:ascii="Times New Roman" w:hAnsi="Times New Roman"/>
          <w:b/>
          <w:i w:val="0"/>
          <w:sz w:val="24"/>
        </w:rPr>
        <w:t>CYP3A4</w:t>
      </w:r>
      <w:r>
        <w:rPr>
          <w:rFonts w:ascii="Times New Roman" w:hAnsi="Times New Roman"/>
          <w:b w:val="0"/>
          <w:i w:val="0"/>
          <w:sz w:val="24"/>
        </w:rPr>
        <w:t xml:space="preserve"> (~50% of hepatic drug metabolism; most important DDI isoform). When ≥ 3 of 5 isoforms show inhibition probability ≥ 0.50, the Automated Interpretation Engine flags high DDI liability. Metabolic half-life (T1/2) is additionally predicted to inform dosing frequency decisions.</w:t>
      </w:r>
    </w:p>
    <w:p>
      <w:pPr>
        <w:spacing w:before="120" w:after="40"/>
        <w:jc w:val="left"/>
      </w:pPr>
      <w:r>
        <w:rPr>
          <w:rFonts w:ascii="Times New Roman" w:hAnsi="Times New Roman"/>
          <w:b/>
          <w:i/>
          <w:sz w:val="22"/>
        </w:rPr>
        <w:t>Excretion</w:t>
      </w:r>
    </w:p>
    <w:p>
      <w:pPr>
        <w:spacing w:before="0" w:after="120"/>
        <w:jc w:val="both"/>
      </w:pPr>
      <w:r>
        <w:rPr>
          <w:rFonts w:ascii="Times New Roman" w:hAnsi="Times New Roman"/>
          <w:b w:val="0"/>
          <w:i w:val="0"/>
          <w:sz w:val="24"/>
        </w:rPr>
        <w:t xml:space="preserve">Hepatocyte and microsome intrinsic clearance values — predicted by </w:t>
      </w:r>
      <w:r>
        <w:rPr>
          <w:rFonts w:ascii="Times New Roman" w:hAnsi="Times New Roman"/>
          <w:b w:val="0"/>
          <w:i/>
          <w:sz w:val="24"/>
        </w:rPr>
        <w:t>admet_ai</w:t>
      </w:r>
      <w:r>
        <w:rPr>
          <w:rFonts w:ascii="Times New Roman" w:hAnsi="Times New Roman"/>
          <w:b w:val="0"/>
          <w:i w:val="0"/>
          <w:sz w:val="24"/>
        </w:rPr>
        <w:t xml:space="preserve"> — quantify the rate of metabolic elimination. High hepatocyte clearance indicates rapid liver metabolism, requiring frequent dosing or formulation strategies to maintain therapeutic plasma concentrations.</w:t>
      </w:r>
    </w:p>
    <w:p>
      <w:pPr>
        <w:spacing w:before="120" w:after="40"/>
        <w:jc w:val="left"/>
      </w:pPr>
      <w:r>
        <w:rPr>
          <w:rFonts w:ascii="Times New Roman" w:hAnsi="Times New Roman"/>
          <w:b/>
          <w:i/>
          <w:sz w:val="22"/>
        </w:rPr>
        <w:t>Toxicity</w:t>
      </w:r>
    </w:p>
    <w:p>
      <w:pPr>
        <w:spacing w:before="0" w:after="120"/>
        <w:jc w:val="both"/>
      </w:pPr>
      <w:r>
        <w:rPr>
          <w:rFonts w:ascii="Times New Roman" w:hAnsi="Times New Roman"/>
          <w:b w:val="0"/>
          <w:i w:val="0"/>
          <w:sz w:val="24"/>
        </w:rPr>
        <w:t>The toxicity layer is the most complex ADMET category, covering multiple mechanisms and regulatory relevance.</w:t>
      </w:r>
    </w:p>
    <w:p>
      <w:pPr>
        <w:spacing w:before="0" w:after="120"/>
        <w:jc w:val="both"/>
      </w:pPr>
      <w:r>
        <w:rPr>
          <w:rFonts w:ascii="Times New Roman" w:hAnsi="Times New Roman"/>
          <w:b/>
          <w:i w:val="0"/>
          <w:sz w:val="24"/>
        </w:rPr>
        <w:t>Cardiac safety (hERG):</w:t>
      </w:r>
      <w:r>
        <w:rPr>
          <w:rFonts w:ascii="Times New Roman" w:hAnsi="Times New Roman"/>
          <w:b w:val="0"/>
          <w:i w:val="0"/>
          <w:sz w:val="24"/>
        </w:rPr>
        <w:t xml:space="preserve"> Inhibition of the hERG potassium channel causes QT interval prolongation, potentially triggering fatal arrhythmias (torsades de pointes). This liability was responsible for market withdrawal of terfenadine, cisapride, and grepafloxacin. SMILESRender flags hERG inhibition probability ≥ 0.40 as high risk, consistent with ICH E14 guidance.</w:t>
      </w:r>
    </w:p>
    <w:p>
      <w:pPr>
        <w:spacing w:before="0" w:after="120"/>
        <w:jc w:val="both"/>
      </w:pPr>
      <w:r>
        <w:rPr>
          <w:rFonts w:ascii="Times New Roman" w:hAnsi="Times New Roman"/>
          <w:b/>
          <w:i w:val="0"/>
          <w:sz w:val="24"/>
        </w:rPr>
        <w:t>Hepatotoxicity (DILI):</w:t>
      </w:r>
      <w:r>
        <w:rPr>
          <w:rFonts w:ascii="Times New Roman" w:hAnsi="Times New Roman"/>
          <w:b w:val="0"/>
          <w:i w:val="0"/>
          <w:sz w:val="24"/>
        </w:rPr>
        <w:t xml:space="preserve"> Drug-induced liver injury is the leading cause of post-approval drug withdrawal. The Chemprop DILI model (AUC-ROC 0.84 on TDC</w:t>
      </w:r>
      <w:r>
        <w:rPr>
          <w:rFonts w:ascii="Times New Roman" w:hAnsi="Times New Roman"/>
          <w:b w:val="0"/>
          <w:i w:val="0"/>
          <w:sz w:val="16"/>
          <w:vertAlign w:val="superscript"/>
        </w:rPr>
        <w:t>7</w:t>
      </w:r>
      <w:r>
        <w:rPr>
          <w:rFonts w:ascii="Times New Roman" w:hAnsi="Times New Roman"/>
          <w:b w:val="0"/>
          <w:i w:val="0"/>
          <w:sz w:val="24"/>
        </w:rPr>
        <w:t>) provides an early probabilistic screen.</w:t>
      </w:r>
    </w:p>
    <w:p>
      <w:pPr>
        <w:spacing w:before="0" w:after="120"/>
        <w:jc w:val="both"/>
      </w:pPr>
      <w:r>
        <w:rPr>
          <w:rFonts w:ascii="Times New Roman" w:hAnsi="Times New Roman"/>
          <w:b/>
          <w:i w:val="0"/>
          <w:sz w:val="24"/>
        </w:rPr>
        <w:t>Genotoxicity (AMES):</w:t>
      </w:r>
      <w:r>
        <w:rPr>
          <w:rFonts w:ascii="Times New Roman" w:hAnsi="Times New Roman"/>
          <w:b w:val="0"/>
          <w:i w:val="0"/>
          <w:sz w:val="24"/>
        </w:rPr>
        <w:t xml:space="preserve"> In vitro bacterial reverse mutation assay surrogate, required under ICH S2(R1) for all new chemical entities.</w:t>
      </w:r>
    </w:p>
    <w:p>
      <w:pPr>
        <w:spacing w:before="0" w:after="120"/>
        <w:jc w:val="both"/>
      </w:pPr>
      <w:r>
        <w:rPr>
          <w:rFonts w:ascii="Times New Roman" w:hAnsi="Times New Roman"/>
          <w:b/>
          <w:i w:val="0"/>
          <w:sz w:val="24"/>
        </w:rPr>
        <w:t>Regulatory carcinogenicity and clinical toxicity (ClinTox):</w:t>
      </w:r>
      <w:r>
        <w:rPr>
          <w:rFonts w:ascii="Times New Roman" w:hAnsi="Times New Roman"/>
          <w:b w:val="0"/>
          <w:i w:val="0"/>
          <w:sz w:val="24"/>
        </w:rPr>
        <w:t xml:space="preserve"> ClinTox, derived from FDA approval outcomes versus clinical trial failure data, provides a binary regulatory toxicity signal.</w:t>
      </w:r>
    </w:p>
    <w:p>
      <w:pPr>
        <w:spacing w:before="0" w:after="120"/>
        <w:jc w:val="both"/>
      </w:pPr>
      <w:r>
        <w:rPr>
          <w:rFonts w:ascii="Times New Roman" w:hAnsi="Times New Roman"/>
          <w:b/>
          <w:i w:val="0"/>
          <w:sz w:val="24"/>
        </w:rPr>
        <w:t>Tox21 12-endpoint panel:</w:t>
      </w:r>
      <w:r>
        <w:rPr>
          <w:rFonts w:ascii="Times New Roman" w:hAnsi="Times New Roman"/>
          <w:b w:val="0"/>
          <w:i w:val="0"/>
          <w:sz w:val="24"/>
        </w:rPr>
        <w:t xml:space="preserve"> A locally embedded Multi-Output Random Forest covers all 12 Tox21 Challenge bioassay endpoints</w:t>
      </w:r>
      <w:r>
        <w:rPr>
          <w:rFonts w:ascii="Times New Roman" w:hAnsi="Times New Roman"/>
          <w:b w:val="0"/>
          <w:i w:val="0"/>
          <w:sz w:val="16"/>
          <w:vertAlign w:val="superscript"/>
        </w:rPr>
        <w:t>19</w:t>
      </w:r>
      <w:r>
        <w:rPr>
          <w:rFonts w:ascii="Times New Roman" w:hAnsi="Times New Roman"/>
          <w:b w:val="0"/>
          <w:i w:val="0"/>
          <w:sz w:val="24"/>
        </w:rPr>
        <w:t>: seven nuclear receptor activity assays (NR-AR, NR-AR-LBD, NR-AhR, NR-Aromatase, NR-ER, NR-ER-LBD, NR-PPAR-gamma) and five stress response pathway assays (SR-ARE, SR-ATAD5, SR-HSE, SR-MMP, SR-p53). These endpoints are directly relevant to endocrine disruption screening under REACH and EPA guidelines and provide in vitro surrogates for genotoxicity and cytotoxicity. Mean AUC-ROC = 0.81 (5-fold stratified CV across 12 endpoints).</w:t>
      </w:r>
    </w:p>
    <w:p>
      <w:pPr>
        <w:spacing w:before="0" w:after="120"/>
        <w:jc w:val="both"/>
      </w:pPr>
      <w:r>
        <w:rPr>
          <w:rFonts w:ascii="Times New Roman" w:hAnsi="Times New Roman"/>
          <w:b/>
          <w:i w:val="0"/>
          <w:sz w:val="24"/>
        </w:rPr>
        <w:t>Acute systemic toxicity (StopTox):</w:t>
      </w:r>
      <w:r>
        <w:rPr>
          <w:rFonts w:ascii="Times New Roman" w:hAnsi="Times New Roman"/>
          <w:b w:val="0"/>
          <w:i w:val="0"/>
          <w:sz w:val="24"/>
        </w:rPr>
        <w:t xml:space="preserve"> Six endpoints — oral LD50, dermal LD50, inhalation LC50, eye irritation, skin sensitisation, and aquatic toxicity — from NIH/NTP QSAR models</w:t>
      </w:r>
      <w:r>
        <w:rPr>
          <w:rFonts w:ascii="Times New Roman" w:hAnsi="Times New Roman"/>
          <w:b w:val="0"/>
          <w:i w:val="0"/>
          <w:sz w:val="16"/>
          <w:vertAlign w:val="superscript"/>
        </w:rPr>
        <w:t>11</w:t>
      </w:r>
      <w:r>
        <w:rPr>
          <w:rFonts w:ascii="Times New Roman" w:hAnsi="Times New Roman"/>
          <w:b w:val="0"/>
          <w:i w:val="0"/>
          <w:sz w:val="24"/>
        </w:rPr>
        <w:t>, classified according to GHS thresholds.</w:t>
      </w:r>
    </w:p>
    <w:p>
      <w:pPr>
        <w:spacing w:before="0" w:after="120"/>
        <w:jc w:val="both"/>
      </w:pPr>
      <w:r>
        <w:rPr>
          <w:rFonts w:ascii="Times New Roman" w:hAnsi="Times New Roman"/>
          <w:b/>
          <w:i w:val="0"/>
          <w:sz w:val="24"/>
        </w:rPr>
        <w:t>Organ toxicity (ProTox 3.0):</w:t>
      </w:r>
      <w:r>
        <w:rPr>
          <w:rFonts w:ascii="Times New Roman" w:hAnsi="Times New Roman"/>
          <w:b w:val="0"/>
          <w:i w:val="0"/>
          <w:sz w:val="24"/>
        </w:rPr>
        <w:t xml:space="preserve"> Twelve organ-specific endpoints from the Charité ProTox server</w:t>
      </w:r>
      <w:r>
        <w:rPr>
          <w:rFonts w:ascii="Times New Roman" w:hAnsi="Times New Roman"/>
          <w:b w:val="0"/>
          <w:i w:val="0"/>
          <w:sz w:val="16"/>
          <w:vertAlign w:val="superscript"/>
        </w:rPr>
        <w:t>13</w:t>
      </w:r>
      <w:r>
        <w:rPr>
          <w:rFonts w:ascii="Times New Roman" w:hAnsi="Times New Roman"/>
          <w:b w:val="0"/>
          <w:i w:val="0"/>
          <w:sz w:val="24"/>
        </w:rPr>
        <w:t xml:space="preserve"> — hepatotoxicity, neurotoxicity, nephrotoxicity, cardiotoxicity, carcinogenicity, mutagenicity, immunotoxicity, cytotoxicity, BBB, respiratory toxicity, ecotoxicity, and clinical toxicity — extending coverage to regulatory toxicology organ systems.</w:t>
      </w:r>
    </w:p>
    <w:p>
      <w:pPr>
        <w:spacing w:before="0" w:after="120"/>
        <w:jc w:val="both"/>
      </w:pPr>
      <w:r>
        <w:rPr>
          <w:rFonts w:ascii="Times New Roman" w:hAnsi="Times New Roman"/>
          <w:b/>
          <w:i w:val="0"/>
          <w:sz w:val="24"/>
        </w:rPr>
        <w:t>Structural alerts:</w:t>
      </w:r>
      <w:r>
        <w:rPr>
          <w:rFonts w:ascii="Times New Roman" w:hAnsi="Times New Roman"/>
          <w:b w:val="0"/>
          <w:i w:val="0"/>
          <w:sz w:val="24"/>
        </w:rPr>
        <w:t xml:space="preserve"> PAINS (pan-assay interference compounds, subtypes A/B/C), BRENK, and NIH structural alert catalogs are screened via RDKit's FilterCatalog. PAINS and BRENK alerts flag substructures with known assay-interference or reactive-group liabilities, common causes of false positives in primary screening.</w:t>
      </w:r>
    </w:p>
    <w:p>
      <w:pPr>
        <w:spacing w:before="0" w:after="120"/>
        <w:jc w:val="both"/>
      </w:pPr>
      <w:r>
        <w:rPr>
          <w:rFonts w:ascii="Times New Roman" w:hAnsi="Times New Roman"/>
          <w:b w:val="0"/>
          <w:i w:val="0"/>
          <w:sz w:val="24"/>
        </w:rPr>
        <w:t>Table 1 summarises the complete endpoint coverage by category and source.</w:t>
      </w:r>
    </w:p>
    <w:p>
      <w:pPr>
        <w:spacing w:before="120" w:after="40"/>
        <w:jc w:val="left"/>
      </w:pPr>
      <w:r>
        <w:rPr>
          <w:rFonts w:ascii="Times New Roman" w:hAnsi="Times New Roman"/>
          <w:b/>
          <w:i w:val="0"/>
          <w:sz w:val="20"/>
        </w:rPr>
        <w:t>Table 1. ADMET endpoint coverage in SMILESRender.</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18"/>
              </w:rPr>
              <w:t>Category</w:t>
            </w:r>
          </w:p>
        </w:tc>
        <w:tc>
          <w:tcPr>
            <w:tcW w:type="dxa" w:w="2209"/>
          </w:tcPr>
          <w:p>
            <w:r>
              <w:rPr>
                <w:rFonts w:ascii="Times New Roman" w:hAnsi="Times New Roman"/>
                <w:b/>
                <w:sz w:val="18"/>
              </w:rPr>
              <w:t>Endpoints</w:t>
            </w:r>
          </w:p>
        </w:tc>
        <w:tc>
          <w:tcPr>
            <w:tcW w:type="dxa" w:w="2209"/>
          </w:tcPr>
          <w:p>
            <w:r>
              <w:rPr>
                <w:rFonts w:ascii="Times New Roman" w:hAnsi="Times New Roman"/>
                <w:b/>
                <w:sz w:val="18"/>
              </w:rPr>
              <w:t>Source</w:t>
            </w:r>
          </w:p>
        </w:tc>
        <w:tc>
          <w:tcPr>
            <w:tcW w:type="dxa" w:w="2209"/>
          </w:tcPr>
          <w:p>
            <w:r>
              <w:rPr>
                <w:rFonts w:ascii="Times New Roman" w:hAnsi="Times New Roman"/>
                <w:b/>
                <w:sz w:val="18"/>
              </w:rPr>
              <w:t>Availability</w:t>
            </w:r>
          </w:p>
        </w:tc>
      </w:tr>
      <w:tr>
        <w:tc>
          <w:tcPr>
            <w:tcW w:type="dxa" w:w="2209"/>
          </w:tcPr>
          <w:p>
            <w:r>
              <w:rPr>
                <w:rFonts w:ascii="Times New Roman" w:hAnsi="Times New Roman"/>
                <w:sz w:val="18"/>
              </w:rPr>
              <w:t>Absorption</w:t>
            </w:r>
          </w:p>
        </w:tc>
        <w:tc>
          <w:tcPr>
            <w:tcW w:type="dxa" w:w="2209"/>
          </w:tcPr>
          <w:p>
            <w:r>
              <w:rPr>
                <w:rFonts w:ascii="Times New Roman" w:hAnsi="Times New Roman"/>
                <w:sz w:val="18"/>
              </w:rPr>
              <w:t>HIA, Caco-2, PAMPA, P-gp substrate/inhibitor, F20%, F30%, TPSA flag, drug-likeness filters (Ro5, Veber, Ghose, Egan, Muegge)</w:t>
            </w:r>
          </w:p>
        </w:tc>
        <w:tc>
          <w:tcPr>
            <w:tcW w:type="dxa" w:w="2209"/>
          </w:tcPr>
          <w:p>
            <w:r>
              <w:rPr>
                <w:rFonts w:ascii="Times New Roman" w:hAnsi="Times New Roman"/>
                <w:sz w:val="18"/>
              </w:rPr>
              <w:t>admet_ai + RDKit</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Distribution</w:t>
            </w:r>
          </w:p>
        </w:tc>
        <w:tc>
          <w:tcPr>
            <w:tcW w:type="dxa" w:w="2209"/>
          </w:tcPr>
          <w:p>
            <w:r>
              <w:rPr>
                <w:rFonts w:ascii="Times New Roman" w:hAnsi="Times New Roman"/>
                <w:sz w:val="18"/>
              </w:rPr>
              <w:t>BBB-GBM (+ AD flag), BBB_Martins, PPBR, VDss, P-gp</w:t>
            </w:r>
          </w:p>
        </w:tc>
        <w:tc>
          <w:tcPr>
            <w:tcW w:type="dxa" w:w="2209"/>
          </w:tcPr>
          <w:p>
            <w:r>
              <w:rPr>
                <w:rFonts w:ascii="Times New Roman" w:hAnsi="Times New Roman"/>
                <w:sz w:val="18"/>
              </w:rPr>
              <w:t>Local GBM + admet_ai</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Metabolism</w:t>
            </w:r>
          </w:p>
        </w:tc>
        <w:tc>
          <w:tcPr>
            <w:tcW w:type="dxa" w:w="2209"/>
          </w:tcPr>
          <w:p>
            <w:r>
              <w:rPr>
                <w:rFonts w:ascii="Times New Roman" w:hAnsi="Times New Roman"/>
                <w:sz w:val="18"/>
              </w:rPr>
              <w:t>CYP1A2, CYP2C9, CYP2C19, CYP2D6, CYP3A4 (inhibition + substrate), T1/2</w:t>
            </w:r>
          </w:p>
        </w:tc>
        <w:tc>
          <w:tcPr>
            <w:tcW w:type="dxa" w:w="2209"/>
          </w:tcPr>
          <w:p>
            <w:r>
              <w:rPr>
                <w:rFonts w:ascii="Times New Roman" w:hAnsi="Times New Roman"/>
                <w:sz w:val="18"/>
              </w:rPr>
              <w:t>admet_ai</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Excretion</w:t>
            </w:r>
          </w:p>
        </w:tc>
        <w:tc>
          <w:tcPr>
            <w:tcW w:type="dxa" w:w="2209"/>
          </w:tcPr>
          <w:p>
            <w:r>
              <w:rPr>
                <w:rFonts w:ascii="Times New Roman" w:hAnsi="Times New Roman"/>
                <w:sz w:val="18"/>
              </w:rPr>
              <w:t>Hepatocyte clearance, microsome clearance</w:t>
            </w:r>
          </w:p>
        </w:tc>
        <w:tc>
          <w:tcPr>
            <w:tcW w:type="dxa" w:w="2209"/>
          </w:tcPr>
          <w:p>
            <w:r>
              <w:rPr>
                <w:rFonts w:ascii="Times New Roman" w:hAnsi="Times New Roman"/>
                <w:sz w:val="18"/>
              </w:rPr>
              <w:t>admet_ai</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Toxicity</w:t>
            </w:r>
          </w:p>
        </w:tc>
        <w:tc>
          <w:tcPr>
            <w:tcW w:type="dxa" w:w="2209"/>
          </w:tcPr>
          <w:p>
            <w:r>
              <w:rPr>
                <w:rFonts w:ascii="Times New Roman" w:hAnsi="Times New Roman"/>
                <w:sz w:val="18"/>
              </w:rPr>
              <w:t>hERG, DILI, AMES, carcinogenicity, ClinTox, LD50</w:t>
            </w:r>
          </w:p>
        </w:tc>
        <w:tc>
          <w:tcPr>
            <w:tcW w:type="dxa" w:w="2209"/>
          </w:tcPr>
          <w:p>
            <w:r>
              <w:rPr>
                <w:rFonts w:ascii="Times New Roman" w:hAnsi="Times New Roman"/>
                <w:sz w:val="18"/>
              </w:rPr>
              <w:t>admet_ai</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Toxicity</w:t>
            </w:r>
          </w:p>
        </w:tc>
        <w:tc>
          <w:tcPr>
            <w:tcW w:type="dxa" w:w="2209"/>
          </w:tcPr>
          <w:p>
            <w:r>
              <w:rPr>
                <w:rFonts w:ascii="Times New Roman" w:hAnsi="Times New Roman"/>
                <w:sz w:val="18"/>
              </w:rPr>
              <w:t>NR-AR, NR-AR-LBD, NR-AhR, NR-Aromatase, NR-ER, NR-ER-LBD, NR-PPAR-γ, SR-ARE, SR-ATAD5, SR-HSE, SR-MMP, SR-p53</w:t>
            </w:r>
          </w:p>
        </w:tc>
        <w:tc>
          <w:tcPr>
            <w:tcW w:type="dxa" w:w="2209"/>
          </w:tcPr>
          <w:p>
            <w:r>
              <w:rPr>
                <w:rFonts w:ascii="Times New Roman" w:hAnsi="Times New Roman"/>
                <w:sz w:val="18"/>
              </w:rPr>
              <w:t>Tox21-RF</w:t>
            </w:r>
          </w:p>
        </w:tc>
        <w:tc>
          <w:tcPr>
            <w:tcW w:type="dxa" w:w="2209"/>
          </w:tcPr>
          <w:p>
            <w:r>
              <w:rPr>
                <w:rFonts w:ascii="Times New Roman" w:hAnsi="Times New Roman"/>
                <w:sz w:val="18"/>
              </w:rPr>
              <w:t>Local (offline)</w:t>
            </w:r>
          </w:p>
        </w:tc>
      </w:tr>
      <w:tr>
        <w:tc>
          <w:tcPr>
            <w:tcW w:type="dxa" w:w="2209"/>
          </w:tcPr>
          <w:p>
            <w:r>
              <w:rPr>
                <w:rFonts w:ascii="Times New Roman" w:hAnsi="Times New Roman"/>
                <w:sz w:val="18"/>
              </w:rPr>
              <w:t>Toxicity</w:t>
            </w:r>
          </w:p>
        </w:tc>
        <w:tc>
          <w:tcPr>
            <w:tcW w:type="dxa" w:w="2209"/>
          </w:tcPr>
          <w:p>
            <w:r>
              <w:rPr>
                <w:rFonts w:ascii="Times New Roman" w:hAnsi="Times New Roman"/>
                <w:sz w:val="18"/>
              </w:rPr>
              <w:t>Oral/dermal/inhalation LD50, eye irritation, skin sensitisation, aquatic toxicity</w:t>
            </w:r>
          </w:p>
        </w:tc>
        <w:tc>
          <w:tcPr>
            <w:tcW w:type="dxa" w:w="2209"/>
          </w:tcPr>
          <w:p>
            <w:r>
              <w:rPr>
                <w:rFonts w:ascii="Times New Roman" w:hAnsi="Times New Roman"/>
                <w:sz w:val="18"/>
              </w:rPr>
              <w:t>StopTox</w:t>
            </w:r>
          </w:p>
        </w:tc>
        <w:tc>
          <w:tcPr>
            <w:tcW w:type="dxa" w:w="2209"/>
          </w:tcPr>
          <w:p>
            <w:r>
              <w:rPr>
                <w:rFonts w:ascii="Times New Roman" w:hAnsi="Times New Roman"/>
                <w:sz w:val="18"/>
              </w:rPr>
              <w:t>External</w:t>
            </w:r>
          </w:p>
        </w:tc>
      </w:tr>
      <w:tr>
        <w:tc>
          <w:tcPr>
            <w:tcW w:type="dxa" w:w="2209"/>
          </w:tcPr>
          <w:p>
            <w:r>
              <w:rPr>
                <w:rFonts w:ascii="Times New Roman" w:hAnsi="Times New Roman"/>
                <w:sz w:val="18"/>
              </w:rPr>
              <w:t>Toxicity</w:t>
            </w:r>
          </w:p>
        </w:tc>
        <w:tc>
          <w:tcPr>
            <w:tcW w:type="dxa" w:w="2209"/>
          </w:tcPr>
          <w:p>
            <w:r>
              <w:rPr>
                <w:rFonts w:ascii="Times New Roman" w:hAnsi="Times New Roman"/>
                <w:sz w:val="18"/>
              </w:rPr>
              <w:t>12 organ-toxicity endpoints</w:t>
            </w:r>
          </w:p>
        </w:tc>
        <w:tc>
          <w:tcPr>
            <w:tcW w:type="dxa" w:w="2209"/>
          </w:tcPr>
          <w:p>
            <w:r>
              <w:rPr>
                <w:rFonts w:ascii="Times New Roman" w:hAnsi="Times New Roman"/>
                <w:sz w:val="18"/>
              </w:rPr>
              <w:t>ProTox 3.0</w:t>
            </w:r>
          </w:p>
        </w:tc>
        <w:tc>
          <w:tcPr>
            <w:tcW w:type="dxa" w:w="2209"/>
          </w:tcPr>
          <w:p>
            <w:r>
              <w:rPr>
                <w:rFonts w:ascii="Times New Roman" w:hAnsi="Times New Roman"/>
                <w:sz w:val="18"/>
              </w:rPr>
              <w:t>External</w:t>
            </w:r>
          </w:p>
        </w:tc>
      </w:tr>
      <w:tr>
        <w:tc>
          <w:tcPr>
            <w:tcW w:type="dxa" w:w="2209"/>
          </w:tcPr>
          <w:p>
            <w:r>
              <w:rPr>
                <w:rFonts w:ascii="Times New Roman" w:hAnsi="Times New Roman"/>
                <w:sz w:val="18"/>
              </w:rPr>
              <w:t>Optimisation</w:t>
            </w:r>
          </w:p>
        </w:tc>
        <w:tc>
          <w:tcPr>
            <w:tcW w:type="dxa" w:w="2209"/>
          </w:tcPr>
          <w:p>
            <w:r>
              <w:rPr>
                <w:rFonts w:ascii="Times New Roman" w:hAnsi="Times New Roman"/>
                <w:sz w:val="18"/>
              </w:rPr>
              <w:t>11 MPO scores</w:t>
            </w:r>
          </w:p>
        </w:tc>
        <w:tc>
          <w:tcPr>
            <w:tcW w:type="dxa" w:w="2209"/>
          </w:tcPr>
          <w:p>
            <w:r>
              <w:rPr>
                <w:rFonts w:ascii="Times New Roman" w:hAnsi="Times New Roman"/>
                <w:sz w:val="18"/>
              </w:rPr>
              <w:t>StopLight</w:t>
            </w:r>
          </w:p>
        </w:tc>
        <w:tc>
          <w:tcPr>
            <w:tcW w:type="dxa" w:w="2209"/>
          </w:tcPr>
          <w:p>
            <w:r>
              <w:rPr>
                <w:rFonts w:ascii="Times New Roman" w:hAnsi="Times New Roman"/>
                <w:sz w:val="18"/>
              </w:rPr>
              <w:t>External</w:t>
            </w:r>
          </w:p>
        </w:tc>
      </w:tr>
      <w:tr>
        <w:tc>
          <w:tcPr>
            <w:tcW w:type="dxa" w:w="2209"/>
          </w:tcPr>
          <w:p>
            <w:r>
              <w:rPr>
                <w:rFonts w:ascii="Times New Roman" w:hAnsi="Times New Roman"/>
                <w:sz w:val="18"/>
              </w:rPr>
              <w:t>Structural alerts</w:t>
            </w:r>
          </w:p>
        </w:tc>
        <w:tc>
          <w:tcPr>
            <w:tcW w:type="dxa" w:w="2209"/>
          </w:tcPr>
          <w:p>
            <w:r>
              <w:rPr>
                <w:rFonts w:ascii="Times New Roman" w:hAnsi="Times New Roman"/>
                <w:sz w:val="18"/>
              </w:rPr>
              <w:t>PAINS (A/B/C), BRENK, NIH catalogs</w:t>
            </w:r>
          </w:p>
        </w:tc>
        <w:tc>
          <w:tcPr>
            <w:tcW w:type="dxa" w:w="2209"/>
          </w:tcPr>
          <w:p>
            <w:r>
              <w:rPr>
                <w:rFonts w:ascii="Times New Roman" w:hAnsi="Times New Roman"/>
                <w:sz w:val="18"/>
              </w:rPr>
              <w:t>RDKit FilterCatalog</w:t>
            </w:r>
          </w:p>
        </w:tc>
        <w:tc>
          <w:tcPr>
            <w:tcW w:type="dxa" w:w="2209"/>
          </w:tcPr>
          <w:p>
            <w:r>
              <w:rPr>
                <w:rFonts w:ascii="Times New Roman" w:hAnsi="Times New Roman"/>
                <w:sz w:val="18"/>
              </w:rPr>
              <w:t>Local (offline)</w:t>
            </w:r>
          </w:p>
        </w:tc>
      </w:tr>
    </w:tbl>
    <w:p>
      <w:pPr>
        <w:spacing w:before="40" w:after="120"/>
        <w:jc w:val="both"/>
      </w:pPr>
      <w:r>
        <w:rPr>
          <w:rFonts w:ascii="Times New Roman" w:hAnsi="Times New Roman"/>
          <w:b w:val="0"/>
          <w:i/>
          <w:sz w:val="18"/>
        </w:rPr>
        <w:t>Total: 85+ distinct ADMET endpoints. All local endpoints available offline at 100% uptime.</w:t>
      </w:r>
    </w:p>
    <w:p>
      <w:pPr>
        <w:spacing w:before="240" w:after="80"/>
        <w:jc w:val="left"/>
      </w:pPr>
      <w:r>
        <w:rPr>
          <w:rFonts w:ascii="Times New Roman" w:hAnsi="Times New Roman"/>
          <w:b/>
          <w:i w:val="0"/>
          <w:sz w:val="24"/>
        </w:rPr>
        <w:t>Automated Interpretation Engine</w:t>
      </w:r>
    </w:p>
    <w:p>
      <w:pPr>
        <w:spacing w:before="0" w:after="120"/>
        <w:jc w:val="both"/>
      </w:pPr>
      <w:r>
        <w:rPr>
          <w:rFonts w:ascii="Times New Roman" w:hAnsi="Times New Roman"/>
          <w:b w:val="0"/>
          <w:i w:val="0"/>
          <w:sz w:val="24"/>
        </w:rPr>
        <w:t>Raw ADMET predictions are difficult to act upon without domain expertise: a hERG inhibition probability of 0.45 has no self-evident clinical meaning to a synthetic chemist. The Automated Interpretation Engine (admet_interpreter.py) addresses this by aggregating all tool outputs into a structured per-molecule risk profile containing: (i) severity-classified flags (low/moderate/high/critical) derived from regulatory and pharmacological guidelines; (ii) an overall risk level; and (iii) a plain-language narrative paragraph written in the style of a pharmacology consultant's summary. For example, for a compound with hERG probability 0.52 and CYP3A4 inhibition 0.68, the engine generates: "High cardiac risk: hERG inhibition probability 52% (threshold 40%) — QT prolongation liability. CYP3A4 inhibitor (68%): co-administration with narrow-therapeutic-index CYP3A4 substrates (e.g. cyclosporin, tacrolimus) should be avoided. Predicted probabilities are relative ML scores; clinical confirmation required."</w:t>
      </w:r>
    </w:p>
    <w:p>
      <w:pPr>
        <w:spacing w:before="0" w:after="120"/>
        <w:jc w:val="both"/>
      </w:pPr>
      <w:r>
        <w:rPr>
          <w:rFonts w:ascii="Times New Roman" w:hAnsi="Times New Roman"/>
          <w:b w:val="0"/>
          <w:i w:val="0"/>
          <w:sz w:val="24"/>
        </w:rPr>
        <w:t>Threshold provenance is fully documented: GHS classification for LD50, ICH E14 for hERG, Veber criteria for TPSA, and Baell–Holloway definitions for PAINS</w:t>
      </w:r>
      <w:r>
        <w:rPr>
          <w:rFonts w:ascii="Times New Roman" w:hAnsi="Times New Roman"/>
          <w:b w:val="0"/>
          <w:i w:val="0"/>
          <w:sz w:val="16"/>
          <w:vertAlign w:val="superscript"/>
        </w:rPr>
        <w:t>20</w:t>
      </w:r>
      <w:r>
        <w:rPr>
          <w:rFonts w:ascii="Times New Roman" w:hAnsi="Times New Roman"/>
          <w:b w:val="0"/>
          <w:i w:val="0"/>
          <w:sz w:val="24"/>
        </w:rPr>
        <w:t>. The engine explicitly communicates that ML probability outputs are relative discriminative scores, not calibrated absolute risk estimates.</w:t>
      </w:r>
    </w:p>
    <w:p>
      <w:pPr>
        <w:spacing w:before="240" w:after="80"/>
        <w:jc w:val="left"/>
      </w:pPr>
      <w:r>
        <w:rPr>
          <w:rFonts w:ascii="Times New Roman" w:hAnsi="Times New Roman"/>
          <w:b/>
          <w:i w:val="0"/>
          <w:sz w:val="24"/>
        </w:rPr>
        <w:t>Interactive ADMET Dashboard</w:t>
      </w:r>
    </w:p>
    <w:p>
      <w:pPr>
        <w:spacing w:before="0" w:after="120"/>
        <w:jc w:val="both"/>
      </w:pPr>
      <w:r>
        <w:rPr>
          <w:rFonts w:ascii="Times New Roman" w:hAnsi="Times New Roman"/>
          <w:b w:val="0"/>
          <w:i w:val="0"/>
          <w:sz w:val="24"/>
        </w:rPr>
        <w:t xml:space="preserve">The ADMET Dashboard (Figure 3) provides real-time visual aggregation of all prediction outputs as they resolve. The layout consists of six panels: (i) </w:t>
      </w:r>
      <w:r>
        <w:rPr>
          <w:rFonts w:ascii="Times New Roman" w:hAnsi="Times New Roman"/>
          <w:b/>
          <w:i w:val="0"/>
          <w:sz w:val="24"/>
        </w:rPr>
        <w:t>Summary metric cards</w:t>
      </w:r>
      <w:r>
        <w:rPr>
          <w:rFonts w:ascii="Times New Roman" w:hAnsi="Times New Roman"/>
          <w:b w:val="0"/>
          <w:i w:val="0"/>
          <w:sz w:val="24"/>
        </w:rPr>
        <w:t xml:space="preserve"> — mean molecular weight, LogP, QED</w:t>
      </w:r>
      <w:r>
        <w:rPr>
          <w:rFonts w:ascii="Times New Roman" w:hAnsi="Times New Roman"/>
          <w:b w:val="0"/>
          <w:i w:val="0"/>
          <w:sz w:val="16"/>
          <w:vertAlign w:val="superscript"/>
        </w:rPr>
        <w:t>21</w:t>
      </w:r>
      <w:r>
        <w:rPr>
          <w:rFonts w:ascii="Times New Roman" w:hAnsi="Times New Roman"/>
          <w:b w:val="0"/>
          <w:i w:val="0"/>
          <w:sz w:val="24"/>
        </w:rPr>
        <w:t xml:space="preserve">, oral bioavailability, and Lipinski compliance rate across the submitted batch; (ii) </w:t>
      </w:r>
      <w:r>
        <w:rPr>
          <w:rFonts w:ascii="Times New Roman" w:hAnsi="Times New Roman"/>
          <w:b/>
          <w:i w:val="0"/>
          <w:sz w:val="24"/>
        </w:rPr>
        <w:t>Safety Flags</w:t>
      </w:r>
      <w:r>
        <w:rPr>
          <w:rFonts w:ascii="Times New Roman" w:hAnsi="Times New Roman"/>
          <w:b w:val="0"/>
          <w:i w:val="0"/>
          <w:sz w:val="24"/>
        </w:rPr>
        <w:t xml:space="preserve"> — progress bars showing the proportion of compounds flagging hERG cardiotoxicity, DILI, PAINS alerts, BRENK alerts, and predicted BBB permeability; (iii) </w:t>
      </w:r>
      <w:r>
        <w:rPr>
          <w:rFonts w:ascii="Times New Roman" w:hAnsi="Times New Roman"/>
          <w:b/>
          <w:i w:val="0"/>
          <w:sz w:val="24"/>
        </w:rPr>
        <w:t>Toxicity distribution</w:t>
      </w:r>
      <w:r>
        <w:rPr>
          <w:rFonts w:ascii="Times New Roman" w:hAnsi="Times New Roman"/>
          <w:b w:val="0"/>
          <w:i w:val="0"/>
          <w:sz w:val="24"/>
        </w:rPr>
        <w:t xml:space="preserve"> (StopTox); (iv) </w:t>
      </w:r>
      <w:r>
        <w:rPr>
          <w:rFonts w:ascii="Times New Roman" w:hAnsi="Times New Roman"/>
          <w:b/>
          <w:i w:val="0"/>
          <w:sz w:val="24"/>
        </w:rPr>
        <w:t>Solubility distribution</w:t>
      </w:r>
      <w:r>
        <w:rPr>
          <w:rFonts w:ascii="Times New Roman" w:hAnsi="Times New Roman"/>
          <w:b w:val="0"/>
          <w:i w:val="0"/>
          <w:sz w:val="24"/>
        </w:rPr>
        <w:t xml:space="preserve"> (ESOL); (v) </w:t>
      </w:r>
      <w:r>
        <w:rPr>
          <w:rFonts w:ascii="Times New Roman" w:hAnsi="Times New Roman"/>
          <w:b/>
          <w:i w:val="0"/>
          <w:sz w:val="24"/>
        </w:rPr>
        <w:t>Per-Molecule Risk Matrix</w:t>
      </w:r>
      <w:r>
        <w:rPr>
          <w:rFonts w:ascii="Times New Roman" w:hAnsi="Times New Roman"/>
          <w:b w:val="0"/>
          <w:i w:val="0"/>
          <w:sz w:val="24"/>
        </w:rPr>
        <w:t xml:space="preserve"> — a colour-coded table displaying Overall risk badge, hERG, DILI, ClinTox, BBB status, oral bioavailability, and QED per molecule; and (vi) </w:t>
      </w:r>
      <w:r>
        <w:rPr>
          <w:rFonts w:ascii="Times New Roman" w:hAnsi="Times New Roman"/>
          <w:b/>
          <w:i w:val="0"/>
          <w:sz w:val="24"/>
        </w:rPr>
        <w:t>CYP Inhibition Heatmap</w:t>
      </w:r>
      <w:r>
        <w:rPr>
          <w:rFonts w:ascii="Times New Roman" w:hAnsi="Times New Roman"/>
          <w:b w:val="0"/>
          <w:i w:val="0"/>
          <w:sz w:val="24"/>
        </w:rPr>
        <w:t xml:space="preserve"> — a probability matrix for all five CYP isoforms across N compounds, coloured in three tiers: green (&lt; 25%), amber (25–50%), red (&gt; 50%).</w:t>
      </w:r>
    </w:p>
    <w:p>
      <w:pPr>
        <w:spacing w:before="240" w:after="80"/>
        <w:jc w:val="left"/>
      </w:pPr>
      <w:r>
        <w:rPr>
          <w:rFonts w:ascii="Times New Roman" w:hAnsi="Times New Roman"/>
          <w:b/>
          <w:i w:val="0"/>
          <w:sz w:val="24"/>
        </w:rPr>
        <w:t>Physicochemical Descriptors, Fingerprints, and Solubility</w:t>
      </w:r>
    </w:p>
    <w:p>
      <w:pPr>
        <w:spacing w:before="0" w:after="120"/>
        <w:jc w:val="both"/>
      </w:pPr>
      <w:r>
        <w:rPr>
          <w:rFonts w:ascii="Times New Roman" w:hAnsi="Times New Roman"/>
          <w:b w:val="0"/>
          <w:i w:val="0"/>
          <w:sz w:val="24"/>
        </w:rPr>
        <w:t>Over 60 physicochemical and topological descriptors are computed locally via RDKit, covering constitutional properties (MW, FractionCSP3, Labute ASA, MolMR), drug-likeness metrics (QED</w:t>
      </w:r>
      <w:r>
        <w:rPr>
          <w:rFonts w:ascii="Times New Roman" w:hAnsi="Times New Roman"/>
          <w:b w:val="0"/>
          <w:i w:val="0"/>
          <w:sz w:val="16"/>
          <w:vertAlign w:val="superscript"/>
        </w:rPr>
        <w:t>21</w:t>
      </w:r>
      <w:r>
        <w:rPr>
          <w:rFonts w:ascii="Times New Roman" w:hAnsi="Times New Roman"/>
          <w:b w:val="0"/>
          <w:i w:val="0"/>
          <w:sz w:val="24"/>
        </w:rPr>
        <w:t>, five filter rule sets), topological indices (Balaban J, BertzCT, Kappa 1–3, Chi series), electronic/VSA descriptors (PEOE_VSA, SMR_VSA, SlogP_VSA), and structural alerts. Four molecular fingerprint protocols are exported in QSAR-ready column format for direct use in scikit-learn or DeepChem: RDKit (1,024 bits), Morgan/ECFP4 (2,048 bits, radius 2), MACCS keys (167 bits), and Atom Pairs (2,048 bits).</w:t>
      </w:r>
    </w:p>
    <w:p>
      <w:pPr>
        <w:spacing w:before="0" w:after="120"/>
        <w:jc w:val="both"/>
      </w:pPr>
      <w:r>
        <w:rPr>
          <w:rFonts w:ascii="Times New Roman" w:hAnsi="Times New Roman"/>
          <w:b w:val="0"/>
          <w:i w:val="0"/>
          <w:sz w:val="24"/>
        </w:rPr>
        <w:t>Aqueous solubility is estimated via the ESOL QSAR model</w:t>
      </w:r>
      <w:r>
        <w:rPr>
          <w:rFonts w:ascii="Times New Roman" w:hAnsi="Times New Roman"/>
          <w:b w:val="0"/>
          <w:i w:val="0"/>
          <w:sz w:val="16"/>
          <w:vertAlign w:val="superscript"/>
        </w:rPr>
        <w:t>22</w:t>
      </w:r>
      <w:r>
        <w:rPr>
          <w:rFonts w:ascii="Times New Roman" w:hAnsi="Times New Roman"/>
          <w:b w:val="0"/>
          <w:i w:val="0"/>
          <w:sz w:val="24"/>
        </w:rPr>
        <w:t>: log S = 0.16 − 0.63·cLogP − 0.0062·MW + 0.066·RotB − 0.74·AP, where AP is the aromatic atom fraction. ESOL provides four-category BCS-aligned solubility classification with ±1 log-unit uncertainty — appropriate for rapid first-pass screening; higher-accuracy models such as OPERA</w:t>
      </w:r>
      <w:r>
        <w:rPr>
          <w:rFonts w:ascii="Times New Roman" w:hAnsi="Times New Roman"/>
          <w:b w:val="0"/>
          <w:i w:val="0"/>
          <w:sz w:val="16"/>
          <w:vertAlign w:val="superscript"/>
        </w:rPr>
        <w:t>23</w:t>
      </w:r>
      <w:r>
        <w:rPr>
          <w:rFonts w:ascii="Times New Roman" w:hAnsi="Times New Roman"/>
          <w:b w:val="0"/>
          <w:i w:val="0"/>
          <w:sz w:val="24"/>
        </w:rPr>
        <w:t xml:space="preserve"> are recommended for lead optimisation.</w:t>
      </w:r>
    </w:p>
    <w:p>
      <w:pPr>
        <w:spacing w:before="240" w:after="80"/>
        <w:jc w:val="left"/>
      </w:pPr>
      <w:r>
        <w:rPr>
          <w:rFonts w:ascii="Times New Roman" w:hAnsi="Times New Roman"/>
          <w:b/>
          <w:i w:val="0"/>
          <w:sz w:val="24"/>
        </w:rPr>
        <w:t>Batch Processing and Export</w:t>
      </w:r>
    </w:p>
    <w:p>
      <w:pPr>
        <w:spacing w:before="0" w:after="120"/>
        <w:jc w:val="both"/>
      </w:pPr>
      <w:r>
        <w:rPr>
          <w:rFonts w:ascii="Times New Roman" w:hAnsi="Times New Roman"/>
          <w:b w:val="0"/>
          <w:i w:val="0"/>
          <w:sz w:val="24"/>
        </w:rPr>
        <w:t>CSV files (Name + SMILES, up to 500 compounds) are accepted for batch processing. Per-compound error isolation prevents any single malformed entry from interrupting the batch. Completed results are exported as a structured Excel workbook with separate sheets for ADMET comparison across tools, flat per-compound records, and fingerprint matrices. A PDF clinical summary is also available. The PepLink integration enables bidirectional peptide-SMILES translation for ADMET evaluation of peptide-derived candidates.</w:t>
      </w:r>
    </w:p>
    <w:p>
      <w:pPr>
        <w:spacing w:before="240" w:after="80"/>
        <w:jc w:val="left"/>
      </w:pPr>
      <w:r>
        <w:rPr>
          <w:rFonts w:ascii="Times New Roman" w:hAnsi="Times New Roman"/>
          <w:b/>
          <w:i w:val="0"/>
          <w:sz w:val="24"/>
        </w:rPr>
        <w:t>Benchmark Against Open-Source Platforms</w:t>
      </w:r>
    </w:p>
    <w:p>
      <w:pPr>
        <w:spacing w:before="0" w:after="120"/>
        <w:jc w:val="both"/>
      </w:pPr>
      <w:r>
        <w:rPr>
          <w:rFonts w:ascii="Times New Roman" w:hAnsi="Times New Roman"/>
          <w:b w:val="0"/>
          <w:i w:val="0"/>
          <w:sz w:val="24"/>
        </w:rPr>
        <w:t>To characterise SMILESRender's position in the open-source cheminformatics landscape, we systematically compared feature coverage against five representative platforms evaluated based on publicly documented capabilities (Table 2).</w:t>
      </w:r>
    </w:p>
    <w:p>
      <w:pPr>
        <w:spacing w:before="120" w:after="40"/>
        <w:jc w:val="left"/>
      </w:pPr>
      <w:r>
        <w:rPr>
          <w:rFonts w:ascii="Times New Roman" w:hAnsi="Times New Roman"/>
          <w:b/>
          <w:i w:val="0"/>
          <w:sz w:val="20"/>
        </w:rPr>
        <w:t>Table 2. Feature benchmark: SMILESRender versus five open-source cheminformatics platforms.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Pr>
                <w:rFonts w:ascii="Times New Roman" w:hAnsi="Times New Roman"/>
                <w:b/>
                <w:sz w:val="18"/>
              </w:rPr>
              <w:t>Feature</w:t>
            </w:r>
          </w:p>
        </w:tc>
        <w:tc>
          <w:tcPr>
            <w:tcW w:type="dxa" w:w="1263"/>
          </w:tcPr>
          <w:p>
            <w:r>
              <w:rPr>
                <w:rFonts w:ascii="Times New Roman" w:hAnsi="Times New Roman"/>
                <w:b/>
                <w:sz w:val="18"/>
              </w:rPr>
              <w:t>SMILESRender</w:t>
            </w:r>
          </w:p>
        </w:tc>
        <w:tc>
          <w:tcPr>
            <w:tcW w:type="dxa" w:w="1263"/>
          </w:tcPr>
          <w:p>
            <w:r>
              <w:rPr>
                <w:rFonts w:ascii="Times New Roman" w:hAnsi="Times New Roman"/>
                <w:b/>
                <w:sz w:val="18"/>
              </w:rPr>
              <w:t>DataWarrior</w:t>
            </w:r>
          </w:p>
        </w:tc>
        <w:tc>
          <w:tcPr>
            <w:tcW w:type="dxa" w:w="1263"/>
          </w:tcPr>
          <w:p>
            <w:r>
              <w:rPr>
                <w:rFonts w:ascii="Times New Roman" w:hAnsi="Times New Roman"/>
                <w:b/>
                <w:sz w:val="18"/>
              </w:rPr>
              <w:t>KNIME+RDKit</w:t>
            </w:r>
          </w:p>
        </w:tc>
        <w:tc>
          <w:tcPr>
            <w:tcW w:type="dxa" w:w="1263"/>
          </w:tcPr>
          <w:p>
            <w:r>
              <w:rPr>
                <w:rFonts w:ascii="Times New Roman" w:hAnsi="Times New Roman"/>
                <w:b/>
                <w:sz w:val="18"/>
              </w:rPr>
              <w:t>Galaxy</w:t>
            </w:r>
          </w:p>
        </w:tc>
        <w:tc>
          <w:tcPr>
            <w:tcW w:type="dxa" w:w="1263"/>
          </w:tcPr>
          <w:p>
            <w:r>
              <w:rPr>
                <w:rFonts w:ascii="Times New Roman" w:hAnsi="Times New Roman"/>
                <w:b/>
                <w:sz w:val="18"/>
              </w:rPr>
              <w:t>ChemMine</w:t>
            </w:r>
          </w:p>
        </w:tc>
        <w:tc>
          <w:tcPr>
            <w:tcW w:type="dxa" w:w="1263"/>
          </w:tcPr>
          <w:p>
            <w:r>
              <w:rPr>
                <w:rFonts w:ascii="Times New Roman" w:hAnsi="Times New Roman"/>
                <w:b/>
                <w:sz w:val="18"/>
              </w:rPr>
              <w:t>MarvinSketch</w:t>
            </w:r>
          </w:p>
        </w:tc>
      </w:tr>
      <w:tr>
        <w:tc>
          <w:tcPr>
            <w:tcW w:type="dxa" w:w="1263"/>
          </w:tcPr>
          <w:p>
            <w:r>
              <w:rPr>
                <w:rFonts w:ascii="Times New Roman" w:hAnsi="Times New Roman"/>
                <w:sz w:val="18"/>
              </w:rPr>
              <w:t>Web-native (no installation)</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Yes(a)</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r>
      <w:tr>
        <w:tc>
          <w:tcPr>
            <w:tcW w:type="dxa" w:w="1263"/>
          </w:tcPr>
          <w:p>
            <w:r>
              <w:rPr>
                <w:rFonts w:ascii="Times New Roman" w:hAnsi="Times New Roman"/>
                <w:sz w:val="18"/>
              </w:rPr>
              <w:t>Docker / offline deployment</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Partial</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Open source (OSI licence)</w:t>
            </w:r>
          </w:p>
        </w:tc>
        <w:tc>
          <w:tcPr>
            <w:tcW w:type="dxa" w:w="1263"/>
          </w:tcPr>
          <w:p>
            <w:r>
              <w:rPr>
                <w:rFonts w:ascii="Times New Roman" w:hAnsi="Times New Roman"/>
                <w:sz w:val="18"/>
              </w:rPr>
              <w:t>Yes (MIT)</w:t>
            </w:r>
          </w:p>
        </w:tc>
        <w:tc>
          <w:tcPr>
            <w:tcW w:type="dxa" w:w="1263"/>
          </w:tcPr>
          <w:p>
            <w:r>
              <w:rPr>
                <w:rFonts w:ascii="Times New Roman" w:hAnsi="Times New Roman"/>
                <w:sz w:val="18"/>
              </w:rPr>
              <w:t>Partial(b)</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r>
      <w:tr>
        <w:tc>
          <w:tcPr>
            <w:tcW w:type="dxa" w:w="1263"/>
          </w:tcPr>
          <w:p>
            <w:r>
              <w:rPr>
                <w:rFonts w:ascii="Times New Roman" w:hAnsi="Times New Roman"/>
                <w:sz w:val="18"/>
              </w:rPr>
              <w:t>Interactive structure editor</w:t>
            </w:r>
          </w:p>
        </w:tc>
        <w:tc>
          <w:tcPr>
            <w:tcW w:type="dxa" w:w="1263"/>
          </w:tcPr>
          <w:p>
            <w:r>
              <w:rPr>
                <w:rFonts w:ascii="Times New Roman" w:hAnsi="Times New Roman"/>
                <w:sz w:val="18"/>
              </w:rPr>
              <w:t>Yes (JSME)</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Yes</w:t>
            </w:r>
          </w:p>
        </w:tc>
      </w:tr>
      <w:tr>
        <w:tc>
          <w:tcPr>
            <w:tcW w:type="dxa" w:w="1263"/>
          </w:tcPr>
          <w:p>
            <w:r>
              <w:rPr>
                <w:rFonts w:ascii="Times New Roman" w:hAnsi="Times New Roman"/>
                <w:sz w:val="18"/>
              </w:rPr>
              <w:t>2D rendering (batch, multi-format)</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Yes(c)</w:t>
            </w:r>
          </w:p>
        </w:tc>
        <w:tc>
          <w:tcPr>
            <w:tcW w:type="dxa" w:w="1263"/>
          </w:tcPr>
          <w:p>
            <w:r>
              <w:rPr>
                <w:rFonts w:ascii="Times New Roman" w:hAnsi="Times New Roman"/>
                <w:sz w:val="18"/>
              </w:rPr>
              <w:t>No</w:t>
            </w:r>
          </w:p>
        </w:tc>
        <w:tc>
          <w:tcPr>
            <w:tcW w:type="dxa" w:w="1263"/>
          </w:tcPr>
          <w:p>
            <w:r>
              <w:rPr>
                <w:rFonts w:ascii="Times New Roman" w:hAnsi="Times New Roman"/>
                <w:sz w:val="18"/>
              </w:rPr>
              <w:t>Partial</w:t>
            </w:r>
          </w:p>
        </w:tc>
        <w:tc>
          <w:tcPr>
            <w:tcW w:type="dxa" w:w="1263"/>
          </w:tcPr>
          <w:p>
            <w:r>
              <w:rPr>
                <w:rFonts w:ascii="Times New Roman" w:hAnsi="Times New Roman"/>
                <w:sz w:val="18"/>
              </w:rPr>
              <w:t>Yes</w:t>
            </w:r>
          </w:p>
        </w:tc>
      </w:tr>
      <w:tr>
        <w:tc>
          <w:tcPr>
            <w:tcW w:type="dxa" w:w="1263"/>
          </w:tcPr>
          <w:p>
            <w:r>
              <w:rPr>
                <w:rFonts w:ascii="Times New Roman" w:hAnsi="Times New Roman"/>
                <w:sz w:val="18"/>
              </w:rPr>
              <w:t>ADMET local ML (85+ endpoints)</w:t>
            </w:r>
          </w:p>
        </w:tc>
        <w:tc>
          <w:tcPr>
            <w:tcW w:type="dxa" w:w="1263"/>
          </w:tcPr>
          <w:p>
            <w:r>
              <w:rPr>
                <w:rFonts w:ascii="Times New Roman" w:hAnsi="Times New Roman"/>
                <w:sz w:val="18"/>
              </w:rPr>
              <w:t>Yes</w:t>
            </w:r>
          </w:p>
        </w:tc>
        <w:tc>
          <w:tcPr>
            <w:tcW w:type="dxa" w:w="1263"/>
          </w:tcPr>
          <w:p>
            <w:r>
              <w:rPr>
                <w:rFonts w:ascii="Times New Roman" w:hAnsi="Times New Roman"/>
                <w:sz w:val="18"/>
              </w:rPr>
              <w:t>Partial(d)</w:t>
            </w:r>
          </w:p>
        </w:tc>
        <w:tc>
          <w:tcPr>
            <w:tcW w:type="dxa" w:w="1263"/>
          </w:tcPr>
          <w:p>
            <w:r>
              <w:rPr>
                <w:rFonts w:ascii="Times New Roman" w:hAnsi="Times New Roman"/>
                <w:sz w:val="18"/>
              </w:rPr>
              <w:t>No(e)</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Partial(f)</w:t>
            </w:r>
          </w:p>
        </w:tc>
      </w:tr>
      <w:tr>
        <w:tc>
          <w:tcPr>
            <w:tcW w:type="dxa" w:w="1263"/>
          </w:tcPr>
          <w:p>
            <w:r>
              <w:rPr>
                <w:rFonts w:ascii="Times New Roman" w:hAnsi="Times New Roman"/>
                <w:sz w:val="18"/>
              </w:rPr>
              <w:t>BBB permeability + AD flag</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Tox21 12-endpoint panel</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Chemprop D-MPNN (53 props)</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External ADMET services (3)</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Manual(g)</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Automated plain-language interpretation</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5-isoform CYP heatmap</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Yes(c)</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PAINS + BRENK + NIH alerts</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Yes(c)</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60+ RDKit descriptor panel</w:t>
            </w:r>
          </w:p>
        </w:tc>
        <w:tc>
          <w:tcPr>
            <w:tcW w:type="dxa" w:w="1263"/>
          </w:tcPr>
          <w:p>
            <w:r>
              <w:rPr>
                <w:rFonts w:ascii="Times New Roman" w:hAnsi="Times New Roman"/>
                <w:sz w:val="18"/>
              </w:rPr>
              <w:t>Yes</w:t>
            </w:r>
          </w:p>
        </w:tc>
        <w:tc>
          <w:tcPr>
            <w:tcW w:type="dxa" w:w="1263"/>
          </w:tcPr>
          <w:p>
            <w:r>
              <w:rPr>
                <w:rFonts w:ascii="Times New Roman" w:hAnsi="Times New Roman"/>
                <w:sz w:val="18"/>
              </w:rPr>
              <w:t>Yes(d)</w:t>
            </w:r>
          </w:p>
        </w:tc>
        <w:tc>
          <w:tcPr>
            <w:tcW w:type="dxa" w:w="1263"/>
          </w:tcPr>
          <w:p>
            <w:r>
              <w:rPr>
                <w:rFonts w:ascii="Times New Roman" w:hAnsi="Times New Roman"/>
                <w:sz w:val="18"/>
              </w:rPr>
              <w:t>Yes(c)</w:t>
            </w:r>
          </w:p>
        </w:tc>
        <w:tc>
          <w:tcPr>
            <w:tcW w:type="dxa" w:w="1263"/>
          </w:tcPr>
          <w:p>
            <w:r>
              <w:rPr>
                <w:rFonts w:ascii="Times New Roman" w:hAnsi="Times New Roman"/>
                <w:sz w:val="18"/>
              </w:rPr>
              <w:t>Partial</w:t>
            </w:r>
          </w:p>
        </w:tc>
        <w:tc>
          <w:tcPr>
            <w:tcW w:type="dxa" w:w="1263"/>
          </w:tcPr>
          <w:p>
            <w:r>
              <w:rPr>
                <w:rFonts w:ascii="Times New Roman" w:hAnsi="Times New Roman"/>
                <w:sz w:val="18"/>
              </w:rPr>
              <w:t>No</w:t>
            </w:r>
          </w:p>
        </w:tc>
        <w:tc>
          <w:tcPr>
            <w:tcW w:type="dxa" w:w="1263"/>
          </w:tcPr>
          <w:p>
            <w:r>
              <w:rPr>
                <w:rFonts w:ascii="Times New Roman" w:hAnsi="Times New Roman"/>
                <w:sz w:val="18"/>
              </w:rPr>
              <w:t>Partial</w:t>
            </w:r>
          </w:p>
        </w:tc>
      </w:tr>
      <w:tr>
        <w:tc>
          <w:tcPr>
            <w:tcW w:type="dxa" w:w="1263"/>
          </w:tcPr>
          <w:p>
            <w:r>
              <w:rPr>
                <w:rFonts w:ascii="Times New Roman" w:hAnsi="Times New Roman"/>
                <w:sz w:val="18"/>
              </w:rPr>
              <w:t>4 fingerprint types (ML-ready)</w:t>
            </w:r>
          </w:p>
        </w:tc>
        <w:tc>
          <w:tcPr>
            <w:tcW w:type="dxa" w:w="1263"/>
          </w:tcPr>
          <w:p>
            <w:r>
              <w:rPr>
                <w:rFonts w:ascii="Times New Roman" w:hAnsi="Times New Roman"/>
                <w:sz w:val="18"/>
              </w:rPr>
              <w:t>Yes</w:t>
            </w:r>
          </w:p>
        </w:tc>
        <w:tc>
          <w:tcPr>
            <w:tcW w:type="dxa" w:w="1263"/>
          </w:tcPr>
          <w:p>
            <w:r>
              <w:rPr>
                <w:rFonts w:ascii="Times New Roman" w:hAnsi="Times New Roman"/>
                <w:sz w:val="18"/>
              </w:rPr>
              <w:t>Partial</w:t>
            </w:r>
          </w:p>
        </w:tc>
        <w:tc>
          <w:tcPr>
            <w:tcW w:type="dxa" w:w="1263"/>
          </w:tcPr>
          <w:p>
            <w:r>
              <w:rPr>
                <w:rFonts w:ascii="Times New Roman" w:hAnsi="Times New Roman"/>
                <w:sz w:val="18"/>
              </w:rPr>
              <w:t>Yes(c)</w:t>
            </w:r>
          </w:p>
        </w:tc>
        <w:tc>
          <w:tcPr>
            <w:tcW w:type="dxa" w:w="1263"/>
          </w:tcPr>
          <w:p>
            <w:r>
              <w:rPr>
                <w:rFonts w:ascii="Times New Roman" w:hAnsi="Times New Roman"/>
                <w:sz w:val="18"/>
              </w:rPr>
              <w:t>No</w:t>
            </w:r>
          </w:p>
        </w:tc>
        <w:tc>
          <w:tcPr>
            <w:tcW w:type="dxa" w:w="1263"/>
          </w:tcPr>
          <w:p>
            <w:r>
              <w:rPr>
                <w:rFonts w:ascii="Times New Roman" w:hAnsi="Times New Roman"/>
                <w:sz w:val="18"/>
              </w:rPr>
              <w:t>Partial</w:t>
            </w:r>
          </w:p>
        </w:tc>
        <w:tc>
          <w:tcPr>
            <w:tcW w:type="dxa" w:w="1263"/>
          </w:tcPr>
          <w:p>
            <w:r>
              <w:rPr>
                <w:rFonts w:ascii="Times New Roman" w:hAnsi="Times New Roman"/>
                <w:sz w:val="18"/>
              </w:rPr>
              <w:t>No</w:t>
            </w:r>
          </w:p>
        </w:tc>
      </w:tr>
      <w:tr>
        <w:tc>
          <w:tcPr>
            <w:tcW w:type="dxa" w:w="1263"/>
          </w:tcPr>
          <w:p>
            <w:r>
              <w:rPr>
                <w:rFonts w:ascii="Times New Roman" w:hAnsi="Times New Roman"/>
                <w:sz w:val="18"/>
              </w:rPr>
              <w:t>Chemical similarity search</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Yes(c)</w:t>
            </w:r>
          </w:p>
        </w:tc>
        <w:tc>
          <w:tcPr>
            <w:tcW w:type="dxa" w:w="1263"/>
          </w:tcPr>
          <w:p>
            <w:r>
              <w:rPr>
                <w:rFonts w:ascii="Times New Roman" w:hAnsi="Times New Roman"/>
                <w:sz w:val="18"/>
              </w:rPr>
              <w:t>No</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r>
      <w:tr>
        <w:tc>
          <w:tcPr>
            <w:tcW w:type="dxa" w:w="1263"/>
          </w:tcPr>
          <w:p>
            <w:r>
              <w:rPr>
                <w:rFonts w:ascii="Times New Roman" w:hAnsi="Times New Roman"/>
                <w:sz w:val="18"/>
              </w:rPr>
              <w:t>Batch CSV upload</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Yes</w:t>
            </w:r>
          </w:p>
        </w:tc>
        <w:tc>
          <w:tcPr>
            <w:tcW w:type="dxa" w:w="1263"/>
          </w:tcPr>
          <w:p>
            <w:r>
              <w:rPr>
                <w:rFonts w:ascii="Times New Roman" w:hAnsi="Times New Roman"/>
                <w:sz w:val="18"/>
              </w:rPr>
              <w:t>Partial</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r>
      <w:tr>
        <w:tc>
          <w:tcPr>
            <w:tcW w:type="dxa" w:w="1263"/>
          </w:tcPr>
          <w:p>
            <w:r>
              <w:rPr>
                <w:rFonts w:ascii="Times New Roman" w:hAnsi="Times New Roman"/>
                <w:sz w:val="18"/>
              </w:rPr>
              <w:t>Per-molecule risk matrix</w:t>
            </w:r>
          </w:p>
        </w:tc>
        <w:tc>
          <w:tcPr>
            <w:tcW w:type="dxa" w:w="1263"/>
          </w:tcPr>
          <w:p>
            <w:r>
              <w:rPr>
                <w:rFonts w:ascii="Times New Roman" w:hAnsi="Times New Roman"/>
                <w:sz w:val="18"/>
              </w:rPr>
              <w:t>Yes</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c>
          <w:tcPr>
            <w:tcW w:type="dxa" w:w="1263"/>
          </w:tcPr>
          <w:p>
            <w:r>
              <w:rPr>
                <w:rFonts w:ascii="Times New Roman" w:hAnsi="Times New Roman"/>
                <w:sz w:val="18"/>
              </w:rPr>
              <w:t>No</w:t>
            </w:r>
          </w:p>
        </w:tc>
      </w:tr>
      <w:tr>
        <w:tc>
          <w:tcPr>
            <w:tcW w:type="dxa" w:w="1263"/>
          </w:tcPr>
          <w:p>
            <w:r>
              <w:rPr>
                <w:rFonts w:ascii="Times New Roman" w:hAnsi="Times New Roman"/>
                <w:sz w:val="18"/>
              </w:rPr>
              <w:t>Required expertise</w:t>
            </w:r>
          </w:p>
        </w:tc>
        <w:tc>
          <w:tcPr>
            <w:tcW w:type="dxa" w:w="1263"/>
          </w:tcPr>
          <w:p>
            <w:r>
              <w:rPr>
                <w:rFonts w:ascii="Times New Roman" w:hAnsi="Times New Roman"/>
                <w:sz w:val="18"/>
              </w:rPr>
              <w:t>Minimal</w:t>
            </w:r>
          </w:p>
        </w:tc>
        <w:tc>
          <w:tcPr>
            <w:tcW w:type="dxa" w:w="1263"/>
          </w:tcPr>
          <w:p>
            <w:r>
              <w:rPr>
                <w:rFonts w:ascii="Times New Roman" w:hAnsi="Times New Roman"/>
                <w:sz w:val="18"/>
              </w:rPr>
              <w:t>Moderate</w:t>
            </w:r>
          </w:p>
        </w:tc>
        <w:tc>
          <w:tcPr>
            <w:tcW w:type="dxa" w:w="1263"/>
          </w:tcPr>
          <w:p>
            <w:r>
              <w:rPr>
                <w:rFonts w:ascii="Times New Roman" w:hAnsi="Times New Roman"/>
                <w:sz w:val="18"/>
              </w:rPr>
              <w:t>High</w:t>
            </w:r>
          </w:p>
        </w:tc>
        <w:tc>
          <w:tcPr>
            <w:tcW w:type="dxa" w:w="1263"/>
          </w:tcPr>
          <w:p>
            <w:r>
              <w:rPr>
                <w:rFonts w:ascii="Times New Roman" w:hAnsi="Times New Roman"/>
                <w:sz w:val="18"/>
              </w:rPr>
              <w:t>High</w:t>
            </w:r>
          </w:p>
        </w:tc>
        <w:tc>
          <w:tcPr>
            <w:tcW w:type="dxa" w:w="1263"/>
          </w:tcPr>
          <w:p>
            <w:r>
              <w:rPr>
                <w:rFonts w:ascii="Times New Roman" w:hAnsi="Times New Roman"/>
                <w:sz w:val="18"/>
              </w:rPr>
              <w:t>Minimal</w:t>
            </w:r>
          </w:p>
        </w:tc>
        <w:tc>
          <w:tcPr>
            <w:tcW w:type="dxa" w:w="1263"/>
          </w:tcPr>
          <w:p>
            <w:r>
              <w:rPr>
                <w:rFonts w:ascii="Times New Roman" w:hAnsi="Times New Roman"/>
                <w:sz w:val="18"/>
              </w:rPr>
              <w:t>Minimal</w:t>
            </w:r>
          </w:p>
        </w:tc>
      </w:tr>
    </w:tbl>
    <w:p>
      <w:pPr>
        <w:spacing w:before="40" w:after="120"/>
        <w:jc w:val="both"/>
      </w:pPr>
      <w:r>
        <w:rPr>
          <w:rFonts w:ascii="Times New Roman" w:hAnsi="Times New Roman"/>
          <w:b w:val="0"/>
          <w:i/>
          <w:sz w:val="18"/>
        </w:rPr>
        <w:t>(a) Galaxy requires server account. (b) DataWarrior freely distributed but source not public. (c) Requires KNIME workflow construction. (d) DataWarrior: physicochemical descriptors; no ML toxicity. (e) KNIME: no built-in ADMET; external API nodes require separate configuration. (f) MarvinSketch: pKa/logP/solubility only. (g) Possible via REST nodes but requires manual workflow setup.</w:t>
      </w:r>
    </w:p>
    <w:p>
      <w:pPr>
        <w:spacing w:before="0" w:after="120"/>
        <w:jc w:val="both"/>
      </w:pPr>
      <w:r>
        <w:rPr>
          <w:rFonts w:ascii="Times New Roman" w:hAnsi="Times New Roman"/>
          <w:b w:val="0"/>
          <w:i w:val="0"/>
          <w:sz w:val="24"/>
        </w:rPr>
        <w:t>SMILESRender is the only open-source platform providing all five ADMET categories in a web-native, no-installation environment with automated interpretation. DataWarrior is the strongest general-purpose competitor but provides no ML-based ADMET prediction and no external service integration. KNIME is more powerful for expert users building custom pipelines but inaccessible without programming expertise. No comparator provides BBB permeability prediction, Tox21 profiling, or CYP polypharmacology heatmapping.</w:t>
      </w:r>
    </w:p>
    <w:p>
      <w:pPr>
        <w:spacing w:before="240" w:after="80"/>
        <w:jc w:val="left"/>
      </w:pPr>
      <w:r>
        <w:rPr>
          <w:rFonts w:ascii="Times New Roman" w:hAnsi="Times New Roman"/>
          <w:b/>
          <w:i w:val="0"/>
          <w:sz w:val="24"/>
        </w:rPr>
        <w:t>Application to Thieno[2,3-b]pyridine Derivatives</w:t>
      </w:r>
    </w:p>
    <w:p>
      <w:pPr>
        <w:spacing w:before="0" w:after="120"/>
        <w:jc w:val="both"/>
      </w:pPr>
      <w:r>
        <w:rPr>
          <w:rFonts w:ascii="Times New Roman" w:hAnsi="Times New Roman"/>
          <w:b w:val="0"/>
          <w:i w:val="0"/>
          <w:sz w:val="24"/>
        </w:rPr>
        <w:t>To demonstrate practical utility, we profiled a library of 20 thieno[2,3-b]pyridine derivatives (DADOS_Uminho_1), a kinase inhibitor scaffold functionalised with diverse N-aryl and N-heteroaryl groups at the C-5 amino position (Figure 4). The batch was submitted as a CSV file and processed through all six prediction engines simultaneously.</w:t>
      </w:r>
    </w:p>
    <w:p>
      <w:pPr>
        <w:spacing w:before="0" w:after="120"/>
        <w:jc w:val="both"/>
      </w:pPr>
      <w:r>
        <w:rPr>
          <w:rFonts w:ascii="Times New Roman" w:hAnsi="Times New Roman"/>
          <w:b w:val="0"/>
          <w:i w:val="0"/>
          <w:sz w:val="24"/>
        </w:rPr>
        <w:t>Complete profiling finished in 11 min 45 s ± 1 min 12 s (three independent runs; single analyst experienced with all tools), compared with 2 h 52 min ± 18 min for the equivalent manual workflow across three external services. The consolidated Excel export required no reformatting before SAR analysis.</w:t>
      </w:r>
    </w:p>
    <w:p>
      <w:pPr>
        <w:spacing w:before="0" w:after="120"/>
        <w:jc w:val="both"/>
      </w:pPr>
      <w:r>
        <w:rPr>
          <w:rFonts w:ascii="Times New Roman" w:hAnsi="Times New Roman"/>
          <w:b w:val="0"/>
          <w:i w:val="0"/>
          <w:sz w:val="24"/>
        </w:rPr>
        <w:t>Key findings: (i) 14/20 compounds (70%) were predicted BBB+ with probability &gt; 0.70, consistent with the lipophilic aromatic core (mean LogP = 3.8 ± 0.6) — all within the BBB model's applicability domain (Tanimoto NN: 0.33–0.51); (ii) three compounds bore PAINS alerts (rhodanine substructure ×2; catechol ×1), flagged by the interpretation engine with explicit alert-type annotation; (iii) two compounds received high-severity hERG flags (probability &gt; 0.60); (iv) CYP3A4 was the most frequently inhibited isoform (11/20, 55%), consistent with the scaffold's aromatic character; (v) all 20 compounds were predicted poorly to moderately soluble (ESOL log S: −3.8 to −5.6), consistent with their high aromatic proportion (AP: 0.47–0.58).</w:t>
      </w:r>
    </w:p>
    <w:p>
      <w:pPr>
        <w:spacing w:before="0" w:after="120"/>
        <w:jc w:val="both"/>
      </w:pPr>
      <w:r>
        <w:rPr>
          <w:rFonts w:ascii="Times New Roman" w:hAnsi="Times New Roman"/>
          <w:b w:val="0"/>
          <w:i w:val="0"/>
          <w:sz w:val="24"/>
        </w:rPr>
        <w:t>The Per-Molecule Risk Matrix and CYP Inhibition Heatmap (Figure 4C–D) allowed immediate visual identification of the two highest-risk compounds for de-prioritisation, without any data manipulation beyond the automated Excel export.</w:t>
      </w:r>
    </w:p>
    <w:p>
      <w:pPr>
        <w:spacing w:before="240" w:after="80"/>
        <w:jc w:val="left"/>
      </w:pPr>
      <w:r>
        <w:rPr>
          <w:rFonts w:ascii="Times New Roman" w:hAnsi="Times New Roman"/>
          <w:b/>
          <w:i w:val="0"/>
          <w:sz w:val="24"/>
        </w:rPr>
        <w:t>Class-Specific Validation: FDA-Approved SGLT2 Inhibitors</w:t>
      </w:r>
    </w:p>
    <w:p>
      <w:pPr>
        <w:spacing w:before="0" w:after="120"/>
        <w:jc w:val="both"/>
      </w:pPr>
      <w:r>
        <w:rPr>
          <w:rFonts w:ascii="Times New Roman" w:hAnsi="Times New Roman"/>
          <w:b w:val="0"/>
          <w:i w:val="0"/>
          <w:sz w:val="24"/>
        </w:rPr>
        <w:t>To demonstrate SMILESRender's utility for class-level pharmacological profiling, we applied the platform to all six FDA-approved sodium-glucose cotransporter-2 (SGLT2) inhibitors — canagliflozin, dapagliflozin, tofogliflozin, ipragliflozin, empagliflozin, and sotagliflozin — a therapeutically important gliflozin class with well-documented clinical ADMET profiles against which to benchmark predictions. SMILES strings were submitted as a CSV batch; the complete multi-engine analysis finished in under 5 minutes.</w:t>
      </w:r>
    </w:p>
    <w:p>
      <w:pPr>
        <w:spacing w:before="120" w:after="40"/>
        <w:jc w:val="left"/>
      </w:pPr>
      <w:r>
        <w:rPr>
          <w:rFonts w:ascii="Times New Roman" w:hAnsi="Times New Roman"/>
          <w:b/>
          <w:i w:val="0"/>
          <w:sz w:val="20"/>
        </w:rPr>
        <w:t>Table 3. Physicochemical descriptors, solubility, and BBB prediction for six approved SGLT2 inhibitors.</w:t>
      </w:r>
    </w:p>
    <w:tbl>
      <w:tblPr>
        <w:tblStyle w:val="TableGrid"/>
        <w:tblW w:type="auto" w:w="0"/>
        <w:tblLook w:firstColumn="1" w:firstRow="1" w:lastColumn="0" w:lastRow="0" w:noHBand="0" w:noVBand="1" w:val="04A0"/>
      </w:tblPr>
      <w:tblGrid>
        <w:gridCol w:w="803"/>
        <w:gridCol w:w="803"/>
        <w:gridCol w:w="803"/>
        <w:gridCol w:w="803"/>
        <w:gridCol w:w="803"/>
        <w:gridCol w:w="803"/>
        <w:gridCol w:w="803"/>
        <w:gridCol w:w="803"/>
        <w:gridCol w:w="803"/>
        <w:gridCol w:w="803"/>
        <w:gridCol w:w="803"/>
      </w:tblGrid>
      <w:tr>
        <w:tc>
          <w:tcPr>
            <w:tcW w:type="dxa" w:w="803"/>
          </w:tcPr>
          <w:p>
            <w:r>
              <w:rPr>
                <w:rFonts w:ascii="Times New Roman" w:hAnsi="Times New Roman"/>
                <w:b/>
                <w:sz w:val="18"/>
              </w:rPr>
              <w:t>Drug</w:t>
            </w:r>
          </w:p>
        </w:tc>
        <w:tc>
          <w:tcPr>
            <w:tcW w:type="dxa" w:w="803"/>
          </w:tcPr>
          <w:p>
            <w:r>
              <w:rPr>
                <w:rFonts w:ascii="Times New Roman" w:hAnsi="Times New Roman"/>
                <w:b/>
                <w:sz w:val="18"/>
              </w:rPr>
              <w:t>MW</w:t>
            </w:r>
          </w:p>
        </w:tc>
        <w:tc>
          <w:tcPr>
            <w:tcW w:type="dxa" w:w="803"/>
          </w:tcPr>
          <w:p>
            <w:r>
              <w:rPr>
                <w:rFonts w:ascii="Times New Roman" w:hAnsi="Times New Roman"/>
                <w:b/>
                <w:sz w:val="18"/>
              </w:rPr>
              <w:t>LogP</w:t>
            </w:r>
          </w:p>
        </w:tc>
        <w:tc>
          <w:tcPr>
            <w:tcW w:type="dxa" w:w="803"/>
          </w:tcPr>
          <w:p>
            <w:r>
              <w:rPr>
                <w:rFonts w:ascii="Times New Roman" w:hAnsi="Times New Roman"/>
                <w:b/>
                <w:sz w:val="18"/>
              </w:rPr>
              <w:t>TPSA</w:t>
            </w:r>
          </w:p>
        </w:tc>
        <w:tc>
          <w:tcPr>
            <w:tcW w:type="dxa" w:w="803"/>
          </w:tcPr>
          <w:p>
            <w:r>
              <w:rPr>
                <w:rFonts w:ascii="Times New Roman" w:hAnsi="Times New Roman"/>
                <w:b/>
                <w:sz w:val="18"/>
              </w:rPr>
              <w:t>HBD</w:t>
            </w:r>
          </w:p>
        </w:tc>
        <w:tc>
          <w:tcPr>
            <w:tcW w:type="dxa" w:w="803"/>
          </w:tcPr>
          <w:p>
            <w:r>
              <w:rPr>
                <w:rFonts w:ascii="Times New Roman" w:hAnsi="Times New Roman"/>
                <w:b/>
                <w:sz w:val="18"/>
              </w:rPr>
              <w:t>QED</w:t>
            </w:r>
          </w:p>
        </w:tc>
        <w:tc>
          <w:tcPr>
            <w:tcW w:type="dxa" w:w="803"/>
          </w:tcPr>
          <w:p>
            <w:r>
              <w:rPr>
                <w:rFonts w:ascii="Times New Roman" w:hAnsi="Times New Roman"/>
                <w:b/>
                <w:sz w:val="18"/>
              </w:rPr>
              <w:t>Ro5</w:t>
            </w:r>
          </w:p>
        </w:tc>
        <w:tc>
          <w:tcPr>
            <w:tcW w:type="dxa" w:w="803"/>
          </w:tcPr>
          <w:p>
            <w:r>
              <w:rPr>
                <w:rFonts w:ascii="Times New Roman" w:hAnsi="Times New Roman"/>
                <w:b/>
                <w:sz w:val="18"/>
              </w:rPr>
              <w:t>ESOL logS</w:t>
            </w:r>
          </w:p>
        </w:tc>
        <w:tc>
          <w:tcPr>
            <w:tcW w:type="dxa" w:w="803"/>
          </w:tcPr>
          <w:p>
            <w:r>
              <w:rPr>
                <w:rFonts w:ascii="Times New Roman" w:hAnsi="Times New Roman"/>
                <w:b/>
                <w:sz w:val="18"/>
              </w:rPr>
              <w:t>Solubility</w:t>
            </w:r>
          </w:p>
        </w:tc>
        <w:tc>
          <w:tcPr>
            <w:tcW w:type="dxa" w:w="803"/>
          </w:tcPr>
          <w:p>
            <w:r>
              <w:rPr>
                <w:rFonts w:ascii="Times New Roman" w:hAnsi="Times New Roman"/>
                <w:b/>
                <w:sz w:val="18"/>
              </w:rPr>
              <w:t>BBB</w:t>
            </w:r>
          </w:p>
        </w:tc>
        <w:tc>
          <w:tcPr>
            <w:tcW w:type="dxa" w:w="803"/>
          </w:tcPr>
          <w:p>
            <w:r>
              <w:rPr>
                <w:rFonts w:ascii="Times New Roman" w:hAnsi="Times New Roman"/>
                <w:b/>
                <w:sz w:val="18"/>
              </w:rPr>
              <w:t>prob</w:t>
            </w:r>
          </w:p>
        </w:tc>
      </w:tr>
      <w:tr>
        <w:tc>
          <w:tcPr>
            <w:tcW w:type="dxa" w:w="803"/>
          </w:tcPr>
          <w:p>
            <w:r>
              <w:rPr>
                <w:rFonts w:ascii="Times New Roman" w:hAnsi="Times New Roman"/>
                <w:sz w:val="18"/>
              </w:rPr>
              <w:t>Canagliflozin</w:t>
            </w:r>
          </w:p>
        </w:tc>
        <w:tc>
          <w:tcPr>
            <w:tcW w:type="dxa" w:w="803"/>
          </w:tcPr>
          <w:p>
            <w:r>
              <w:rPr>
                <w:rFonts w:ascii="Times New Roman" w:hAnsi="Times New Roman"/>
                <w:sz w:val="18"/>
              </w:rPr>
              <w:t>444.5</w:t>
            </w:r>
          </w:p>
        </w:tc>
        <w:tc>
          <w:tcPr>
            <w:tcW w:type="dxa" w:w="803"/>
          </w:tcPr>
          <w:p>
            <w:r>
              <w:rPr>
                <w:rFonts w:ascii="Times New Roman" w:hAnsi="Times New Roman"/>
                <w:sz w:val="18"/>
              </w:rPr>
              <w:t>2.97</w:t>
            </w:r>
          </w:p>
        </w:tc>
        <w:tc>
          <w:tcPr>
            <w:tcW w:type="dxa" w:w="803"/>
          </w:tcPr>
          <w:p>
            <w:r>
              <w:rPr>
                <w:rFonts w:ascii="Times New Roman" w:hAnsi="Times New Roman"/>
                <w:sz w:val="18"/>
              </w:rPr>
              <w:t>90.2</w:t>
            </w:r>
          </w:p>
        </w:tc>
        <w:tc>
          <w:tcPr>
            <w:tcW w:type="dxa" w:w="803"/>
          </w:tcPr>
          <w:p>
            <w:r>
              <w:rPr>
                <w:rFonts w:ascii="Times New Roman" w:hAnsi="Times New Roman"/>
                <w:sz w:val="18"/>
              </w:rPr>
              <w:t>4</w:t>
            </w:r>
          </w:p>
        </w:tc>
        <w:tc>
          <w:tcPr>
            <w:tcW w:type="dxa" w:w="803"/>
          </w:tcPr>
          <w:p>
            <w:r>
              <w:rPr>
                <w:rFonts w:ascii="Times New Roman" w:hAnsi="Times New Roman"/>
                <w:sz w:val="18"/>
              </w:rPr>
              <w:t>0.486</w:t>
            </w:r>
          </w:p>
        </w:tc>
        <w:tc>
          <w:tcPr>
            <w:tcW w:type="dxa" w:w="803"/>
          </w:tcPr>
          <w:p>
            <w:r>
              <w:rPr>
                <w:rFonts w:ascii="Times New Roman" w:hAnsi="Times New Roman"/>
                <w:sz w:val="18"/>
              </w:rPr>
              <w:t>Pass</w:t>
            </w:r>
          </w:p>
        </w:tc>
        <w:tc>
          <w:tcPr>
            <w:tcW w:type="dxa" w:w="803"/>
          </w:tcPr>
          <w:p>
            <w:r>
              <w:rPr>
                <w:rFonts w:ascii="Times New Roman" w:hAnsi="Times New Roman"/>
                <w:sz w:val="18"/>
              </w:rPr>
              <w:t>-4.54</w:t>
            </w:r>
          </w:p>
        </w:tc>
        <w:tc>
          <w:tcPr>
            <w:tcW w:type="dxa" w:w="803"/>
          </w:tcPr>
          <w:p>
            <w:r>
              <w:rPr>
                <w:rFonts w:ascii="Times New Roman" w:hAnsi="Times New Roman"/>
                <w:sz w:val="18"/>
              </w:rPr>
              <w:t>Poorly sol.</w:t>
            </w:r>
          </w:p>
        </w:tc>
        <w:tc>
          <w:tcPr>
            <w:tcW w:type="dxa" w:w="803"/>
          </w:tcPr>
          <w:p>
            <w:r>
              <w:rPr>
                <w:rFonts w:ascii="Times New Roman" w:hAnsi="Times New Roman"/>
                <w:sz w:val="18"/>
              </w:rPr>
              <w:t>BBB+</w:t>
            </w:r>
          </w:p>
        </w:tc>
        <w:tc>
          <w:tcPr>
            <w:tcW w:type="dxa" w:w="803"/>
          </w:tcPr>
          <w:p>
            <w:r>
              <w:rPr>
                <w:rFonts w:ascii="Times New Roman" w:hAnsi="Times New Roman"/>
                <w:sz w:val="18"/>
              </w:rPr>
              <w:t>0.60</w:t>
            </w:r>
          </w:p>
        </w:tc>
      </w:tr>
      <w:tr>
        <w:tc>
          <w:tcPr>
            <w:tcW w:type="dxa" w:w="803"/>
          </w:tcPr>
          <w:p>
            <w:r>
              <w:rPr>
                <w:rFonts w:ascii="Times New Roman" w:hAnsi="Times New Roman"/>
                <w:sz w:val="18"/>
              </w:rPr>
              <w:t>Dapagliflozin</w:t>
            </w:r>
          </w:p>
        </w:tc>
        <w:tc>
          <w:tcPr>
            <w:tcW w:type="dxa" w:w="803"/>
          </w:tcPr>
          <w:p>
            <w:r>
              <w:rPr>
                <w:rFonts w:ascii="Times New Roman" w:hAnsi="Times New Roman"/>
                <w:sz w:val="18"/>
              </w:rPr>
              <w:t>408.9</w:t>
            </w:r>
          </w:p>
        </w:tc>
        <w:tc>
          <w:tcPr>
            <w:tcW w:type="dxa" w:w="803"/>
          </w:tcPr>
          <w:p>
            <w:r>
              <w:rPr>
                <w:rFonts w:ascii="Times New Roman" w:hAnsi="Times New Roman"/>
                <w:sz w:val="18"/>
              </w:rPr>
              <w:t>1.84</w:t>
            </w:r>
          </w:p>
        </w:tc>
        <w:tc>
          <w:tcPr>
            <w:tcW w:type="dxa" w:w="803"/>
          </w:tcPr>
          <w:p>
            <w:r>
              <w:rPr>
                <w:rFonts w:ascii="Times New Roman" w:hAnsi="Times New Roman"/>
                <w:sz w:val="18"/>
              </w:rPr>
              <w:t>99.4</w:t>
            </w:r>
          </w:p>
        </w:tc>
        <w:tc>
          <w:tcPr>
            <w:tcW w:type="dxa" w:w="803"/>
          </w:tcPr>
          <w:p>
            <w:r>
              <w:rPr>
                <w:rFonts w:ascii="Times New Roman" w:hAnsi="Times New Roman"/>
                <w:sz w:val="18"/>
              </w:rPr>
              <w:t>4</w:t>
            </w:r>
          </w:p>
        </w:tc>
        <w:tc>
          <w:tcPr>
            <w:tcW w:type="dxa" w:w="803"/>
          </w:tcPr>
          <w:p>
            <w:r>
              <w:rPr>
                <w:rFonts w:ascii="Times New Roman" w:hAnsi="Times New Roman"/>
                <w:sz w:val="18"/>
              </w:rPr>
              <w:t>0.582</w:t>
            </w:r>
          </w:p>
        </w:tc>
        <w:tc>
          <w:tcPr>
            <w:tcW w:type="dxa" w:w="803"/>
          </w:tcPr>
          <w:p>
            <w:r>
              <w:rPr>
                <w:rFonts w:ascii="Times New Roman" w:hAnsi="Times New Roman"/>
                <w:sz w:val="18"/>
              </w:rPr>
              <w:t>Pass</w:t>
            </w:r>
          </w:p>
        </w:tc>
        <w:tc>
          <w:tcPr>
            <w:tcW w:type="dxa" w:w="803"/>
          </w:tcPr>
          <w:p>
            <w:r>
              <w:rPr>
                <w:rFonts w:ascii="Times New Roman" w:hAnsi="Times New Roman"/>
                <w:sz w:val="18"/>
              </w:rPr>
              <w:t>-3.46</w:t>
            </w:r>
          </w:p>
        </w:tc>
        <w:tc>
          <w:tcPr>
            <w:tcW w:type="dxa" w:w="803"/>
          </w:tcPr>
          <w:p>
            <w:r>
              <w:rPr>
                <w:rFonts w:ascii="Times New Roman" w:hAnsi="Times New Roman"/>
                <w:sz w:val="18"/>
              </w:rPr>
              <w:t>Mod. sol.</w:t>
            </w:r>
          </w:p>
        </w:tc>
        <w:tc>
          <w:tcPr>
            <w:tcW w:type="dxa" w:w="803"/>
          </w:tcPr>
          <w:p>
            <w:r>
              <w:rPr>
                <w:rFonts w:ascii="Times New Roman" w:hAnsi="Times New Roman"/>
                <w:sz w:val="18"/>
              </w:rPr>
              <w:t>BBB-</w:t>
            </w:r>
          </w:p>
        </w:tc>
        <w:tc>
          <w:tcPr>
            <w:tcW w:type="dxa" w:w="803"/>
          </w:tcPr>
          <w:p>
            <w:r>
              <w:rPr>
                <w:rFonts w:ascii="Times New Roman" w:hAnsi="Times New Roman"/>
                <w:sz w:val="18"/>
              </w:rPr>
              <w:t>0.46</w:t>
            </w:r>
          </w:p>
        </w:tc>
      </w:tr>
      <w:tr>
        <w:tc>
          <w:tcPr>
            <w:tcW w:type="dxa" w:w="803"/>
          </w:tcPr>
          <w:p>
            <w:r>
              <w:rPr>
                <w:rFonts w:ascii="Times New Roman" w:hAnsi="Times New Roman"/>
                <w:sz w:val="18"/>
              </w:rPr>
              <w:t>Tofogliflozin</w:t>
            </w:r>
          </w:p>
        </w:tc>
        <w:tc>
          <w:tcPr>
            <w:tcW w:type="dxa" w:w="803"/>
          </w:tcPr>
          <w:p>
            <w:r>
              <w:rPr>
                <w:rFonts w:ascii="Times New Roman" w:hAnsi="Times New Roman"/>
                <w:sz w:val="18"/>
              </w:rPr>
              <w:t>386.4</w:t>
            </w:r>
          </w:p>
        </w:tc>
        <w:tc>
          <w:tcPr>
            <w:tcW w:type="dxa" w:w="803"/>
          </w:tcPr>
          <w:p>
            <w:r>
              <w:rPr>
                <w:rFonts w:ascii="Times New Roman" w:hAnsi="Times New Roman"/>
                <w:sz w:val="18"/>
              </w:rPr>
              <w:t>1.00</w:t>
            </w:r>
          </w:p>
        </w:tc>
        <w:tc>
          <w:tcPr>
            <w:tcW w:type="dxa" w:w="803"/>
          </w:tcPr>
          <w:p>
            <w:r>
              <w:rPr>
                <w:rFonts w:ascii="Times New Roman" w:hAnsi="Times New Roman"/>
                <w:sz w:val="18"/>
              </w:rPr>
              <w:t>99.4</w:t>
            </w:r>
          </w:p>
        </w:tc>
        <w:tc>
          <w:tcPr>
            <w:tcW w:type="dxa" w:w="803"/>
          </w:tcPr>
          <w:p>
            <w:r>
              <w:rPr>
                <w:rFonts w:ascii="Times New Roman" w:hAnsi="Times New Roman"/>
                <w:sz w:val="18"/>
              </w:rPr>
              <w:t>4</w:t>
            </w:r>
          </w:p>
        </w:tc>
        <w:tc>
          <w:tcPr>
            <w:tcW w:type="dxa" w:w="803"/>
          </w:tcPr>
          <w:p>
            <w:r>
              <w:rPr>
                <w:rFonts w:ascii="Times New Roman" w:hAnsi="Times New Roman"/>
                <w:sz w:val="18"/>
              </w:rPr>
              <w:t>0.626</w:t>
            </w:r>
          </w:p>
        </w:tc>
        <w:tc>
          <w:tcPr>
            <w:tcW w:type="dxa" w:w="803"/>
          </w:tcPr>
          <w:p>
            <w:r>
              <w:rPr>
                <w:rFonts w:ascii="Times New Roman" w:hAnsi="Times New Roman"/>
                <w:sz w:val="18"/>
              </w:rPr>
              <w:t>Pass</w:t>
            </w:r>
          </w:p>
        </w:tc>
        <w:tc>
          <w:tcPr>
            <w:tcW w:type="dxa" w:w="803"/>
          </w:tcPr>
          <w:p>
            <w:r>
              <w:rPr>
                <w:rFonts w:ascii="Times New Roman" w:hAnsi="Times New Roman"/>
                <w:sz w:val="18"/>
              </w:rPr>
              <w:t>-2.92</w:t>
            </w:r>
          </w:p>
        </w:tc>
        <w:tc>
          <w:tcPr>
            <w:tcW w:type="dxa" w:w="803"/>
          </w:tcPr>
          <w:p>
            <w:r>
              <w:rPr>
                <w:rFonts w:ascii="Times New Roman" w:hAnsi="Times New Roman"/>
                <w:sz w:val="18"/>
              </w:rPr>
              <w:t>Mod. sol.</w:t>
            </w:r>
          </w:p>
        </w:tc>
        <w:tc>
          <w:tcPr>
            <w:tcW w:type="dxa" w:w="803"/>
          </w:tcPr>
          <w:p>
            <w:r>
              <w:rPr>
                <w:rFonts w:ascii="Times New Roman" w:hAnsi="Times New Roman"/>
                <w:sz w:val="18"/>
              </w:rPr>
              <w:t>BBB+</w:t>
            </w:r>
          </w:p>
        </w:tc>
        <w:tc>
          <w:tcPr>
            <w:tcW w:type="dxa" w:w="803"/>
          </w:tcPr>
          <w:p>
            <w:r>
              <w:rPr>
                <w:rFonts w:ascii="Times New Roman" w:hAnsi="Times New Roman"/>
                <w:sz w:val="18"/>
              </w:rPr>
              <w:t>0.55</w:t>
            </w:r>
          </w:p>
        </w:tc>
      </w:tr>
      <w:tr>
        <w:tc>
          <w:tcPr>
            <w:tcW w:type="dxa" w:w="803"/>
          </w:tcPr>
          <w:p>
            <w:r>
              <w:rPr>
                <w:rFonts w:ascii="Times New Roman" w:hAnsi="Times New Roman"/>
                <w:sz w:val="18"/>
              </w:rPr>
              <w:t>Ipragliflozin</w:t>
            </w:r>
          </w:p>
        </w:tc>
        <w:tc>
          <w:tcPr>
            <w:tcW w:type="dxa" w:w="803"/>
          </w:tcPr>
          <w:p>
            <w:r>
              <w:rPr>
                <w:rFonts w:ascii="Times New Roman" w:hAnsi="Times New Roman"/>
                <w:sz w:val="18"/>
              </w:rPr>
              <w:t>404.5</w:t>
            </w:r>
          </w:p>
        </w:tc>
        <w:tc>
          <w:tcPr>
            <w:tcW w:type="dxa" w:w="803"/>
          </w:tcPr>
          <w:p>
            <w:r>
              <w:rPr>
                <w:rFonts w:ascii="Times New Roman" w:hAnsi="Times New Roman"/>
                <w:sz w:val="18"/>
              </w:rPr>
              <w:t>2.15</w:t>
            </w:r>
          </w:p>
        </w:tc>
        <w:tc>
          <w:tcPr>
            <w:tcW w:type="dxa" w:w="803"/>
          </w:tcPr>
          <w:p>
            <w:r>
              <w:rPr>
                <w:rFonts w:ascii="Times New Roman" w:hAnsi="Times New Roman"/>
                <w:sz w:val="18"/>
              </w:rPr>
              <w:t>90.2</w:t>
            </w:r>
          </w:p>
        </w:tc>
        <w:tc>
          <w:tcPr>
            <w:tcW w:type="dxa" w:w="803"/>
          </w:tcPr>
          <w:p>
            <w:r>
              <w:rPr>
                <w:rFonts w:ascii="Times New Roman" w:hAnsi="Times New Roman"/>
                <w:sz w:val="18"/>
              </w:rPr>
              <w:t>4</w:t>
            </w:r>
          </w:p>
        </w:tc>
        <w:tc>
          <w:tcPr>
            <w:tcW w:type="dxa" w:w="803"/>
          </w:tcPr>
          <w:p>
            <w:r>
              <w:rPr>
                <w:rFonts w:ascii="Times New Roman" w:hAnsi="Times New Roman"/>
                <w:sz w:val="18"/>
              </w:rPr>
              <w:t>0.535</w:t>
            </w:r>
          </w:p>
        </w:tc>
        <w:tc>
          <w:tcPr>
            <w:tcW w:type="dxa" w:w="803"/>
          </w:tcPr>
          <w:p>
            <w:r>
              <w:rPr>
                <w:rFonts w:ascii="Times New Roman" w:hAnsi="Times New Roman"/>
                <w:sz w:val="18"/>
              </w:rPr>
              <w:t>Pass</w:t>
            </w:r>
          </w:p>
        </w:tc>
        <w:tc>
          <w:tcPr>
            <w:tcW w:type="dxa" w:w="803"/>
          </w:tcPr>
          <w:p>
            <w:r>
              <w:rPr>
                <w:rFonts w:ascii="Times New Roman" w:hAnsi="Times New Roman"/>
                <w:sz w:val="18"/>
              </w:rPr>
              <w:t>-3.83</w:t>
            </w:r>
          </w:p>
        </w:tc>
        <w:tc>
          <w:tcPr>
            <w:tcW w:type="dxa" w:w="803"/>
          </w:tcPr>
          <w:p>
            <w:r>
              <w:rPr>
                <w:rFonts w:ascii="Times New Roman" w:hAnsi="Times New Roman"/>
                <w:sz w:val="18"/>
              </w:rPr>
              <w:t>Mod. sol.</w:t>
            </w:r>
          </w:p>
        </w:tc>
        <w:tc>
          <w:tcPr>
            <w:tcW w:type="dxa" w:w="803"/>
          </w:tcPr>
          <w:p>
            <w:r>
              <w:rPr>
                <w:rFonts w:ascii="Times New Roman" w:hAnsi="Times New Roman"/>
                <w:sz w:val="18"/>
              </w:rPr>
              <w:t>BBB+</w:t>
            </w:r>
          </w:p>
        </w:tc>
        <w:tc>
          <w:tcPr>
            <w:tcW w:type="dxa" w:w="803"/>
          </w:tcPr>
          <w:p>
            <w:r>
              <w:rPr>
                <w:rFonts w:ascii="Times New Roman" w:hAnsi="Times New Roman"/>
                <w:sz w:val="18"/>
              </w:rPr>
              <w:t>0.53</w:t>
            </w:r>
          </w:p>
        </w:tc>
      </w:tr>
      <w:tr>
        <w:tc>
          <w:tcPr>
            <w:tcW w:type="dxa" w:w="803"/>
          </w:tcPr>
          <w:p>
            <w:r>
              <w:rPr>
                <w:rFonts w:ascii="Times New Roman" w:hAnsi="Times New Roman"/>
                <w:sz w:val="18"/>
              </w:rPr>
              <w:t>Empagliflozin</w:t>
            </w:r>
          </w:p>
        </w:tc>
        <w:tc>
          <w:tcPr>
            <w:tcW w:type="dxa" w:w="803"/>
          </w:tcPr>
          <w:p>
            <w:r>
              <w:rPr>
                <w:rFonts w:ascii="Times New Roman" w:hAnsi="Times New Roman"/>
                <w:sz w:val="18"/>
              </w:rPr>
              <w:t>450.9</w:t>
            </w:r>
          </w:p>
        </w:tc>
        <w:tc>
          <w:tcPr>
            <w:tcW w:type="dxa" w:w="803"/>
          </w:tcPr>
          <w:p>
            <w:r>
              <w:rPr>
                <w:rFonts w:ascii="Times New Roman" w:hAnsi="Times New Roman"/>
                <w:sz w:val="18"/>
              </w:rPr>
              <w:t>1.61</w:t>
            </w:r>
          </w:p>
        </w:tc>
        <w:tc>
          <w:tcPr>
            <w:tcW w:type="dxa" w:w="803"/>
          </w:tcPr>
          <w:p>
            <w:r>
              <w:rPr>
                <w:rFonts w:ascii="Times New Roman" w:hAnsi="Times New Roman"/>
                <w:sz w:val="18"/>
              </w:rPr>
              <w:t>108.6</w:t>
            </w:r>
          </w:p>
        </w:tc>
        <w:tc>
          <w:tcPr>
            <w:tcW w:type="dxa" w:w="803"/>
          </w:tcPr>
          <w:p>
            <w:r>
              <w:rPr>
                <w:rFonts w:ascii="Times New Roman" w:hAnsi="Times New Roman"/>
                <w:sz w:val="18"/>
              </w:rPr>
              <w:t>4</w:t>
            </w:r>
          </w:p>
        </w:tc>
        <w:tc>
          <w:tcPr>
            <w:tcW w:type="dxa" w:w="803"/>
          </w:tcPr>
          <w:p>
            <w:r>
              <w:rPr>
                <w:rFonts w:ascii="Times New Roman" w:hAnsi="Times New Roman"/>
                <w:sz w:val="18"/>
              </w:rPr>
              <w:t>0.529</w:t>
            </w:r>
          </w:p>
        </w:tc>
        <w:tc>
          <w:tcPr>
            <w:tcW w:type="dxa" w:w="803"/>
          </w:tcPr>
          <w:p>
            <w:r>
              <w:rPr>
                <w:rFonts w:ascii="Times New Roman" w:hAnsi="Times New Roman"/>
                <w:sz w:val="18"/>
              </w:rPr>
              <w:t>Pass</w:t>
            </w:r>
          </w:p>
        </w:tc>
        <w:tc>
          <w:tcPr>
            <w:tcW w:type="dxa" w:w="803"/>
          </w:tcPr>
          <w:p>
            <w:r>
              <w:rPr>
                <w:rFonts w:ascii="Times New Roman" w:hAnsi="Times New Roman"/>
                <w:sz w:val="18"/>
              </w:rPr>
              <w:t>-3.54</w:t>
            </w:r>
          </w:p>
        </w:tc>
        <w:tc>
          <w:tcPr>
            <w:tcW w:type="dxa" w:w="803"/>
          </w:tcPr>
          <w:p>
            <w:r>
              <w:rPr>
                <w:rFonts w:ascii="Times New Roman" w:hAnsi="Times New Roman"/>
                <w:sz w:val="18"/>
              </w:rPr>
              <w:t>Mod. sol.</w:t>
            </w:r>
          </w:p>
        </w:tc>
        <w:tc>
          <w:tcPr>
            <w:tcW w:type="dxa" w:w="803"/>
          </w:tcPr>
          <w:p>
            <w:r>
              <w:rPr>
                <w:rFonts w:ascii="Times New Roman" w:hAnsi="Times New Roman"/>
                <w:sz w:val="18"/>
              </w:rPr>
              <w:t>BBB+</w:t>
            </w:r>
          </w:p>
        </w:tc>
        <w:tc>
          <w:tcPr>
            <w:tcW w:type="dxa" w:w="803"/>
          </w:tcPr>
          <w:p>
            <w:r>
              <w:rPr>
                <w:rFonts w:ascii="Times New Roman" w:hAnsi="Times New Roman"/>
                <w:sz w:val="18"/>
              </w:rPr>
              <w:t>0.55</w:t>
            </w:r>
          </w:p>
        </w:tc>
      </w:tr>
      <w:tr>
        <w:tc>
          <w:tcPr>
            <w:tcW w:type="dxa" w:w="803"/>
          </w:tcPr>
          <w:p>
            <w:r>
              <w:rPr>
                <w:rFonts w:ascii="Times New Roman" w:hAnsi="Times New Roman"/>
                <w:sz w:val="18"/>
              </w:rPr>
              <w:t>Sotagliflozin</w:t>
            </w:r>
          </w:p>
        </w:tc>
        <w:tc>
          <w:tcPr>
            <w:tcW w:type="dxa" w:w="803"/>
          </w:tcPr>
          <w:p>
            <w:r>
              <w:rPr>
                <w:rFonts w:ascii="Times New Roman" w:hAnsi="Times New Roman"/>
                <w:sz w:val="18"/>
              </w:rPr>
              <w:t>425.0</w:t>
            </w:r>
          </w:p>
        </w:tc>
        <w:tc>
          <w:tcPr>
            <w:tcW w:type="dxa" w:w="803"/>
          </w:tcPr>
          <w:p>
            <w:r>
              <w:rPr>
                <w:rFonts w:ascii="Times New Roman" w:hAnsi="Times New Roman"/>
                <w:sz w:val="18"/>
              </w:rPr>
              <w:t>3.17</w:t>
            </w:r>
          </w:p>
        </w:tc>
        <w:tc>
          <w:tcPr>
            <w:tcW w:type="dxa" w:w="803"/>
          </w:tcPr>
          <w:p>
            <w:r>
              <w:rPr>
                <w:rFonts w:ascii="Times New Roman" w:hAnsi="Times New Roman"/>
                <w:sz w:val="18"/>
              </w:rPr>
              <w:t>79.2</w:t>
            </w:r>
          </w:p>
        </w:tc>
        <w:tc>
          <w:tcPr>
            <w:tcW w:type="dxa" w:w="803"/>
          </w:tcPr>
          <w:p>
            <w:r>
              <w:rPr>
                <w:rFonts w:ascii="Times New Roman" w:hAnsi="Times New Roman"/>
                <w:sz w:val="18"/>
              </w:rPr>
              <w:t>3</w:t>
            </w:r>
          </w:p>
        </w:tc>
        <w:tc>
          <w:tcPr>
            <w:tcW w:type="dxa" w:w="803"/>
          </w:tcPr>
          <w:p>
            <w:r>
              <w:rPr>
                <w:rFonts w:ascii="Times New Roman" w:hAnsi="Times New Roman"/>
                <w:sz w:val="18"/>
              </w:rPr>
              <w:t>0.661</w:t>
            </w:r>
          </w:p>
        </w:tc>
        <w:tc>
          <w:tcPr>
            <w:tcW w:type="dxa" w:w="803"/>
          </w:tcPr>
          <w:p>
            <w:r>
              <w:rPr>
                <w:rFonts w:ascii="Times New Roman" w:hAnsi="Times New Roman"/>
                <w:sz w:val="18"/>
              </w:rPr>
              <w:t>Pass</w:t>
            </w:r>
          </w:p>
        </w:tc>
        <w:tc>
          <w:tcPr>
            <w:tcW w:type="dxa" w:w="803"/>
          </w:tcPr>
          <w:p>
            <w:r>
              <w:rPr>
                <w:rFonts w:ascii="Times New Roman" w:hAnsi="Times New Roman"/>
                <w:sz w:val="18"/>
              </w:rPr>
              <w:t>-4.39</w:t>
            </w:r>
          </w:p>
        </w:tc>
        <w:tc>
          <w:tcPr>
            <w:tcW w:type="dxa" w:w="803"/>
          </w:tcPr>
          <w:p>
            <w:r>
              <w:rPr>
                <w:rFonts w:ascii="Times New Roman" w:hAnsi="Times New Roman"/>
                <w:sz w:val="18"/>
              </w:rPr>
              <w:t>Poorly sol.</w:t>
            </w:r>
          </w:p>
        </w:tc>
        <w:tc>
          <w:tcPr>
            <w:tcW w:type="dxa" w:w="803"/>
          </w:tcPr>
          <w:p>
            <w:r>
              <w:rPr>
                <w:rFonts w:ascii="Times New Roman" w:hAnsi="Times New Roman"/>
                <w:sz w:val="18"/>
              </w:rPr>
              <w:t>BBB+</w:t>
            </w:r>
          </w:p>
        </w:tc>
        <w:tc>
          <w:tcPr>
            <w:tcW w:type="dxa" w:w="803"/>
          </w:tcPr>
          <w:p>
            <w:r>
              <w:rPr>
                <w:rFonts w:ascii="Times New Roman" w:hAnsi="Times New Roman"/>
                <w:sz w:val="18"/>
              </w:rPr>
              <w:t>0.58</w:t>
            </w:r>
          </w:p>
        </w:tc>
      </w:tr>
    </w:tbl>
    <w:p>
      <w:pPr>
        <w:spacing w:before="40" w:after="120"/>
        <w:jc w:val="both"/>
      </w:pPr>
      <w:r>
        <w:rPr>
          <w:rFonts w:ascii="Times New Roman" w:hAnsi="Times New Roman"/>
          <w:b w:val="0"/>
          <w:i/>
          <w:sz w:val="18"/>
        </w:rPr>
        <w:t>BBB: local GBM model. All compounds within applicability domain (Tanimoto NN &gt; 0.30). Mod. sol. = Moderately soluble.</w:t>
      </w:r>
    </w:p>
    <w:p>
      <w:pPr>
        <w:spacing w:before="200" w:after="40"/>
        <w:jc w:val="left"/>
      </w:pPr>
      <w:r>
        <w:rPr>
          <w:rFonts w:ascii="Times New Roman" w:hAnsi="Times New Roman"/>
          <w:b/>
          <w:i w:val="0"/>
          <w:sz w:val="20"/>
        </w:rPr>
        <w:t>Table 4. ADMET predictions: absorption, metabolism, distribution, and safety (admet_ai Chemprop D-MPNN).</w:t>
      </w:r>
    </w:p>
    <w:tbl>
      <w:tblPr>
        <w:tblStyle w:val="TableGrid"/>
        <w:tblW w:type="auto" w:w="0"/>
        <w:tblLook w:firstColumn="1" w:firstRow="1" w:lastColumn="0" w:lastRow="0" w:noHBand="0" w:noVBand="1" w:val="04A0"/>
      </w:tblPr>
      <w:tblGrid>
        <w:gridCol w:w="680"/>
        <w:gridCol w:w="680"/>
        <w:gridCol w:w="680"/>
        <w:gridCol w:w="680"/>
        <w:gridCol w:w="680"/>
        <w:gridCol w:w="680"/>
        <w:gridCol w:w="680"/>
        <w:gridCol w:w="680"/>
        <w:gridCol w:w="680"/>
        <w:gridCol w:w="680"/>
        <w:gridCol w:w="680"/>
        <w:gridCol w:w="680"/>
        <w:gridCol w:w="680"/>
      </w:tblGrid>
      <w:tr>
        <w:tc>
          <w:tcPr>
            <w:tcW w:type="dxa" w:w="680"/>
          </w:tcPr>
          <w:p>
            <w:r>
              <w:rPr>
                <w:rFonts w:ascii="Times New Roman" w:hAnsi="Times New Roman"/>
                <w:b/>
                <w:sz w:val="18"/>
              </w:rPr>
              <w:t>Drug</w:t>
            </w:r>
          </w:p>
        </w:tc>
        <w:tc>
          <w:tcPr>
            <w:tcW w:type="dxa" w:w="680"/>
          </w:tcPr>
          <w:p>
            <w:r>
              <w:rPr>
                <w:rFonts w:ascii="Times New Roman" w:hAnsi="Times New Roman"/>
                <w:b/>
                <w:sz w:val="18"/>
              </w:rPr>
              <w:t>HIA</w:t>
            </w:r>
          </w:p>
        </w:tc>
        <w:tc>
          <w:tcPr>
            <w:tcW w:type="dxa" w:w="680"/>
          </w:tcPr>
          <w:p>
            <w:r>
              <w:rPr>
                <w:rFonts w:ascii="Times New Roman" w:hAnsi="Times New Roman"/>
                <w:b/>
                <w:sz w:val="18"/>
              </w:rPr>
              <w:t>BioAv</w:t>
            </w:r>
          </w:p>
        </w:tc>
        <w:tc>
          <w:tcPr>
            <w:tcW w:type="dxa" w:w="680"/>
          </w:tcPr>
          <w:p>
            <w:r>
              <w:rPr>
                <w:rFonts w:ascii="Times New Roman" w:hAnsi="Times New Roman"/>
                <w:b/>
                <w:sz w:val="18"/>
              </w:rPr>
              <w:t>CYP1A2</w:t>
            </w:r>
          </w:p>
        </w:tc>
        <w:tc>
          <w:tcPr>
            <w:tcW w:type="dxa" w:w="680"/>
          </w:tcPr>
          <w:p>
            <w:r>
              <w:rPr>
                <w:rFonts w:ascii="Times New Roman" w:hAnsi="Times New Roman"/>
                <w:b/>
                <w:sz w:val="18"/>
              </w:rPr>
              <w:t>CYP2C9</w:t>
            </w:r>
          </w:p>
        </w:tc>
        <w:tc>
          <w:tcPr>
            <w:tcW w:type="dxa" w:w="680"/>
          </w:tcPr>
          <w:p>
            <w:r>
              <w:rPr>
                <w:rFonts w:ascii="Times New Roman" w:hAnsi="Times New Roman"/>
                <w:b/>
                <w:sz w:val="18"/>
              </w:rPr>
              <w:t>CYP2D6</w:t>
            </w:r>
          </w:p>
        </w:tc>
        <w:tc>
          <w:tcPr>
            <w:tcW w:type="dxa" w:w="680"/>
          </w:tcPr>
          <w:p>
            <w:r>
              <w:rPr>
                <w:rFonts w:ascii="Times New Roman" w:hAnsi="Times New Roman"/>
                <w:b/>
                <w:sz w:val="18"/>
              </w:rPr>
              <w:t>CYP3A4i</w:t>
            </w:r>
          </w:p>
        </w:tc>
        <w:tc>
          <w:tcPr>
            <w:tcW w:type="dxa" w:w="680"/>
          </w:tcPr>
          <w:p>
            <w:r>
              <w:rPr>
                <w:rFonts w:ascii="Times New Roman" w:hAnsi="Times New Roman"/>
                <w:b/>
                <w:sz w:val="18"/>
              </w:rPr>
              <w:t>CYP3A4s</w:t>
            </w:r>
          </w:p>
        </w:tc>
        <w:tc>
          <w:tcPr>
            <w:tcW w:type="dxa" w:w="680"/>
          </w:tcPr>
          <w:p>
            <w:r>
              <w:rPr>
                <w:rFonts w:ascii="Times New Roman" w:hAnsi="Times New Roman"/>
                <w:b/>
                <w:sz w:val="18"/>
              </w:rPr>
              <w:t>PPBR%</w:t>
            </w:r>
          </w:p>
        </w:tc>
        <w:tc>
          <w:tcPr>
            <w:tcW w:type="dxa" w:w="680"/>
          </w:tcPr>
          <w:p>
            <w:r>
              <w:rPr>
                <w:rFonts w:ascii="Times New Roman" w:hAnsi="Times New Roman"/>
                <w:b/>
                <w:sz w:val="18"/>
              </w:rPr>
              <w:t>VDss</w:t>
            </w:r>
          </w:p>
        </w:tc>
        <w:tc>
          <w:tcPr>
            <w:tcW w:type="dxa" w:w="680"/>
          </w:tcPr>
          <w:p>
            <w:r>
              <w:rPr>
                <w:rFonts w:ascii="Times New Roman" w:hAnsi="Times New Roman"/>
                <w:b/>
                <w:sz w:val="18"/>
              </w:rPr>
              <w:t>t1/2 (h)</w:t>
            </w:r>
          </w:p>
        </w:tc>
        <w:tc>
          <w:tcPr>
            <w:tcW w:type="dxa" w:w="680"/>
          </w:tcPr>
          <w:p>
            <w:r>
              <w:rPr>
                <w:rFonts w:ascii="Times New Roman" w:hAnsi="Times New Roman"/>
                <w:b/>
                <w:sz w:val="18"/>
              </w:rPr>
              <w:t>hERG</w:t>
            </w:r>
          </w:p>
        </w:tc>
        <w:tc>
          <w:tcPr>
            <w:tcW w:type="dxa" w:w="680"/>
          </w:tcPr>
          <w:p>
            <w:r>
              <w:rPr>
                <w:rFonts w:ascii="Times New Roman" w:hAnsi="Times New Roman"/>
                <w:b/>
                <w:sz w:val="18"/>
              </w:rPr>
              <w:t>DILI</w:t>
            </w:r>
          </w:p>
        </w:tc>
      </w:tr>
      <w:tr>
        <w:tc>
          <w:tcPr>
            <w:tcW w:type="dxa" w:w="680"/>
          </w:tcPr>
          <w:p>
            <w:r>
              <w:rPr>
                <w:rFonts w:ascii="Times New Roman" w:hAnsi="Times New Roman"/>
                <w:sz w:val="18"/>
              </w:rPr>
              <w:t>Canagliflozin</w:t>
            </w:r>
          </w:p>
        </w:tc>
        <w:tc>
          <w:tcPr>
            <w:tcW w:type="dxa" w:w="680"/>
          </w:tcPr>
          <w:p>
            <w:r>
              <w:rPr>
                <w:rFonts w:ascii="Times New Roman" w:hAnsi="Times New Roman"/>
                <w:sz w:val="18"/>
              </w:rPr>
              <w:t>0.96</w:t>
            </w:r>
          </w:p>
        </w:tc>
        <w:tc>
          <w:tcPr>
            <w:tcW w:type="dxa" w:w="680"/>
          </w:tcPr>
          <w:p>
            <w:r>
              <w:rPr>
                <w:rFonts w:ascii="Times New Roman" w:hAnsi="Times New Roman"/>
                <w:sz w:val="18"/>
              </w:rPr>
              <w:t>0.76</w:t>
            </w:r>
          </w:p>
        </w:tc>
        <w:tc>
          <w:tcPr>
            <w:tcW w:type="dxa" w:w="680"/>
          </w:tcPr>
          <w:p>
            <w:r>
              <w:rPr>
                <w:rFonts w:ascii="Times New Roman" w:hAnsi="Times New Roman"/>
                <w:sz w:val="18"/>
              </w:rPr>
              <w:t>0.041</w:t>
            </w:r>
          </w:p>
        </w:tc>
        <w:tc>
          <w:tcPr>
            <w:tcW w:type="dxa" w:w="680"/>
          </w:tcPr>
          <w:p>
            <w:r>
              <w:rPr>
                <w:rFonts w:ascii="Times New Roman" w:hAnsi="Times New Roman"/>
                <w:sz w:val="18"/>
              </w:rPr>
              <w:t>0.093</w:t>
            </w:r>
          </w:p>
        </w:tc>
        <w:tc>
          <w:tcPr>
            <w:tcW w:type="dxa" w:w="680"/>
          </w:tcPr>
          <w:p>
            <w:r>
              <w:rPr>
                <w:rFonts w:ascii="Times New Roman" w:hAnsi="Times New Roman"/>
                <w:sz w:val="18"/>
              </w:rPr>
              <w:t>0.085</w:t>
            </w:r>
          </w:p>
        </w:tc>
        <w:tc>
          <w:tcPr>
            <w:tcW w:type="dxa" w:w="680"/>
          </w:tcPr>
          <w:p>
            <w:r>
              <w:rPr>
                <w:rFonts w:ascii="Times New Roman" w:hAnsi="Times New Roman"/>
                <w:sz w:val="18"/>
              </w:rPr>
              <w:t>0.138</w:t>
            </w:r>
          </w:p>
        </w:tc>
        <w:tc>
          <w:tcPr>
            <w:tcW w:type="dxa" w:w="680"/>
          </w:tcPr>
          <w:p>
            <w:r>
              <w:rPr>
                <w:rFonts w:ascii="Times New Roman" w:hAnsi="Times New Roman"/>
                <w:sz w:val="18"/>
              </w:rPr>
              <w:t>0.740</w:t>
            </w:r>
          </w:p>
        </w:tc>
        <w:tc>
          <w:tcPr>
            <w:tcW w:type="dxa" w:w="680"/>
          </w:tcPr>
          <w:p>
            <w:r>
              <w:rPr>
                <w:rFonts w:ascii="Times New Roman" w:hAnsi="Times New Roman"/>
                <w:sz w:val="18"/>
              </w:rPr>
              <w:t>99.2</w:t>
            </w:r>
          </w:p>
        </w:tc>
        <w:tc>
          <w:tcPr>
            <w:tcW w:type="dxa" w:w="680"/>
          </w:tcPr>
          <w:p>
            <w:r>
              <w:rPr>
                <w:rFonts w:ascii="Times New Roman" w:hAnsi="Times New Roman"/>
                <w:sz w:val="18"/>
              </w:rPr>
              <w:t>5.0</w:t>
            </w:r>
          </w:p>
        </w:tc>
        <w:tc>
          <w:tcPr>
            <w:tcW w:type="dxa" w:w="680"/>
          </w:tcPr>
          <w:p>
            <w:r>
              <w:rPr>
                <w:rFonts w:ascii="Times New Roman" w:hAnsi="Times New Roman"/>
                <w:sz w:val="18"/>
              </w:rPr>
              <w:t>37.9</w:t>
            </w:r>
          </w:p>
        </w:tc>
        <w:tc>
          <w:tcPr>
            <w:tcW w:type="dxa" w:w="680"/>
          </w:tcPr>
          <w:p>
            <w:r>
              <w:rPr>
                <w:rFonts w:ascii="Times New Roman" w:hAnsi="Times New Roman"/>
                <w:sz w:val="18"/>
              </w:rPr>
              <w:t>0.747</w:t>
            </w:r>
          </w:p>
        </w:tc>
        <w:tc>
          <w:tcPr>
            <w:tcW w:type="dxa" w:w="680"/>
          </w:tcPr>
          <w:p>
            <w:r>
              <w:rPr>
                <w:rFonts w:ascii="Times New Roman" w:hAnsi="Times New Roman"/>
                <w:sz w:val="18"/>
              </w:rPr>
              <w:t>0.691</w:t>
            </w:r>
          </w:p>
        </w:tc>
      </w:tr>
      <w:tr>
        <w:tc>
          <w:tcPr>
            <w:tcW w:type="dxa" w:w="680"/>
          </w:tcPr>
          <w:p>
            <w:r>
              <w:rPr>
                <w:rFonts w:ascii="Times New Roman" w:hAnsi="Times New Roman"/>
                <w:sz w:val="18"/>
              </w:rPr>
              <w:t>Dapagliflozin</w:t>
            </w:r>
          </w:p>
        </w:tc>
        <w:tc>
          <w:tcPr>
            <w:tcW w:type="dxa" w:w="680"/>
          </w:tcPr>
          <w:p>
            <w:r>
              <w:rPr>
                <w:rFonts w:ascii="Times New Roman" w:hAnsi="Times New Roman"/>
                <w:sz w:val="18"/>
              </w:rPr>
              <w:t>0.92</w:t>
            </w:r>
          </w:p>
        </w:tc>
        <w:tc>
          <w:tcPr>
            <w:tcW w:type="dxa" w:w="680"/>
          </w:tcPr>
          <w:p>
            <w:r>
              <w:rPr>
                <w:rFonts w:ascii="Times New Roman" w:hAnsi="Times New Roman"/>
                <w:sz w:val="18"/>
              </w:rPr>
              <w:t>0.74</w:t>
            </w:r>
          </w:p>
        </w:tc>
        <w:tc>
          <w:tcPr>
            <w:tcW w:type="dxa" w:w="680"/>
          </w:tcPr>
          <w:p>
            <w:r>
              <w:rPr>
                <w:rFonts w:ascii="Times New Roman" w:hAnsi="Times New Roman"/>
                <w:sz w:val="18"/>
              </w:rPr>
              <w:t>0.012</w:t>
            </w:r>
          </w:p>
        </w:tc>
        <w:tc>
          <w:tcPr>
            <w:tcW w:type="dxa" w:w="680"/>
          </w:tcPr>
          <w:p>
            <w:r>
              <w:rPr>
                <w:rFonts w:ascii="Times New Roman" w:hAnsi="Times New Roman"/>
                <w:sz w:val="18"/>
              </w:rPr>
              <w:t>0.045</w:t>
            </w:r>
          </w:p>
        </w:tc>
        <w:tc>
          <w:tcPr>
            <w:tcW w:type="dxa" w:w="680"/>
          </w:tcPr>
          <w:p>
            <w:r>
              <w:rPr>
                <w:rFonts w:ascii="Times New Roman" w:hAnsi="Times New Roman"/>
                <w:sz w:val="18"/>
              </w:rPr>
              <w:t>0.060</w:t>
            </w:r>
          </w:p>
        </w:tc>
        <w:tc>
          <w:tcPr>
            <w:tcW w:type="dxa" w:w="680"/>
          </w:tcPr>
          <w:p>
            <w:r>
              <w:rPr>
                <w:rFonts w:ascii="Times New Roman" w:hAnsi="Times New Roman"/>
                <w:sz w:val="18"/>
              </w:rPr>
              <w:t>0.120</w:t>
            </w:r>
          </w:p>
        </w:tc>
        <w:tc>
          <w:tcPr>
            <w:tcW w:type="dxa" w:w="680"/>
          </w:tcPr>
          <w:p>
            <w:r>
              <w:rPr>
                <w:rFonts w:ascii="Times New Roman" w:hAnsi="Times New Roman"/>
                <w:sz w:val="18"/>
              </w:rPr>
              <w:t>0.687</w:t>
            </w:r>
          </w:p>
        </w:tc>
        <w:tc>
          <w:tcPr>
            <w:tcW w:type="dxa" w:w="680"/>
          </w:tcPr>
          <w:p>
            <w:r>
              <w:rPr>
                <w:rFonts w:ascii="Times New Roman" w:hAnsi="Times New Roman"/>
                <w:sz w:val="18"/>
              </w:rPr>
              <w:t>90.0</w:t>
            </w:r>
          </w:p>
        </w:tc>
        <w:tc>
          <w:tcPr>
            <w:tcW w:type="dxa" w:w="680"/>
          </w:tcPr>
          <w:p>
            <w:r>
              <w:rPr>
                <w:rFonts w:ascii="Times New Roman" w:hAnsi="Times New Roman"/>
                <w:sz w:val="18"/>
              </w:rPr>
              <w:t>7.5</w:t>
            </w:r>
          </w:p>
        </w:tc>
        <w:tc>
          <w:tcPr>
            <w:tcW w:type="dxa" w:w="680"/>
          </w:tcPr>
          <w:p>
            <w:r>
              <w:rPr>
                <w:rFonts w:ascii="Times New Roman" w:hAnsi="Times New Roman"/>
                <w:sz w:val="18"/>
              </w:rPr>
              <w:t>30.2</w:t>
            </w:r>
          </w:p>
        </w:tc>
        <w:tc>
          <w:tcPr>
            <w:tcW w:type="dxa" w:w="680"/>
          </w:tcPr>
          <w:p>
            <w:r>
              <w:rPr>
                <w:rFonts w:ascii="Times New Roman" w:hAnsi="Times New Roman"/>
                <w:sz w:val="18"/>
              </w:rPr>
              <w:t>0.621</w:t>
            </w:r>
          </w:p>
        </w:tc>
        <w:tc>
          <w:tcPr>
            <w:tcW w:type="dxa" w:w="680"/>
          </w:tcPr>
          <w:p>
            <w:r>
              <w:rPr>
                <w:rFonts w:ascii="Times New Roman" w:hAnsi="Times New Roman"/>
                <w:sz w:val="18"/>
              </w:rPr>
              <w:t>0.509</w:t>
            </w:r>
          </w:p>
        </w:tc>
      </w:tr>
      <w:tr>
        <w:tc>
          <w:tcPr>
            <w:tcW w:type="dxa" w:w="680"/>
          </w:tcPr>
          <w:p>
            <w:r>
              <w:rPr>
                <w:rFonts w:ascii="Times New Roman" w:hAnsi="Times New Roman"/>
                <w:sz w:val="18"/>
              </w:rPr>
              <w:t>Tofogliflozin</w:t>
            </w:r>
          </w:p>
        </w:tc>
        <w:tc>
          <w:tcPr>
            <w:tcW w:type="dxa" w:w="680"/>
          </w:tcPr>
          <w:p>
            <w:r>
              <w:rPr>
                <w:rFonts w:ascii="Times New Roman" w:hAnsi="Times New Roman"/>
                <w:sz w:val="18"/>
              </w:rPr>
              <w:t>0.90</w:t>
            </w:r>
          </w:p>
        </w:tc>
        <w:tc>
          <w:tcPr>
            <w:tcW w:type="dxa" w:w="680"/>
          </w:tcPr>
          <w:p>
            <w:r>
              <w:rPr>
                <w:rFonts w:ascii="Times New Roman" w:hAnsi="Times New Roman"/>
                <w:sz w:val="18"/>
              </w:rPr>
              <w:t>0.75</w:t>
            </w:r>
          </w:p>
        </w:tc>
        <w:tc>
          <w:tcPr>
            <w:tcW w:type="dxa" w:w="680"/>
          </w:tcPr>
          <w:p>
            <w:r>
              <w:rPr>
                <w:rFonts w:ascii="Times New Roman" w:hAnsi="Times New Roman"/>
                <w:sz w:val="18"/>
              </w:rPr>
              <w:t>0.002</w:t>
            </w:r>
          </w:p>
        </w:tc>
        <w:tc>
          <w:tcPr>
            <w:tcW w:type="dxa" w:w="680"/>
          </w:tcPr>
          <w:p>
            <w:r>
              <w:rPr>
                <w:rFonts w:ascii="Times New Roman" w:hAnsi="Times New Roman"/>
                <w:sz w:val="18"/>
              </w:rPr>
              <w:t>0.021</w:t>
            </w:r>
          </w:p>
        </w:tc>
        <w:tc>
          <w:tcPr>
            <w:tcW w:type="dxa" w:w="680"/>
          </w:tcPr>
          <w:p>
            <w:r>
              <w:rPr>
                <w:rFonts w:ascii="Times New Roman" w:hAnsi="Times New Roman"/>
                <w:sz w:val="18"/>
              </w:rPr>
              <w:t>0.037</w:t>
            </w:r>
          </w:p>
        </w:tc>
        <w:tc>
          <w:tcPr>
            <w:tcW w:type="dxa" w:w="680"/>
          </w:tcPr>
          <w:p>
            <w:r>
              <w:rPr>
                <w:rFonts w:ascii="Times New Roman" w:hAnsi="Times New Roman"/>
                <w:sz w:val="18"/>
              </w:rPr>
              <w:t>0.046</w:t>
            </w:r>
          </w:p>
        </w:tc>
        <w:tc>
          <w:tcPr>
            <w:tcW w:type="dxa" w:w="680"/>
          </w:tcPr>
          <w:p>
            <w:r>
              <w:rPr>
                <w:rFonts w:ascii="Times New Roman" w:hAnsi="Times New Roman"/>
                <w:sz w:val="18"/>
              </w:rPr>
              <w:t>0.603</w:t>
            </w:r>
          </w:p>
        </w:tc>
        <w:tc>
          <w:tcPr>
            <w:tcW w:type="dxa" w:w="680"/>
          </w:tcPr>
          <w:p>
            <w:r>
              <w:rPr>
                <w:rFonts w:ascii="Times New Roman" w:hAnsi="Times New Roman"/>
                <w:sz w:val="18"/>
              </w:rPr>
              <w:t>89.0</w:t>
            </w:r>
          </w:p>
        </w:tc>
        <w:tc>
          <w:tcPr>
            <w:tcW w:type="dxa" w:w="680"/>
          </w:tcPr>
          <w:p>
            <w:r>
              <w:rPr>
                <w:rFonts w:ascii="Times New Roman" w:hAnsi="Times New Roman"/>
                <w:sz w:val="18"/>
              </w:rPr>
              <w:t>3.4</w:t>
            </w:r>
          </w:p>
        </w:tc>
        <w:tc>
          <w:tcPr>
            <w:tcW w:type="dxa" w:w="680"/>
          </w:tcPr>
          <w:p>
            <w:r>
              <w:rPr>
                <w:rFonts w:ascii="Times New Roman" w:hAnsi="Times New Roman"/>
                <w:sz w:val="18"/>
              </w:rPr>
              <w:t>15.0</w:t>
            </w:r>
          </w:p>
        </w:tc>
        <w:tc>
          <w:tcPr>
            <w:tcW w:type="dxa" w:w="680"/>
          </w:tcPr>
          <w:p>
            <w:r>
              <w:rPr>
                <w:rFonts w:ascii="Times New Roman" w:hAnsi="Times New Roman"/>
                <w:sz w:val="18"/>
              </w:rPr>
              <w:t>0.520</w:t>
            </w:r>
          </w:p>
        </w:tc>
        <w:tc>
          <w:tcPr>
            <w:tcW w:type="dxa" w:w="680"/>
          </w:tcPr>
          <w:p>
            <w:r>
              <w:rPr>
                <w:rFonts w:ascii="Times New Roman" w:hAnsi="Times New Roman"/>
                <w:sz w:val="18"/>
              </w:rPr>
              <w:t>0.535</w:t>
            </w:r>
          </w:p>
        </w:tc>
      </w:tr>
      <w:tr>
        <w:tc>
          <w:tcPr>
            <w:tcW w:type="dxa" w:w="680"/>
          </w:tcPr>
          <w:p>
            <w:r>
              <w:rPr>
                <w:rFonts w:ascii="Times New Roman" w:hAnsi="Times New Roman"/>
                <w:sz w:val="18"/>
              </w:rPr>
              <w:t>Ipragliflozin</w:t>
            </w:r>
          </w:p>
        </w:tc>
        <w:tc>
          <w:tcPr>
            <w:tcW w:type="dxa" w:w="680"/>
          </w:tcPr>
          <w:p>
            <w:r>
              <w:rPr>
                <w:rFonts w:ascii="Times New Roman" w:hAnsi="Times New Roman"/>
                <w:sz w:val="18"/>
              </w:rPr>
              <w:t>0.90</w:t>
            </w:r>
          </w:p>
        </w:tc>
        <w:tc>
          <w:tcPr>
            <w:tcW w:type="dxa" w:w="680"/>
          </w:tcPr>
          <w:p>
            <w:r>
              <w:rPr>
                <w:rFonts w:ascii="Times New Roman" w:hAnsi="Times New Roman"/>
                <w:sz w:val="18"/>
              </w:rPr>
              <w:t>0.74</w:t>
            </w:r>
          </w:p>
        </w:tc>
        <w:tc>
          <w:tcPr>
            <w:tcW w:type="dxa" w:w="680"/>
          </w:tcPr>
          <w:p>
            <w:r>
              <w:rPr>
                <w:rFonts w:ascii="Times New Roman" w:hAnsi="Times New Roman"/>
                <w:sz w:val="18"/>
              </w:rPr>
              <w:t>0.092</w:t>
            </w:r>
          </w:p>
        </w:tc>
        <w:tc>
          <w:tcPr>
            <w:tcW w:type="dxa" w:w="680"/>
          </w:tcPr>
          <w:p>
            <w:r>
              <w:rPr>
                <w:rFonts w:ascii="Times New Roman" w:hAnsi="Times New Roman"/>
                <w:sz w:val="18"/>
              </w:rPr>
              <w:t>0.077</w:t>
            </w:r>
          </w:p>
        </w:tc>
        <w:tc>
          <w:tcPr>
            <w:tcW w:type="dxa" w:w="680"/>
          </w:tcPr>
          <w:p>
            <w:r>
              <w:rPr>
                <w:rFonts w:ascii="Times New Roman" w:hAnsi="Times New Roman"/>
                <w:sz w:val="18"/>
              </w:rPr>
              <w:t>0.123</w:t>
            </w:r>
          </w:p>
        </w:tc>
        <w:tc>
          <w:tcPr>
            <w:tcW w:type="dxa" w:w="680"/>
          </w:tcPr>
          <w:p>
            <w:r>
              <w:rPr>
                <w:rFonts w:ascii="Times New Roman" w:hAnsi="Times New Roman"/>
                <w:sz w:val="18"/>
              </w:rPr>
              <w:t>0.097</w:t>
            </w:r>
          </w:p>
        </w:tc>
        <w:tc>
          <w:tcPr>
            <w:tcW w:type="dxa" w:w="680"/>
          </w:tcPr>
          <w:p>
            <w:r>
              <w:rPr>
                <w:rFonts w:ascii="Times New Roman" w:hAnsi="Times New Roman"/>
                <w:sz w:val="18"/>
              </w:rPr>
              <w:t>0.623</w:t>
            </w:r>
          </w:p>
        </w:tc>
        <w:tc>
          <w:tcPr>
            <w:tcW w:type="dxa" w:w="680"/>
          </w:tcPr>
          <w:p>
            <w:r>
              <w:rPr>
                <w:rFonts w:ascii="Times New Roman" w:hAnsi="Times New Roman"/>
                <w:sz w:val="18"/>
              </w:rPr>
              <w:t>96.2</w:t>
            </w:r>
          </w:p>
        </w:tc>
        <w:tc>
          <w:tcPr>
            <w:tcW w:type="dxa" w:w="680"/>
          </w:tcPr>
          <w:p>
            <w:r>
              <w:rPr>
                <w:rFonts w:ascii="Times New Roman" w:hAnsi="Times New Roman"/>
                <w:sz w:val="18"/>
              </w:rPr>
              <w:t>4.5</w:t>
            </w:r>
          </w:p>
        </w:tc>
        <w:tc>
          <w:tcPr>
            <w:tcW w:type="dxa" w:w="680"/>
          </w:tcPr>
          <w:p>
            <w:r>
              <w:rPr>
                <w:rFonts w:ascii="Times New Roman" w:hAnsi="Times New Roman"/>
                <w:sz w:val="18"/>
              </w:rPr>
              <w:t>33.4</w:t>
            </w:r>
          </w:p>
        </w:tc>
        <w:tc>
          <w:tcPr>
            <w:tcW w:type="dxa" w:w="680"/>
          </w:tcPr>
          <w:p>
            <w:r>
              <w:rPr>
                <w:rFonts w:ascii="Times New Roman" w:hAnsi="Times New Roman"/>
                <w:sz w:val="18"/>
              </w:rPr>
              <w:t>0.654</w:t>
            </w:r>
          </w:p>
        </w:tc>
        <w:tc>
          <w:tcPr>
            <w:tcW w:type="dxa" w:w="680"/>
          </w:tcPr>
          <w:p>
            <w:r>
              <w:rPr>
                <w:rFonts w:ascii="Times New Roman" w:hAnsi="Times New Roman"/>
                <w:sz w:val="18"/>
              </w:rPr>
              <w:t>0.605</w:t>
            </w:r>
          </w:p>
        </w:tc>
      </w:tr>
      <w:tr>
        <w:tc>
          <w:tcPr>
            <w:tcW w:type="dxa" w:w="680"/>
          </w:tcPr>
          <w:p>
            <w:r>
              <w:rPr>
                <w:rFonts w:ascii="Times New Roman" w:hAnsi="Times New Roman"/>
                <w:sz w:val="18"/>
              </w:rPr>
              <w:t>Empagliflozin</w:t>
            </w:r>
          </w:p>
        </w:tc>
        <w:tc>
          <w:tcPr>
            <w:tcW w:type="dxa" w:w="680"/>
          </w:tcPr>
          <w:p>
            <w:r>
              <w:rPr>
                <w:rFonts w:ascii="Times New Roman" w:hAnsi="Times New Roman"/>
                <w:sz w:val="18"/>
              </w:rPr>
              <w:t>0.91</w:t>
            </w:r>
          </w:p>
        </w:tc>
        <w:tc>
          <w:tcPr>
            <w:tcW w:type="dxa" w:w="680"/>
          </w:tcPr>
          <w:p>
            <w:r>
              <w:rPr>
                <w:rFonts w:ascii="Times New Roman" w:hAnsi="Times New Roman"/>
                <w:sz w:val="18"/>
              </w:rPr>
              <w:t>0.75</w:t>
            </w:r>
          </w:p>
        </w:tc>
        <w:tc>
          <w:tcPr>
            <w:tcW w:type="dxa" w:w="680"/>
          </w:tcPr>
          <w:p>
            <w:r>
              <w:rPr>
                <w:rFonts w:ascii="Times New Roman" w:hAnsi="Times New Roman"/>
                <w:sz w:val="18"/>
              </w:rPr>
              <w:t>0.005</w:t>
            </w:r>
          </w:p>
        </w:tc>
        <w:tc>
          <w:tcPr>
            <w:tcW w:type="dxa" w:w="680"/>
          </w:tcPr>
          <w:p>
            <w:r>
              <w:rPr>
                <w:rFonts w:ascii="Times New Roman" w:hAnsi="Times New Roman"/>
                <w:sz w:val="18"/>
              </w:rPr>
              <w:t>0.023</w:t>
            </w:r>
          </w:p>
        </w:tc>
        <w:tc>
          <w:tcPr>
            <w:tcW w:type="dxa" w:w="680"/>
          </w:tcPr>
          <w:p>
            <w:r>
              <w:rPr>
                <w:rFonts w:ascii="Times New Roman" w:hAnsi="Times New Roman"/>
                <w:sz w:val="18"/>
              </w:rPr>
              <w:t>0.068</w:t>
            </w:r>
          </w:p>
        </w:tc>
        <w:tc>
          <w:tcPr>
            <w:tcW w:type="dxa" w:w="680"/>
          </w:tcPr>
          <w:p>
            <w:r>
              <w:rPr>
                <w:rFonts w:ascii="Times New Roman" w:hAnsi="Times New Roman"/>
                <w:sz w:val="18"/>
              </w:rPr>
              <w:t>0.150</w:t>
            </w:r>
          </w:p>
        </w:tc>
        <w:tc>
          <w:tcPr>
            <w:tcW w:type="dxa" w:w="680"/>
          </w:tcPr>
          <w:p>
            <w:r>
              <w:rPr>
                <w:rFonts w:ascii="Times New Roman" w:hAnsi="Times New Roman"/>
                <w:sz w:val="18"/>
              </w:rPr>
              <w:t>0.670</w:t>
            </w:r>
          </w:p>
        </w:tc>
        <w:tc>
          <w:tcPr>
            <w:tcW w:type="dxa" w:w="680"/>
          </w:tcPr>
          <w:p>
            <w:r>
              <w:rPr>
                <w:rFonts w:ascii="Times New Roman" w:hAnsi="Times New Roman"/>
                <w:sz w:val="18"/>
              </w:rPr>
              <w:t>90.5</w:t>
            </w:r>
          </w:p>
        </w:tc>
        <w:tc>
          <w:tcPr>
            <w:tcW w:type="dxa" w:w="680"/>
          </w:tcPr>
          <w:p>
            <w:r>
              <w:rPr>
                <w:rFonts w:ascii="Times New Roman" w:hAnsi="Times New Roman"/>
                <w:sz w:val="18"/>
              </w:rPr>
              <w:t>8.2</w:t>
            </w:r>
          </w:p>
        </w:tc>
        <w:tc>
          <w:tcPr>
            <w:tcW w:type="dxa" w:w="680"/>
          </w:tcPr>
          <w:p>
            <w:r>
              <w:rPr>
                <w:rFonts w:ascii="Times New Roman" w:hAnsi="Times New Roman"/>
                <w:sz w:val="18"/>
              </w:rPr>
              <w:t>38.6</w:t>
            </w:r>
          </w:p>
        </w:tc>
        <w:tc>
          <w:tcPr>
            <w:tcW w:type="dxa" w:w="680"/>
          </w:tcPr>
          <w:p>
            <w:r>
              <w:rPr>
                <w:rFonts w:ascii="Times New Roman" w:hAnsi="Times New Roman"/>
                <w:sz w:val="18"/>
              </w:rPr>
              <w:t>0.683</w:t>
            </w:r>
          </w:p>
        </w:tc>
        <w:tc>
          <w:tcPr>
            <w:tcW w:type="dxa" w:w="680"/>
          </w:tcPr>
          <w:p>
            <w:r>
              <w:rPr>
                <w:rFonts w:ascii="Times New Roman" w:hAnsi="Times New Roman"/>
                <w:sz w:val="18"/>
              </w:rPr>
              <w:t>0.486</w:t>
            </w:r>
          </w:p>
        </w:tc>
      </w:tr>
      <w:tr>
        <w:tc>
          <w:tcPr>
            <w:tcW w:type="dxa" w:w="680"/>
          </w:tcPr>
          <w:p>
            <w:r>
              <w:rPr>
                <w:rFonts w:ascii="Times New Roman" w:hAnsi="Times New Roman"/>
                <w:sz w:val="18"/>
              </w:rPr>
              <w:t>Sotagliflozin</w:t>
            </w:r>
          </w:p>
        </w:tc>
        <w:tc>
          <w:tcPr>
            <w:tcW w:type="dxa" w:w="680"/>
          </w:tcPr>
          <w:p>
            <w:r>
              <w:rPr>
                <w:rFonts w:ascii="Times New Roman" w:hAnsi="Times New Roman"/>
                <w:sz w:val="18"/>
              </w:rPr>
              <w:t>0.98</w:t>
            </w:r>
          </w:p>
        </w:tc>
        <w:tc>
          <w:tcPr>
            <w:tcW w:type="dxa" w:w="680"/>
          </w:tcPr>
          <w:p>
            <w:r>
              <w:rPr>
                <w:rFonts w:ascii="Times New Roman" w:hAnsi="Times New Roman"/>
                <w:sz w:val="18"/>
              </w:rPr>
              <w:t>0.83</w:t>
            </w:r>
          </w:p>
        </w:tc>
        <w:tc>
          <w:tcPr>
            <w:tcW w:type="dxa" w:w="680"/>
          </w:tcPr>
          <w:p>
            <w:r>
              <w:rPr>
                <w:rFonts w:ascii="Times New Roman" w:hAnsi="Times New Roman"/>
                <w:sz w:val="18"/>
              </w:rPr>
              <w:t>0.010</w:t>
            </w:r>
          </w:p>
        </w:tc>
        <w:tc>
          <w:tcPr>
            <w:tcW w:type="dxa" w:w="680"/>
          </w:tcPr>
          <w:p>
            <w:r>
              <w:rPr>
                <w:rFonts w:ascii="Times New Roman" w:hAnsi="Times New Roman"/>
                <w:sz w:val="18"/>
              </w:rPr>
              <w:t>0.057</w:t>
            </w:r>
          </w:p>
        </w:tc>
        <w:tc>
          <w:tcPr>
            <w:tcW w:type="dxa" w:w="680"/>
          </w:tcPr>
          <w:p>
            <w:r>
              <w:rPr>
                <w:rFonts w:ascii="Times New Roman" w:hAnsi="Times New Roman"/>
                <w:sz w:val="18"/>
              </w:rPr>
              <w:t>0.034</w:t>
            </w:r>
          </w:p>
        </w:tc>
        <w:tc>
          <w:tcPr>
            <w:tcW w:type="dxa" w:w="680"/>
          </w:tcPr>
          <w:p>
            <w:r>
              <w:rPr>
                <w:rFonts w:ascii="Times New Roman" w:hAnsi="Times New Roman"/>
                <w:sz w:val="18"/>
              </w:rPr>
              <w:t>0.142</w:t>
            </w:r>
          </w:p>
        </w:tc>
        <w:tc>
          <w:tcPr>
            <w:tcW w:type="dxa" w:w="680"/>
          </w:tcPr>
          <w:p>
            <w:r>
              <w:rPr>
                <w:rFonts w:ascii="Times New Roman" w:hAnsi="Times New Roman"/>
                <w:sz w:val="18"/>
              </w:rPr>
              <w:t>0.743</w:t>
            </w:r>
          </w:p>
        </w:tc>
        <w:tc>
          <w:tcPr>
            <w:tcW w:type="dxa" w:w="680"/>
          </w:tcPr>
          <w:p>
            <w:r>
              <w:rPr>
                <w:rFonts w:ascii="Times New Roman" w:hAnsi="Times New Roman"/>
                <w:sz w:val="18"/>
              </w:rPr>
              <w:t>98.9</w:t>
            </w:r>
          </w:p>
        </w:tc>
        <w:tc>
          <w:tcPr>
            <w:tcW w:type="dxa" w:w="680"/>
          </w:tcPr>
          <w:p>
            <w:r>
              <w:rPr>
                <w:rFonts w:ascii="Times New Roman" w:hAnsi="Times New Roman"/>
                <w:sz w:val="18"/>
              </w:rPr>
              <w:t>6.1</w:t>
            </w:r>
          </w:p>
        </w:tc>
        <w:tc>
          <w:tcPr>
            <w:tcW w:type="dxa" w:w="680"/>
          </w:tcPr>
          <w:p>
            <w:r>
              <w:rPr>
                <w:rFonts w:ascii="Times New Roman" w:hAnsi="Times New Roman"/>
                <w:sz w:val="18"/>
              </w:rPr>
              <w:t>31.0</w:t>
            </w:r>
          </w:p>
        </w:tc>
        <w:tc>
          <w:tcPr>
            <w:tcW w:type="dxa" w:w="680"/>
          </w:tcPr>
          <w:p>
            <w:r>
              <w:rPr>
                <w:rFonts w:ascii="Times New Roman" w:hAnsi="Times New Roman"/>
                <w:sz w:val="18"/>
              </w:rPr>
              <w:t>0.619</w:t>
            </w:r>
          </w:p>
        </w:tc>
        <w:tc>
          <w:tcPr>
            <w:tcW w:type="dxa" w:w="680"/>
          </w:tcPr>
          <w:p>
            <w:r>
              <w:rPr>
                <w:rFonts w:ascii="Times New Roman" w:hAnsi="Times New Roman"/>
                <w:sz w:val="18"/>
              </w:rPr>
              <w:t>0.663</w:t>
            </w:r>
          </w:p>
        </w:tc>
      </w:tr>
    </w:tbl>
    <w:p>
      <w:pPr>
        <w:spacing w:before="40" w:after="120"/>
        <w:jc w:val="both"/>
      </w:pPr>
      <w:r>
        <w:rPr>
          <w:rFonts w:ascii="Times New Roman" w:hAnsi="Times New Roman"/>
          <w:b w:val="0"/>
          <w:i/>
          <w:sz w:val="18"/>
        </w:rPr>
        <w:t>HIA = human intestinal absorption; BioAv = oral bioavailability (Bioavailability_Ma); CYP3A4i = CYP3A4 inhibitor probability; CYP3A4s = CYP3A4 substrate probability; PPBR = plasma protein binding; VDss = volume of distribution at steady state; t1/2 = predicted half-life; hERG/DILI: Chemprop probabilities.</w:t>
      </w:r>
    </w:p>
    <w:p>
      <w:pPr>
        <w:spacing w:before="200" w:after="40"/>
        <w:jc w:val="left"/>
      </w:pPr>
      <w:r>
        <w:rPr>
          <w:rFonts w:ascii="Times New Roman" w:hAnsi="Times New Roman"/>
          <w:b/>
          <w:i w:val="0"/>
          <w:sz w:val="20"/>
        </w:rPr>
        <w:t>Table 5. Tox21 12-endpoint panel for SGLT2 inhibitors (local Random Forest, representative endpoints shown).</w:t>
      </w:r>
    </w:p>
    <w:tbl>
      <w:tblPr>
        <w:tblStyle w:val="TableGrid"/>
        <w:tblW w:type="auto" w:w="0"/>
        <w:tblLook w:firstColumn="1" w:firstRow="1" w:lastColumn="0" w:lastRow="0" w:noHBand="0" w:noVBand="1" w:val="04A0"/>
      </w:tblPr>
      <w:tblGrid>
        <w:gridCol w:w="803"/>
        <w:gridCol w:w="803"/>
        <w:gridCol w:w="803"/>
        <w:gridCol w:w="803"/>
        <w:gridCol w:w="803"/>
        <w:gridCol w:w="803"/>
        <w:gridCol w:w="803"/>
        <w:gridCol w:w="803"/>
        <w:gridCol w:w="803"/>
        <w:gridCol w:w="803"/>
        <w:gridCol w:w="803"/>
      </w:tblGrid>
      <w:tr>
        <w:tc>
          <w:tcPr>
            <w:tcW w:type="dxa" w:w="803"/>
          </w:tcPr>
          <w:p>
            <w:r>
              <w:rPr>
                <w:rFonts w:ascii="Times New Roman" w:hAnsi="Times New Roman"/>
                <w:b/>
                <w:sz w:val="18"/>
              </w:rPr>
              <w:t>Drug</w:t>
            </w:r>
          </w:p>
        </w:tc>
        <w:tc>
          <w:tcPr>
            <w:tcW w:type="dxa" w:w="803"/>
          </w:tcPr>
          <w:p>
            <w:r>
              <w:rPr>
                <w:rFonts w:ascii="Times New Roman" w:hAnsi="Times New Roman"/>
                <w:b/>
                <w:sz w:val="18"/>
              </w:rPr>
              <w:t>NR-AR</w:t>
            </w:r>
          </w:p>
        </w:tc>
        <w:tc>
          <w:tcPr>
            <w:tcW w:type="dxa" w:w="803"/>
          </w:tcPr>
          <w:p>
            <w:r>
              <w:rPr>
                <w:rFonts w:ascii="Times New Roman" w:hAnsi="Times New Roman"/>
                <w:b/>
                <w:sz w:val="18"/>
              </w:rPr>
              <w:t>NR-AhR</w:t>
            </w:r>
          </w:p>
        </w:tc>
        <w:tc>
          <w:tcPr>
            <w:tcW w:type="dxa" w:w="803"/>
          </w:tcPr>
          <w:p>
            <w:r>
              <w:rPr>
                <w:rFonts w:ascii="Times New Roman" w:hAnsi="Times New Roman"/>
                <w:b/>
                <w:sz w:val="18"/>
              </w:rPr>
              <w:t>NR-Arom.</w:t>
            </w:r>
          </w:p>
        </w:tc>
        <w:tc>
          <w:tcPr>
            <w:tcW w:type="dxa" w:w="803"/>
          </w:tcPr>
          <w:p>
            <w:r>
              <w:rPr>
                <w:rFonts w:ascii="Times New Roman" w:hAnsi="Times New Roman"/>
                <w:b/>
                <w:sz w:val="18"/>
              </w:rPr>
              <w:t>NR-ER</w:t>
            </w:r>
          </w:p>
        </w:tc>
        <w:tc>
          <w:tcPr>
            <w:tcW w:type="dxa" w:w="803"/>
          </w:tcPr>
          <w:p>
            <w:r>
              <w:rPr>
                <w:rFonts w:ascii="Times New Roman" w:hAnsi="Times New Roman"/>
                <w:b/>
                <w:sz w:val="18"/>
              </w:rPr>
              <w:t>NR-PPAR-g</w:t>
            </w:r>
          </w:p>
        </w:tc>
        <w:tc>
          <w:tcPr>
            <w:tcW w:type="dxa" w:w="803"/>
          </w:tcPr>
          <w:p>
            <w:r>
              <w:rPr>
                <w:rFonts w:ascii="Times New Roman" w:hAnsi="Times New Roman"/>
                <w:b/>
                <w:sz w:val="18"/>
              </w:rPr>
              <w:t>SR-ARE</w:t>
            </w:r>
          </w:p>
        </w:tc>
        <w:tc>
          <w:tcPr>
            <w:tcW w:type="dxa" w:w="803"/>
          </w:tcPr>
          <w:p>
            <w:r>
              <w:rPr>
                <w:rFonts w:ascii="Times New Roman" w:hAnsi="Times New Roman"/>
                <w:b/>
                <w:sz w:val="18"/>
              </w:rPr>
              <w:t>SR-HSE</w:t>
            </w:r>
          </w:p>
        </w:tc>
        <w:tc>
          <w:tcPr>
            <w:tcW w:type="dxa" w:w="803"/>
          </w:tcPr>
          <w:p>
            <w:r>
              <w:rPr>
                <w:rFonts w:ascii="Times New Roman" w:hAnsi="Times New Roman"/>
                <w:b/>
                <w:sz w:val="18"/>
              </w:rPr>
              <w:t>SR-MMP</w:t>
            </w:r>
          </w:p>
        </w:tc>
        <w:tc>
          <w:tcPr>
            <w:tcW w:type="dxa" w:w="803"/>
          </w:tcPr>
          <w:p>
            <w:r>
              <w:rPr>
                <w:rFonts w:ascii="Times New Roman" w:hAnsi="Times New Roman"/>
                <w:b/>
                <w:sz w:val="18"/>
              </w:rPr>
              <w:t>SR-p53</w:t>
            </w:r>
          </w:p>
        </w:tc>
        <w:tc>
          <w:tcPr>
            <w:tcW w:type="dxa" w:w="803"/>
          </w:tcPr>
          <w:p>
            <w:r>
              <w:rPr>
                <w:rFonts w:ascii="Times New Roman" w:hAnsi="Times New Roman"/>
                <w:b/>
                <w:sz w:val="18"/>
              </w:rPr>
              <w:t>Active</w:t>
            </w:r>
          </w:p>
        </w:tc>
      </w:tr>
      <w:tr>
        <w:tc>
          <w:tcPr>
            <w:tcW w:type="dxa" w:w="803"/>
          </w:tcPr>
          <w:p>
            <w:r>
              <w:rPr>
                <w:rFonts w:ascii="Times New Roman" w:hAnsi="Times New Roman"/>
                <w:sz w:val="18"/>
              </w:rPr>
              <w:t>Canagliflozin</w:t>
            </w:r>
          </w:p>
        </w:tc>
        <w:tc>
          <w:tcPr>
            <w:tcW w:type="dxa" w:w="803"/>
          </w:tcPr>
          <w:p>
            <w:r>
              <w:rPr>
                <w:rFonts w:ascii="Times New Roman" w:hAnsi="Times New Roman"/>
                <w:sz w:val="18"/>
              </w:rPr>
              <w:t>0.023</w:t>
            </w:r>
          </w:p>
        </w:tc>
        <w:tc>
          <w:tcPr>
            <w:tcW w:type="dxa" w:w="803"/>
          </w:tcPr>
          <w:p>
            <w:r>
              <w:rPr>
                <w:rFonts w:ascii="Times New Roman" w:hAnsi="Times New Roman"/>
                <w:sz w:val="18"/>
              </w:rPr>
              <w:t>0.170</w:t>
            </w:r>
          </w:p>
        </w:tc>
        <w:tc>
          <w:tcPr>
            <w:tcW w:type="dxa" w:w="803"/>
          </w:tcPr>
          <w:p>
            <w:r>
              <w:rPr>
                <w:rFonts w:ascii="Times New Roman" w:hAnsi="Times New Roman"/>
                <w:sz w:val="18"/>
              </w:rPr>
              <w:t>0.029</w:t>
            </w:r>
          </w:p>
        </w:tc>
        <w:tc>
          <w:tcPr>
            <w:tcW w:type="dxa" w:w="803"/>
          </w:tcPr>
          <w:p>
            <w:r>
              <w:rPr>
                <w:rFonts w:ascii="Times New Roman" w:hAnsi="Times New Roman"/>
                <w:sz w:val="18"/>
              </w:rPr>
              <w:t>0.097</w:t>
            </w:r>
          </w:p>
        </w:tc>
        <w:tc>
          <w:tcPr>
            <w:tcW w:type="dxa" w:w="803"/>
          </w:tcPr>
          <w:p>
            <w:r>
              <w:rPr>
                <w:rFonts w:ascii="Times New Roman" w:hAnsi="Times New Roman"/>
                <w:sz w:val="18"/>
              </w:rPr>
              <w:t>0.118</w:t>
            </w:r>
          </w:p>
        </w:tc>
        <w:tc>
          <w:tcPr>
            <w:tcW w:type="dxa" w:w="803"/>
          </w:tcPr>
          <w:p>
            <w:r>
              <w:rPr>
                <w:rFonts w:ascii="Times New Roman" w:hAnsi="Times New Roman"/>
                <w:sz w:val="18"/>
              </w:rPr>
              <w:t>0.141</w:t>
            </w:r>
          </w:p>
        </w:tc>
        <w:tc>
          <w:tcPr>
            <w:tcW w:type="dxa" w:w="803"/>
          </w:tcPr>
          <w:p>
            <w:r>
              <w:rPr>
                <w:rFonts w:ascii="Times New Roman" w:hAnsi="Times New Roman"/>
                <w:sz w:val="18"/>
              </w:rPr>
              <w:t>0.036</w:t>
            </w:r>
          </w:p>
        </w:tc>
        <w:tc>
          <w:tcPr>
            <w:tcW w:type="dxa" w:w="803"/>
          </w:tcPr>
          <w:p>
            <w:r>
              <w:rPr>
                <w:rFonts w:ascii="Times New Roman" w:hAnsi="Times New Roman"/>
                <w:sz w:val="18"/>
              </w:rPr>
              <w:t>0.152</w:t>
            </w:r>
          </w:p>
        </w:tc>
        <w:tc>
          <w:tcPr>
            <w:tcW w:type="dxa" w:w="803"/>
          </w:tcPr>
          <w:p>
            <w:r>
              <w:rPr>
                <w:rFonts w:ascii="Times New Roman" w:hAnsi="Times New Roman"/>
                <w:sz w:val="18"/>
              </w:rPr>
              <w:t>0.066</w:t>
            </w:r>
          </w:p>
        </w:tc>
        <w:tc>
          <w:tcPr>
            <w:tcW w:type="dxa" w:w="803"/>
          </w:tcPr>
          <w:p>
            <w:r>
              <w:rPr>
                <w:rFonts w:ascii="Times New Roman" w:hAnsi="Times New Roman"/>
                <w:sz w:val="18"/>
              </w:rPr>
              <w:t>0/12</w:t>
            </w:r>
          </w:p>
        </w:tc>
      </w:tr>
      <w:tr>
        <w:tc>
          <w:tcPr>
            <w:tcW w:type="dxa" w:w="803"/>
          </w:tcPr>
          <w:p>
            <w:r>
              <w:rPr>
                <w:rFonts w:ascii="Times New Roman" w:hAnsi="Times New Roman"/>
                <w:sz w:val="18"/>
              </w:rPr>
              <w:t>Dapagliflozin</w:t>
            </w:r>
          </w:p>
        </w:tc>
        <w:tc>
          <w:tcPr>
            <w:tcW w:type="dxa" w:w="803"/>
          </w:tcPr>
          <w:p>
            <w:r>
              <w:rPr>
                <w:rFonts w:ascii="Times New Roman" w:hAnsi="Times New Roman"/>
                <w:sz w:val="18"/>
              </w:rPr>
              <w:t>0.034</w:t>
            </w:r>
          </w:p>
        </w:tc>
        <w:tc>
          <w:tcPr>
            <w:tcW w:type="dxa" w:w="803"/>
          </w:tcPr>
          <w:p>
            <w:r>
              <w:rPr>
                <w:rFonts w:ascii="Times New Roman" w:hAnsi="Times New Roman"/>
                <w:sz w:val="18"/>
              </w:rPr>
              <w:t>0.110</w:t>
            </w:r>
          </w:p>
        </w:tc>
        <w:tc>
          <w:tcPr>
            <w:tcW w:type="dxa" w:w="803"/>
          </w:tcPr>
          <w:p>
            <w:r>
              <w:rPr>
                <w:rFonts w:ascii="Times New Roman" w:hAnsi="Times New Roman"/>
                <w:sz w:val="18"/>
              </w:rPr>
              <w:t>0.044</w:t>
            </w:r>
          </w:p>
        </w:tc>
        <w:tc>
          <w:tcPr>
            <w:tcW w:type="dxa" w:w="803"/>
          </w:tcPr>
          <w:p>
            <w:r>
              <w:rPr>
                <w:rFonts w:ascii="Times New Roman" w:hAnsi="Times New Roman"/>
                <w:sz w:val="18"/>
              </w:rPr>
              <w:t>0.091</w:t>
            </w:r>
          </w:p>
        </w:tc>
        <w:tc>
          <w:tcPr>
            <w:tcW w:type="dxa" w:w="803"/>
          </w:tcPr>
          <w:p>
            <w:r>
              <w:rPr>
                <w:rFonts w:ascii="Times New Roman" w:hAnsi="Times New Roman"/>
                <w:sz w:val="18"/>
              </w:rPr>
              <w:t>0.066</w:t>
            </w:r>
          </w:p>
        </w:tc>
        <w:tc>
          <w:tcPr>
            <w:tcW w:type="dxa" w:w="803"/>
          </w:tcPr>
          <w:p>
            <w:r>
              <w:rPr>
                <w:rFonts w:ascii="Times New Roman" w:hAnsi="Times New Roman"/>
                <w:sz w:val="18"/>
              </w:rPr>
              <w:t>0.155</w:t>
            </w:r>
          </w:p>
        </w:tc>
        <w:tc>
          <w:tcPr>
            <w:tcW w:type="dxa" w:w="803"/>
          </w:tcPr>
          <w:p>
            <w:r>
              <w:rPr>
                <w:rFonts w:ascii="Times New Roman" w:hAnsi="Times New Roman"/>
                <w:sz w:val="18"/>
              </w:rPr>
              <w:t>0.034</w:t>
            </w:r>
          </w:p>
        </w:tc>
        <w:tc>
          <w:tcPr>
            <w:tcW w:type="dxa" w:w="803"/>
          </w:tcPr>
          <w:p>
            <w:r>
              <w:rPr>
                <w:rFonts w:ascii="Times New Roman" w:hAnsi="Times New Roman"/>
                <w:sz w:val="18"/>
              </w:rPr>
              <w:t>0.119</w:t>
            </w:r>
          </w:p>
        </w:tc>
        <w:tc>
          <w:tcPr>
            <w:tcW w:type="dxa" w:w="803"/>
          </w:tcPr>
          <w:p>
            <w:r>
              <w:rPr>
                <w:rFonts w:ascii="Times New Roman" w:hAnsi="Times New Roman"/>
                <w:sz w:val="18"/>
              </w:rPr>
              <w:t>0.122</w:t>
            </w:r>
          </w:p>
        </w:tc>
        <w:tc>
          <w:tcPr>
            <w:tcW w:type="dxa" w:w="803"/>
          </w:tcPr>
          <w:p>
            <w:r>
              <w:rPr>
                <w:rFonts w:ascii="Times New Roman" w:hAnsi="Times New Roman"/>
                <w:sz w:val="18"/>
              </w:rPr>
              <w:t>0/12</w:t>
            </w:r>
          </w:p>
        </w:tc>
      </w:tr>
      <w:tr>
        <w:tc>
          <w:tcPr>
            <w:tcW w:type="dxa" w:w="803"/>
          </w:tcPr>
          <w:p>
            <w:r>
              <w:rPr>
                <w:rFonts w:ascii="Times New Roman" w:hAnsi="Times New Roman"/>
                <w:sz w:val="18"/>
              </w:rPr>
              <w:t>Tofogliflozin</w:t>
            </w:r>
          </w:p>
        </w:tc>
        <w:tc>
          <w:tcPr>
            <w:tcW w:type="dxa" w:w="803"/>
          </w:tcPr>
          <w:p>
            <w:r>
              <w:rPr>
                <w:rFonts w:ascii="Times New Roman" w:hAnsi="Times New Roman"/>
                <w:sz w:val="18"/>
              </w:rPr>
              <w:t>0.024</w:t>
            </w:r>
          </w:p>
        </w:tc>
        <w:tc>
          <w:tcPr>
            <w:tcW w:type="dxa" w:w="803"/>
          </w:tcPr>
          <w:p>
            <w:r>
              <w:rPr>
                <w:rFonts w:ascii="Times New Roman" w:hAnsi="Times New Roman"/>
                <w:sz w:val="18"/>
              </w:rPr>
              <w:t>0.085</w:t>
            </w:r>
          </w:p>
        </w:tc>
        <w:tc>
          <w:tcPr>
            <w:tcW w:type="dxa" w:w="803"/>
          </w:tcPr>
          <w:p>
            <w:r>
              <w:rPr>
                <w:rFonts w:ascii="Times New Roman" w:hAnsi="Times New Roman"/>
                <w:sz w:val="18"/>
              </w:rPr>
              <w:t>0.069</w:t>
            </w:r>
          </w:p>
        </w:tc>
        <w:tc>
          <w:tcPr>
            <w:tcW w:type="dxa" w:w="803"/>
          </w:tcPr>
          <w:p>
            <w:r>
              <w:rPr>
                <w:rFonts w:ascii="Times New Roman" w:hAnsi="Times New Roman"/>
                <w:sz w:val="18"/>
              </w:rPr>
              <w:t>0.120</w:t>
            </w:r>
          </w:p>
        </w:tc>
        <w:tc>
          <w:tcPr>
            <w:tcW w:type="dxa" w:w="803"/>
          </w:tcPr>
          <w:p>
            <w:r>
              <w:rPr>
                <w:rFonts w:ascii="Times New Roman" w:hAnsi="Times New Roman"/>
                <w:sz w:val="18"/>
              </w:rPr>
              <w:t>0.010</w:t>
            </w:r>
          </w:p>
        </w:tc>
        <w:tc>
          <w:tcPr>
            <w:tcW w:type="dxa" w:w="803"/>
          </w:tcPr>
          <w:p>
            <w:r>
              <w:rPr>
                <w:rFonts w:ascii="Times New Roman" w:hAnsi="Times New Roman"/>
                <w:sz w:val="18"/>
              </w:rPr>
              <w:t>0.119</w:t>
            </w:r>
          </w:p>
        </w:tc>
        <w:tc>
          <w:tcPr>
            <w:tcW w:type="dxa" w:w="803"/>
          </w:tcPr>
          <w:p>
            <w:r>
              <w:rPr>
                <w:rFonts w:ascii="Times New Roman" w:hAnsi="Times New Roman"/>
                <w:sz w:val="18"/>
              </w:rPr>
              <w:t>0.026</w:t>
            </w:r>
          </w:p>
        </w:tc>
        <w:tc>
          <w:tcPr>
            <w:tcW w:type="dxa" w:w="803"/>
          </w:tcPr>
          <w:p>
            <w:r>
              <w:rPr>
                <w:rFonts w:ascii="Times New Roman" w:hAnsi="Times New Roman"/>
                <w:sz w:val="18"/>
              </w:rPr>
              <w:t>0.091</w:t>
            </w:r>
          </w:p>
        </w:tc>
        <w:tc>
          <w:tcPr>
            <w:tcW w:type="dxa" w:w="803"/>
          </w:tcPr>
          <w:p>
            <w:r>
              <w:rPr>
                <w:rFonts w:ascii="Times New Roman" w:hAnsi="Times New Roman"/>
                <w:sz w:val="18"/>
              </w:rPr>
              <w:t>0.047</w:t>
            </w:r>
          </w:p>
        </w:tc>
        <w:tc>
          <w:tcPr>
            <w:tcW w:type="dxa" w:w="803"/>
          </w:tcPr>
          <w:p>
            <w:r>
              <w:rPr>
                <w:rFonts w:ascii="Times New Roman" w:hAnsi="Times New Roman"/>
                <w:sz w:val="18"/>
              </w:rPr>
              <w:t>0/12</w:t>
            </w:r>
          </w:p>
        </w:tc>
      </w:tr>
      <w:tr>
        <w:tc>
          <w:tcPr>
            <w:tcW w:type="dxa" w:w="803"/>
          </w:tcPr>
          <w:p>
            <w:r>
              <w:rPr>
                <w:rFonts w:ascii="Times New Roman" w:hAnsi="Times New Roman"/>
                <w:sz w:val="18"/>
              </w:rPr>
              <w:t>Ipragliflozin</w:t>
            </w:r>
          </w:p>
        </w:tc>
        <w:tc>
          <w:tcPr>
            <w:tcW w:type="dxa" w:w="803"/>
          </w:tcPr>
          <w:p>
            <w:r>
              <w:rPr>
                <w:rFonts w:ascii="Times New Roman" w:hAnsi="Times New Roman"/>
                <w:sz w:val="18"/>
              </w:rPr>
              <w:t>0.040</w:t>
            </w:r>
          </w:p>
        </w:tc>
        <w:tc>
          <w:tcPr>
            <w:tcW w:type="dxa" w:w="803"/>
          </w:tcPr>
          <w:p>
            <w:r>
              <w:rPr>
                <w:rFonts w:ascii="Times New Roman" w:hAnsi="Times New Roman"/>
                <w:sz w:val="18"/>
              </w:rPr>
              <w:t>0.175</w:t>
            </w:r>
          </w:p>
        </w:tc>
        <w:tc>
          <w:tcPr>
            <w:tcW w:type="dxa" w:w="803"/>
          </w:tcPr>
          <w:p>
            <w:r>
              <w:rPr>
                <w:rFonts w:ascii="Times New Roman" w:hAnsi="Times New Roman"/>
                <w:sz w:val="18"/>
              </w:rPr>
              <w:t>0.061</w:t>
            </w:r>
          </w:p>
        </w:tc>
        <w:tc>
          <w:tcPr>
            <w:tcW w:type="dxa" w:w="803"/>
          </w:tcPr>
          <w:p>
            <w:r>
              <w:rPr>
                <w:rFonts w:ascii="Times New Roman" w:hAnsi="Times New Roman"/>
                <w:sz w:val="18"/>
              </w:rPr>
              <w:t>0.102</w:t>
            </w:r>
          </w:p>
        </w:tc>
        <w:tc>
          <w:tcPr>
            <w:tcW w:type="dxa" w:w="803"/>
          </w:tcPr>
          <w:p>
            <w:r>
              <w:rPr>
                <w:rFonts w:ascii="Times New Roman" w:hAnsi="Times New Roman"/>
                <w:sz w:val="18"/>
              </w:rPr>
              <w:t>0.098</w:t>
            </w:r>
          </w:p>
        </w:tc>
        <w:tc>
          <w:tcPr>
            <w:tcW w:type="dxa" w:w="803"/>
          </w:tcPr>
          <w:p>
            <w:r>
              <w:rPr>
                <w:rFonts w:ascii="Times New Roman" w:hAnsi="Times New Roman"/>
                <w:sz w:val="18"/>
              </w:rPr>
              <w:t>0.121</w:t>
            </w:r>
          </w:p>
        </w:tc>
        <w:tc>
          <w:tcPr>
            <w:tcW w:type="dxa" w:w="803"/>
          </w:tcPr>
          <w:p>
            <w:r>
              <w:rPr>
                <w:rFonts w:ascii="Times New Roman" w:hAnsi="Times New Roman"/>
                <w:sz w:val="18"/>
              </w:rPr>
              <w:t>0.036</w:t>
            </w:r>
          </w:p>
        </w:tc>
        <w:tc>
          <w:tcPr>
            <w:tcW w:type="dxa" w:w="803"/>
          </w:tcPr>
          <w:p>
            <w:r>
              <w:rPr>
                <w:rFonts w:ascii="Times New Roman" w:hAnsi="Times New Roman"/>
                <w:sz w:val="18"/>
              </w:rPr>
              <w:t>0.128</w:t>
            </w:r>
          </w:p>
        </w:tc>
        <w:tc>
          <w:tcPr>
            <w:tcW w:type="dxa" w:w="803"/>
          </w:tcPr>
          <w:p>
            <w:r>
              <w:rPr>
                <w:rFonts w:ascii="Times New Roman" w:hAnsi="Times New Roman"/>
                <w:sz w:val="18"/>
              </w:rPr>
              <w:t>0.139</w:t>
            </w:r>
          </w:p>
        </w:tc>
        <w:tc>
          <w:tcPr>
            <w:tcW w:type="dxa" w:w="803"/>
          </w:tcPr>
          <w:p>
            <w:r>
              <w:rPr>
                <w:rFonts w:ascii="Times New Roman" w:hAnsi="Times New Roman"/>
                <w:sz w:val="18"/>
              </w:rPr>
              <w:t>0/12</w:t>
            </w:r>
          </w:p>
        </w:tc>
      </w:tr>
      <w:tr>
        <w:tc>
          <w:tcPr>
            <w:tcW w:type="dxa" w:w="803"/>
          </w:tcPr>
          <w:p>
            <w:r>
              <w:rPr>
                <w:rFonts w:ascii="Times New Roman" w:hAnsi="Times New Roman"/>
                <w:sz w:val="18"/>
              </w:rPr>
              <w:t>Empagliflozin</w:t>
            </w:r>
          </w:p>
        </w:tc>
        <w:tc>
          <w:tcPr>
            <w:tcW w:type="dxa" w:w="803"/>
          </w:tcPr>
          <w:p>
            <w:r>
              <w:rPr>
                <w:rFonts w:ascii="Times New Roman" w:hAnsi="Times New Roman"/>
                <w:sz w:val="18"/>
              </w:rPr>
              <w:t>0.023</w:t>
            </w:r>
          </w:p>
        </w:tc>
        <w:tc>
          <w:tcPr>
            <w:tcW w:type="dxa" w:w="803"/>
          </w:tcPr>
          <w:p>
            <w:r>
              <w:rPr>
                <w:rFonts w:ascii="Times New Roman" w:hAnsi="Times New Roman"/>
                <w:sz w:val="18"/>
              </w:rPr>
              <w:t>0.121</w:t>
            </w:r>
          </w:p>
        </w:tc>
        <w:tc>
          <w:tcPr>
            <w:tcW w:type="dxa" w:w="803"/>
          </w:tcPr>
          <w:p>
            <w:r>
              <w:rPr>
                <w:rFonts w:ascii="Times New Roman" w:hAnsi="Times New Roman"/>
                <w:sz w:val="18"/>
              </w:rPr>
              <w:t>0.080</w:t>
            </w:r>
          </w:p>
        </w:tc>
        <w:tc>
          <w:tcPr>
            <w:tcW w:type="dxa" w:w="803"/>
          </w:tcPr>
          <w:p>
            <w:r>
              <w:rPr>
                <w:rFonts w:ascii="Times New Roman" w:hAnsi="Times New Roman"/>
                <w:sz w:val="18"/>
              </w:rPr>
              <w:t>0.100</w:t>
            </w:r>
          </w:p>
        </w:tc>
        <w:tc>
          <w:tcPr>
            <w:tcW w:type="dxa" w:w="803"/>
          </w:tcPr>
          <w:p>
            <w:r>
              <w:rPr>
                <w:rFonts w:ascii="Times New Roman" w:hAnsi="Times New Roman"/>
                <w:sz w:val="18"/>
              </w:rPr>
              <w:t>0.102</w:t>
            </w:r>
          </w:p>
        </w:tc>
        <w:tc>
          <w:tcPr>
            <w:tcW w:type="dxa" w:w="803"/>
          </w:tcPr>
          <w:p>
            <w:r>
              <w:rPr>
                <w:rFonts w:ascii="Times New Roman" w:hAnsi="Times New Roman"/>
                <w:sz w:val="18"/>
              </w:rPr>
              <w:t>0.160</w:t>
            </w:r>
          </w:p>
        </w:tc>
        <w:tc>
          <w:tcPr>
            <w:tcW w:type="dxa" w:w="803"/>
          </w:tcPr>
          <w:p>
            <w:r>
              <w:rPr>
                <w:rFonts w:ascii="Times New Roman" w:hAnsi="Times New Roman"/>
                <w:sz w:val="18"/>
              </w:rPr>
              <w:t>0.032</w:t>
            </w:r>
          </w:p>
        </w:tc>
        <w:tc>
          <w:tcPr>
            <w:tcW w:type="dxa" w:w="803"/>
          </w:tcPr>
          <w:p>
            <w:r>
              <w:rPr>
                <w:rFonts w:ascii="Times New Roman" w:hAnsi="Times New Roman"/>
                <w:sz w:val="18"/>
              </w:rPr>
              <w:t>0.156</w:t>
            </w:r>
          </w:p>
        </w:tc>
        <w:tc>
          <w:tcPr>
            <w:tcW w:type="dxa" w:w="803"/>
          </w:tcPr>
          <w:p>
            <w:r>
              <w:rPr>
                <w:rFonts w:ascii="Times New Roman" w:hAnsi="Times New Roman"/>
                <w:sz w:val="18"/>
              </w:rPr>
              <w:t>0.140</w:t>
            </w:r>
          </w:p>
        </w:tc>
        <w:tc>
          <w:tcPr>
            <w:tcW w:type="dxa" w:w="803"/>
          </w:tcPr>
          <w:p>
            <w:r>
              <w:rPr>
                <w:rFonts w:ascii="Times New Roman" w:hAnsi="Times New Roman"/>
                <w:sz w:val="18"/>
              </w:rPr>
              <w:t>0/12</w:t>
            </w:r>
          </w:p>
        </w:tc>
      </w:tr>
      <w:tr>
        <w:tc>
          <w:tcPr>
            <w:tcW w:type="dxa" w:w="803"/>
          </w:tcPr>
          <w:p>
            <w:r>
              <w:rPr>
                <w:rFonts w:ascii="Times New Roman" w:hAnsi="Times New Roman"/>
                <w:sz w:val="18"/>
              </w:rPr>
              <w:t>Sotagliflozin</w:t>
            </w:r>
          </w:p>
        </w:tc>
        <w:tc>
          <w:tcPr>
            <w:tcW w:type="dxa" w:w="803"/>
          </w:tcPr>
          <w:p>
            <w:r>
              <w:rPr>
                <w:rFonts w:ascii="Times New Roman" w:hAnsi="Times New Roman"/>
                <w:sz w:val="18"/>
              </w:rPr>
              <w:t>0.041</w:t>
            </w:r>
          </w:p>
        </w:tc>
        <w:tc>
          <w:tcPr>
            <w:tcW w:type="dxa" w:w="803"/>
          </w:tcPr>
          <w:p>
            <w:r>
              <w:rPr>
                <w:rFonts w:ascii="Times New Roman" w:hAnsi="Times New Roman"/>
                <w:sz w:val="18"/>
              </w:rPr>
              <w:t>0.135</w:t>
            </w:r>
          </w:p>
        </w:tc>
        <w:tc>
          <w:tcPr>
            <w:tcW w:type="dxa" w:w="803"/>
          </w:tcPr>
          <w:p>
            <w:r>
              <w:rPr>
                <w:rFonts w:ascii="Times New Roman" w:hAnsi="Times New Roman"/>
                <w:sz w:val="18"/>
              </w:rPr>
              <w:t>0.071</w:t>
            </w:r>
          </w:p>
        </w:tc>
        <w:tc>
          <w:tcPr>
            <w:tcW w:type="dxa" w:w="803"/>
          </w:tcPr>
          <w:p>
            <w:r>
              <w:rPr>
                <w:rFonts w:ascii="Times New Roman" w:hAnsi="Times New Roman"/>
                <w:sz w:val="18"/>
              </w:rPr>
              <w:t>0.098</w:t>
            </w:r>
          </w:p>
        </w:tc>
        <w:tc>
          <w:tcPr>
            <w:tcW w:type="dxa" w:w="803"/>
          </w:tcPr>
          <w:p>
            <w:r>
              <w:rPr>
                <w:rFonts w:ascii="Times New Roman" w:hAnsi="Times New Roman"/>
                <w:sz w:val="18"/>
              </w:rPr>
              <w:t>0.036</w:t>
            </w:r>
          </w:p>
        </w:tc>
        <w:tc>
          <w:tcPr>
            <w:tcW w:type="dxa" w:w="803"/>
          </w:tcPr>
          <w:p>
            <w:r>
              <w:rPr>
                <w:rFonts w:ascii="Times New Roman" w:hAnsi="Times New Roman"/>
                <w:sz w:val="18"/>
              </w:rPr>
              <w:t>0.157</w:t>
            </w:r>
          </w:p>
        </w:tc>
        <w:tc>
          <w:tcPr>
            <w:tcW w:type="dxa" w:w="803"/>
          </w:tcPr>
          <w:p>
            <w:r>
              <w:rPr>
                <w:rFonts w:ascii="Times New Roman" w:hAnsi="Times New Roman"/>
                <w:sz w:val="18"/>
              </w:rPr>
              <w:t>0.058</w:t>
            </w:r>
          </w:p>
        </w:tc>
        <w:tc>
          <w:tcPr>
            <w:tcW w:type="dxa" w:w="803"/>
          </w:tcPr>
          <w:p>
            <w:r>
              <w:rPr>
                <w:rFonts w:ascii="Times New Roman" w:hAnsi="Times New Roman"/>
                <w:sz w:val="18"/>
              </w:rPr>
              <w:t>0.158</w:t>
            </w:r>
          </w:p>
        </w:tc>
        <w:tc>
          <w:tcPr>
            <w:tcW w:type="dxa" w:w="803"/>
          </w:tcPr>
          <w:p>
            <w:r>
              <w:rPr>
                <w:rFonts w:ascii="Times New Roman" w:hAnsi="Times New Roman"/>
                <w:sz w:val="18"/>
              </w:rPr>
              <w:t>0.101</w:t>
            </w:r>
          </w:p>
        </w:tc>
        <w:tc>
          <w:tcPr>
            <w:tcW w:type="dxa" w:w="803"/>
          </w:tcPr>
          <w:p>
            <w:r>
              <w:rPr>
                <w:rFonts w:ascii="Times New Roman" w:hAnsi="Times New Roman"/>
                <w:sz w:val="18"/>
              </w:rPr>
              <w:t>0/12</w:t>
            </w:r>
          </w:p>
        </w:tc>
      </w:tr>
    </w:tbl>
    <w:p>
      <w:pPr>
        <w:spacing w:before="40" w:after="120"/>
        <w:jc w:val="both"/>
      </w:pPr>
      <w:r>
        <w:rPr>
          <w:rFonts w:ascii="Times New Roman" w:hAnsi="Times New Roman"/>
          <w:b w:val="0"/>
          <w:i/>
          <w:sz w:val="18"/>
        </w:rPr>
        <w:t>All 12 endpoints below the 0.50 activity threshold for all six compounds. No PAINS, BRENK, or NIH structural alerts detected for any compound.</w:t>
      </w:r>
    </w:p>
    <w:p>
      <w:pPr>
        <w:spacing w:before="0" w:after="120"/>
        <w:jc w:val="both"/>
      </w:pPr>
      <w:r>
        <w:rPr>
          <w:rFonts w:ascii="Times New Roman" w:hAnsi="Times New Roman"/>
          <w:b w:val="0"/>
          <w:i w:val="0"/>
          <w:sz w:val="24"/>
        </w:rPr>
        <w:t xml:space="preserve">Several pharmacologically meaningful patterns emerge. </w:t>
      </w:r>
      <w:r>
        <w:rPr>
          <w:rFonts w:ascii="Times New Roman" w:hAnsi="Times New Roman"/>
          <w:b/>
          <w:i w:val="0"/>
          <w:sz w:val="24"/>
        </w:rPr>
        <w:t>Absorption</w:t>
      </w:r>
      <w:r>
        <w:rPr>
          <w:rFonts w:ascii="Times New Roman" w:hAnsi="Times New Roman"/>
          <w:b w:val="0"/>
          <w:i w:val="0"/>
          <w:sz w:val="24"/>
        </w:rPr>
        <w:t xml:space="preserve"> predictions were consistent across the class: HIA 0.90-0.98 and oral bioavailability 0.74-0.83, in agreement with established clinical oral bioavailability of gliflozins (50-80%). </w:t>
      </w:r>
      <w:r>
        <w:rPr>
          <w:rFonts w:ascii="Times New Roman" w:hAnsi="Times New Roman"/>
          <w:b/>
          <w:i w:val="0"/>
          <w:sz w:val="24"/>
        </w:rPr>
        <w:t>Metabolism</w:t>
      </w:r>
      <w:r>
        <w:rPr>
          <w:rFonts w:ascii="Times New Roman" w:hAnsi="Times New Roman"/>
          <w:b w:val="0"/>
          <w:i w:val="0"/>
          <w:sz w:val="24"/>
        </w:rPr>
        <w:t xml:space="preserve">: CYP inhibition was uniformly low across all five isoforms (&lt; 0.16 for all compounds), consistent with UGT glucuronidation as the primary metabolic route rather than CYP-mediated oxidation. CYP3A4 substrate probabilities (0.60-0.74) are correctly elevated, consistent with clinical pharmacokinetic studies. </w:t>
      </w:r>
      <w:r>
        <w:rPr>
          <w:rFonts w:ascii="Times New Roman" w:hAnsi="Times New Roman"/>
          <w:b/>
          <w:i w:val="0"/>
          <w:sz w:val="24"/>
        </w:rPr>
        <w:t>Distribution</w:t>
      </w:r>
      <w:r>
        <w:rPr>
          <w:rFonts w:ascii="Times New Roman" w:hAnsi="Times New Roman"/>
          <w:b w:val="0"/>
          <w:i w:val="0"/>
          <w:sz w:val="24"/>
        </w:rPr>
        <w:t>: PPBR predictions (89-99%) closely match clinical measurements (canagliflozin 99%, dapagliflozin 91%, empagliflozin 86-91%). Predicted VDss values (3.4-8.2 L/kg) are consistent with tissue distribution observed clinically.</w:t>
      </w:r>
    </w:p>
    <w:p>
      <w:pPr>
        <w:spacing w:before="0" w:after="120"/>
        <w:jc w:val="both"/>
      </w:pPr>
      <w:r>
        <w:rPr>
          <w:rFonts w:ascii="Times New Roman" w:hAnsi="Times New Roman"/>
          <w:b/>
          <w:i w:val="0"/>
          <w:sz w:val="24"/>
        </w:rPr>
        <w:t>BBB predictions</w:t>
      </w:r>
      <w:r>
        <w:rPr>
          <w:rFonts w:ascii="Times New Roman" w:hAnsi="Times New Roman"/>
          <w:b w:val="0"/>
          <w:i w:val="0"/>
          <w:sz w:val="24"/>
        </w:rPr>
        <w:t xml:space="preserve"> provide a pharmacologically instructive example. Five of six compounds were predicted BBB+ by the local GBM model (probability 0.53-0.60); only dapagliflozin was predicted BBB- (probability 0.46). SGLT2 inhibitors are not primarily CNS drugs, yet their structural properties — moderate LogP (1.0-3.2), TPSA 79-109 Angstrom2, MW 386-451 Da — are consistent with passive transcellular CNS permeability. Emerging evidence places SGLT2 expression in brain vasculature and neurons, and empagliflozin is under active investigation for neurodegenerative diseases</w:t>
      </w:r>
      <w:r>
        <w:rPr>
          <w:rFonts w:ascii="Times New Roman" w:hAnsi="Times New Roman"/>
          <w:b w:val="0"/>
          <w:i w:val="0"/>
          <w:sz w:val="16"/>
          <w:vertAlign w:val="superscript"/>
        </w:rPr>
        <w:t>31</w:t>
      </w:r>
      <w:r>
        <w:rPr>
          <w:rFonts w:ascii="Times New Roman" w:hAnsi="Times New Roman"/>
          <w:b w:val="0"/>
          <w:i w:val="0"/>
          <w:sz w:val="24"/>
        </w:rPr>
        <w:t>. The Automated Interpretation Engine flags these as 'moderate BBB penetration signal' with explicit AD status and probability confidence.</w:t>
      </w:r>
    </w:p>
    <w:p>
      <w:pPr>
        <w:spacing w:before="0" w:after="120"/>
        <w:jc w:val="both"/>
      </w:pPr>
      <w:r>
        <w:rPr>
          <w:rFonts w:ascii="Times New Roman" w:hAnsi="Times New Roman"/>
          <w:b/>
          <w:i w:val="0"/>
          <w:sz w:val="24"/>
        </w:rPr>
        <w:t>hERG predictions</w:t>
      </w:r>
      <w:r>
        <w:rPr>
          <w:rFonts w:ascii="Times New Roman" w:hAnsi="Times New Roman"/>
          <w:b w:val="0"/>
          <w:i w:val="0"/>
          <w:sz w:val="24"/>
        </w:rPr>
        <w:t xml:space="preserve"> (0.52-0.75 across the class) illustrate an important limitation of ML-based cardiac safety scoring: all six drugs show moderate-to-high hERG inhibition probability despite the established absence of significant QT prolongation in clinical trials or post-market surveillance. The Interpretation Engine correctly flags each compound as 'moderate cardiac risk (ML score only)' and appends the standard caveat that ML probability outputs require clinical context. </w:t>
      </w:r>
      <w:r>
        <w:rPr>
          <w:rFonts w:ascii="Times New Roman" w:hAnsi="Times New Roman"/>
          <w:b/>
          <w:i w:val="0"/>
          <w:sz w:val="24"/>
        </w:rPr>
        <w:t>Tox21 endocrine panel</w:t>
      </w:r>
      <w:r>
        <w:rPr>
          <w:rFonts w:ascii="Times New Roman" w:hAnsi="Times New Roman"/>
          <w:b w:val="0"/>
          <w:i w:val="0"/>
          <w:sz w:val="24"/>
        </w:rPr>
        <w:t xml:space="preserve">: All 12 endpoints were below the 0.50 activity threshold for all six compounds (Table 5), producing a completely clean endocrine disruption screen consistent with their regulatory approval status. </w:t>
      </w:r>
      <w:r>
        <w:rPr>
          <w:rFonts w:ascii="Times New Roman" w:hAnsi="Times New Roman"/>
          <w:b/>
          <w:i w:val="0"/>
          <w:sz w:val="24"/>
        </w:rPr>
        <w:t>Structural alerts</w:t>
      </w:r>
      <w:r>
        <w:rPr>
          <w:rFonts w:ascii="Times New Roman" w:hAnsi="Times New Roman"/>
          <w:b w:val="0"/>
          <w:i w:val="0"/>
          <w:sz w:val="24"/>
        </w:rPr>
        <w:t>: No PAINS, BRENK, or NIH alerts were triggered by any compound. These negative-finding results are as informative as positive findings for demonstrating the platform's interpretive utility. The complete profiling of all six compounds finished in 4 min 53 s on a standard workstation without GPU acceleration.</w:t>
      </w:r>
    </w:p>
    <w:p>
      <w:r>
        <w:t>────────────────────────────────────────────────────────────────────────────────</w:t>
      </w:r>
    </w:p>
    <w:p>
      <w:pPr>
        <w:spacing w:before="240" w:after="80"/>
        <w:jc w:val="left"/>
      </w:pPr>
      <w:r>
        <w:rPr>
          <w:rFonts w:ascii="Times New Roman" w:hAnsi="Times New Roman"/>
          <w:b/>
          <w:i w:val="0"/>
          <w:sz w:val="28"/>
        </w:rPr>
        <w:t>Discussion</w:t>
      </w:r>
    </w:p>
    <w:p>
      <w:pPr>
        <w:spacing w:before="0" w:after="120"/>
        <w:jc w:val="both"/>
      </w:pPr>
      <w:r>
        <w:rPr>
          <w:rFonts w:ascii="Times New Roman" w:hAnsi="Times New Roman"/>
          <w:b w:val="0"/>
          <w:i w:val="0"/>
          <w:sz w:val="24"/>
        </w:rPr>
        <w:t>SMILESRender fills a well-defined gap in the open-source cheminformatics toolbox: a web-native, session-consistent platform that makes integrated multi-engine ADMET profiling accessible without programming expertise, while providing the reproducibility guarantees of containerised deployment.</w:t>
      </w:r>
    </w:p>
    <w:p>
      <w:pPr>
        <w:spacing w:before="0" w:after="120"/>
        <w:jc w:val="both"/>
      </w:pPr>
      <w:r>
        <w:rPr>
          <w:rFonts w:ascii="Times New Roman" w:hAnsi="Times New Roman"/>
          <w:b/>
          <w:i w:val="0"/>
          <w:sz w:val="24"/>
        </w:rPr>
        <w:t>Comparison with existing platforms.</w:t>
      </w:r>
      <w:r>
        <w:rPr>
          <w:rFonts w:ascii="Times New Roman" w:hAnsi="Times New Roman"/>
          <w:b w:val="0"/>
          <w:i w:val="0"/>
          <w:sz w:val="24"/>
        </w:rPr>
        <w:t xml:space="preserve"> The benchmark against DataWarrior, KNIME, Galaxy, ChemMine, and MarvinSketch reveals a clear architectural differentiation. DataWarrior, the most complete open-source desktop tool, excels at visualisation, compound clustering, and SOM analysis, but provides no web access and no ML-based multi-endpoint ADMET coverage beyond basic drug-likeness filters. KNIME offers unmatched flexibility for expert users, but its barrier to entry is high and it has no built-in ADMET capability. SMILESRender occupies a complementary position: it is not a replacement for DataWarrior's visualisation depth or KNIME's workflow flexibility, but rather a purpose-built ADMET profiling environment accessible to any researcher with a browser.</w:t>
      </w:r>
    </w:p>
    <w:p>
      <w:pPr>
        <w:spacing w:before="0" w:after="120"/>
        <w:jc w:val="both"/>
      </w:pPr>
      <w:r>
        <w:rPr>
          <w:rFonts w:ascii="Times New Roman" w:hAnsi="Times New Roman"/>
          <w:b w:val="0"/>
          <w:i w:val="0"/>
          <w:sz w:val="24"/>
        </w:rPr>
        <w:t>Compared to web-based ADMET services — SwissADME</w:t>
      </w:r>
      <w:r>
        <w:rPr>
          <w:rFonts w:ascii="Times New Roman" w:hAnsi="Times New Roman"/>
          <w:b w:val="0"/>
          <w:i w:val="0"/>
          <w:sz w:val="16"/>
          <w:vertAlign w:val="superscript"/>
        </w:rPr>
        <w:t>4</w:t>
      </w:r>
      <w:r>
        <w:rPr>
          <w:rFonts w:ascii="Times New Roman" w:hAnsi="Times New Roman"/>
          <w:b w:val="0"/>
          <w:i w:val="0"/>
          <w:sz w:val="24"/>
        </w:rPr>
        <w:t>, pkCSM</w:t>
      </w:r>
      <w:r>
        <w:rPr>
          <w:rFonts w:ascii="Times New Roman" w:hAnsi="Times New Roman"/>
          <w:b w:val="0"/>
          <w:i w:val="0"/>
          <w:sz w:val="16"/>
          <w:vertAlign w:val="superscript"/>
        </w:rPr>
        <w:t>5</w:t>
      </w:r>
      <w:r>
        <w:rPr>
          <w:rFonts w:ascii="Times New Roman" w:hAnsi="Times New Roman"/>
          <w:b w:val="0"/>
          <w:i w:val="0"/>
          <w:sz w:val="24"/>
        </w:rPr>
        <w:t>, ADMETlab 3.0</w:t>
      </w:r>
      <w:r>
        <w:rPr>
          <w:rFonts w:ascii="Times New Roman" w:hAnsi="Times New Roman"/>
          <w:b w:val="0"/>
          <w:i w:val="0"/>
          <w:sz w:val="16"/>
          <w:vertAlign w:val="superscript"/>
        </w:rPr>
        <w:t>6</w:t>
      </w:r>
      <w:r>
        <w:rPr>
          <w:rFonts w:ascii="Times New Roman" w:hAnsi="Times New Roman"/>
          <w:b w:val="0"/>
          <w:i w:val="0"/>
          <w:sz w:val="24"/>
        </w:rPr>
        <w:t xml:space="preserve"> — SMILESRender's key differentiators are: (i) full offline capability through locally embedded ML models; (ii) cross-tool ADMET aggregation within a single session; (iii) automated interpretation translating numerical outputs into narratives; and (iv) open-source MIT licence with Docker reproducibility. These platforms do not overlap in purpose: SwissADME and ADMETlab provide deeper single-tool ADMET models, while SMILESRender integrates multiple sources and provides the workflow scaffolding around them.</w:t>
      </w:r>
    </w:p>
    <w:p>
      <w:pPr>
        <w:spacing w:before="0" w:after="120"/>
        <w:jc w:val="both"/>
      </w:pPr>
      <w:r>
        <w:rPr>
          <w:rFonts w:ascii="Times New Roman" w:hAnsi="Times New Roman"/>
          <w:b/>
          <w:i w:val="0"/>
          <w:sz w:val="24"/>
        </w:rPr>
        <w:t>Limitations.</w:t>
      </w:r>
      <w:r>
        <w:rPr>
          <w:rFonts w:ascii="Times New Roman" w:hAnsi="Times New Roman"/>
          <w:b w:val="0"/>
          <w:i w:val="0"/>
          <w:sz w:val="24"/>
        </w:rPr>
        <w:t xml:space="preserve"> The BBB and Tox21 embedded models have been validated on stratified random hold-out partitions; scaffold-disjoint evaluation — the more rigorous benchmark for generalisation to structurally novel chemotypes</w:t>
      </w:r>
      <w:r>
        <w:rPr>
          <w:rFonts w:ascii="Times New Roman" w:hAnsi="Times New Roman"/>
          <w:b w:val="0"/>
          <w:i w:val="0"/>
          <w:sz w:val="16"/>
          <w:vertAlign w:val="superscript"/>
        </w:rPr>
        <w:t>24</w:t>
      </w:r>
      <w:r>
        <w:rPr>
          <w:rFonts w:ascii="Times New Roman" w:hAnsi="Times New Roman"/>
          <w:b w:val="0"/>
          <w:i w:val="0"/>
          <w:sz w:val="24"/>
        </w:rPr>
        <w:t xml:space="preserve"> — is in preparation. ESOL solubility estimates carry ±1 log-unit uncertainty and should be treated as first-pass screens. Predicted hERG and DILI probabilities from Chemprop are relative discriminative scores and have not been calibrated against clinical outcome registries; they should not be used as standalone regulatory evidence. The timing comparison with manual workflows reflects a single experienced analyst; results will vary by user expertise and external service response times.</w:t>
      </w:r>
    </w:p>
    <w:p>
      <w:pPr>
        <w:spacing w:before="0" w:after="120"/>
        <w:jc w:val="both"/>
      </w:pPr>
      <w:r>
        <w:rPr>
          <w:rFonts w:ascii="Times New Roman" w:hAnsi="Times New Roman"/>
          <w:b/>
          <w:i w:val="0"/>
          <w:sz w:val="24"/>
        </w:rPr>
        <w:t>Future developments.</w:t>
      </w:r>
      <w:r>
        <w:rPr>
          <w:rFonts w:ascii="Times New Roman" w:hAnsi="Times New Roman"/>
          <w:b w:val="0"/>
          <w:i w:val="0"/>
          <w:sz w:val="24"/>
        </w:rPr>
        <w:t xml:space="preserve"> Planned extensions include: a 3D conformer generation endpoint (RDKit ETKDG</w:t>
      </w:r>
      <w:r>
        <w:rPr>
          <w:rFonts w:ascii="Times New Roman" w:hAnsi="Times New Roman"/>
          <w:b w:val="0"/>
          <w:i w:val="0"/>
          <w:sz w:val="16"/>
          <w:vertAlign w:val="superscript"/>
        </w:rPr>
        <w:t>25</w:t>
      </w:r>
      <w:r>
        <w:rPr>
          <w:rFonts w:ascii="Times New Roman" w:hAnsi="Times New Roman"/>
          <w:b w:val="0"/>
          <w:i w:val="0"/>
          <w:sz w:val="24"/>
        </w:rPr>
        <w:t>) feeding into a protein–ligand docking interface (AutoDock Vina</w:t>
      </w:r>
      <w:r>
        <w:rPr>
          <w:rFonts w:ascii="Times New Roman" w:hAnsi="Times New Roman"/>
          <w:b w:val="0"/>
          <w:i w:val="0"/>
          <w:sz w:val="16"/>
          <w:vertAlign w:val="superscript"/>
        </w:rPr>
        <w:t>26</w:t>
      </w:r>
      <w:r>
        <w:rPr>
          <w:rFonts w:ascii="Times New Roman" w:hAnsi="Times New Roman"/>
          <w:b w:val="0"/>
          <w:i w:val="0"/>
          <w:sz w:val="24"/>
        </w:rPr>
        <w:t xml:space="preserve"> + 3Dmol.js browser visualisation) benchmarked on CASF-2016 re-docking tasks</w:t>
      </w:r>
      <w:r>
        <w:rPr>
          <w:rFonts w:ascii="Times New Roman" w:hAnsi="Times New Roman"/>
          <w:b w:val="0"/>
          <w:i w:val="0"/>
          <w:sz w:val="16"/>
          <w:vertAlign w:val="superscript"/>
        </w:rPr>
        <w:t>27</w:t>
      </w:r>
      <w:r>
        <w:rPr>
          <w:rFonts w:ascii="Times New Roman" w:hAnsi="Times New Roman"/>
          <w:b w:val="0"/>
          <w:i w:val="0"/>
          <w:sz w:val="24"/>
        </w:rPr>
        <w:t>; scaffold-disjoint BBB validation with bootstrap confidence intervals; consensus Tox21 modelling combining the RF with Chemprop multi-task predictions; and integration of the OPERA solubility model</w:t>
      </w:r>
      <w:r>
        <w:rPr>
          <w:rFonts w:ascii="Times New Roman" w:hAnsi="Times New Roman"/>
          <w:b w:val="0"/>
          <w:i w:val="0"/>
          <w:sz w:val="16"/>
          <w:vertAlign w:val="superscript"/>
        </w:rPr>
        <w:t>23</w:t>
      </w:r>
      <w:r>
        <w:rPr>
          <w:rFonts w:ascii="Times New Roman" w:hAnsi="Times New Roman"/>
          <w:b w:val="0"/>
          <w:i w:val="0"/>
          <w:sz w:val="24"/>
        </w:rPr>
        <w:t xml:space="preserve"> as a higher-accuracy ESOL alternative.</w:t>
      </w:r>
    </w:p>
    <w:p>
      <w:r>
        <w:t>────────────────────────────────────────────────────────────────────────────────</w:t>
      </w:r>
    </w:p>
    <w:p>
      <w:pPr>
        <w:spacing w:before="240" w:after="80"/>
        <w:jc w:val="left"/>
      </w:pPr>
      <w:r>
        <w:rPr>
          <w:rFonts w:ascii="Times New Roman" w:hAnsi="Times New Roman"/>
          <w:b/>
          <w:i w:val="0"/>
          <w:sz w:val="28"/>
        </w:rPr>
        <w:t>Methods</w:t>
      </w:r>
    </w:p>
    <w:p>
      <w:pPr>
        <w:spacing w:before="240" w:after="80"/>
        <w:jc w:val="left"/>
      </w:pPr>
      <w:r>
        <w:rPr>
          <w:rFonts w:ascii="Times New Roman" w:hAnsi="Times New Roman"/>
          <w:b/>
          <w:i w:val="0"/>
          <w:sz w:val="24"/>
        </w:rPr>
        <w:t>System Implementation</w:t>
      </w:r>
    </w:p>
    <w:p>
      <w:pPr>
        <w:spacing w:before="0" w:after="120"/>
        <w:jc w:val="both"/>
      </w:pPr>
      <w:r>
        <w:rPr>
          <w:rFonts w:ascii="Times New Roman" w:hAnsi="Times New Roman"/>
          <w:b w:val="0"/>
          <w:i w:val="0"/>
          <w:sz w:val="24"/>
        </w:rPr>
        <w:t>The backend is implemented in Python 3.12 using Flask 3.0.3 (REST API) served by Waitress 3.0.1 (multi-threaded WSGI). The frontend is implemented in TypeScript with React 19 and compiled with Bun 1.1. All ML model bundles (.pkl) are loaded at server startup using Python's standard pickle module. A threading semaphore (threading.Semaphore(1)) limits concurrent heavy ML inference to prevent resource exhaustion. Docker Compose v3.8 orchestrates three services: the web server, Redis 7.4, and Celery 5.4. The full repository, including training scripts and Dockerfiles, is available at https://github.com/rubithedev/smiles-render-web.</w:t>
      </w:r>
    </w:p>
    <w:p>
      <w:pPr>
        <w:spacing w:before="240" w:after="80"/>
        <w:jc w:val="left"/>
      </w:pPr>
      <w:r>
        <w:rPr>
          <w:rFonts w:ascii="Times New Roman" w:hAnsi="Times New Roman"/>
          <w:b/>
          <w:i w:val="0"/>
          <w:sz w:val="24"/>
        </w:rPr>
        <w:t>Data Curation</w:t>
      </w:r>
    </w:p>
    <w:p>
      <w:pPr>
        <w:spacing w:before="0" w:after="120"/>
        <w:jc w:val="both"/>
      </w:pPr>
      <w:r>
        <w:rPr>
          <w:rFonts w:ascii="Times New Roman" w:hAnsi="Times New Roman"/>
          <w:b/>
          <w:i w:val="0"/>
          <w:sz w:val="24"/>
        </w:rPr>
        <w:t>B3DB (BBB model):</w:t>
      </w:r>
      <w:r>
        <w:rPr>
          <w:rFonts w:ascii="Times New Roman" w:hAnsi="Times New Roman"/>
          <w:b w:val="0"/>
          <w:i w:val="0"/>
          <w:sz w:val="24"/>
        </w:rPr>
        <w:t xml:space="preserve"> The raw B3DB classification dataset</w:t>
      </w:r>
      <w:r>
        <w:rPr>
          <w:rFonts w:ascii="Times New Roman" w:hAnsi="Times New Roman"/>
          <w:b w:val="0"/>
          <w:i w:val="0"/>
          <w:sz w:val="16"/>
          <w:vertAlign w:val="superscript"/>
        </w:rPr>
        <w:t>28</w:t>
      </w:r>
      <w:r>
        <w:rPr>
          <w:rFonts w:ascii="Times New Roman" w:hAnsi="Times New Roman"/>
          <w:b w:val="0"/>
          <w:i w:val="0"/>
          <w:sz w:val="24"/>
        </w:rPr>
        <w:t xml:space="preserve"> (n = 7,807) was curated as follows: invalid SMILES removed (n = 2); canonical SMILES generated via RDKit; salts and fragments stripped using RDKit SaltRemover (n = 38 modified); MW &gt; 900 Da entries removed (n = 4); exact duplicates with conflicting BBB labels discarded (n = 16 pairs); concordant duplicates deduplicated (n = 102, one representative retained). Final curated dataset: n = 7,643 (BBB+: 4,871; BBB−: 2,772).</w:t>
      </w:r>
    </w:p>
    <w:p>
      <w:pPr>
        <w:spacing w:before="0" w:after="120"/>
        <w:jc w:val="both"/>
      </w:pPr>
      <w:r>
        <w:rPr>
          <w:rFonts w:ascii="Times New Roman" w:hAnsi="Times New Roman"/>
          <w:b/>
          <w:i w:val="0"/>
          <w:sz w:val="24"/>
        </w:rPr>
        <w:t>Tox21 10K:</w:t>
      </w:r>
      <w:r>
        <w:rPr>
          <w:rFonts w:ascii="Times New Roman" w:hAnsi="Times New Roman"/>
          <w:b w:val="0"/>
          <w:i w:val="0"/>
          <w:sz w:val="24"/>
        </w:rPr>
        <w:t xml:space="preserve"> Salt stripping and SMILES canonicalisation applied; compound-level duplicates with conflicting per-endpoint labels discarded (n = 44 pairs). Final dataset: n = 7,878 (per-endpoint available labels: 5,792–6,838).</w:t>
      </w:r>
    </w:p>
    <w:p>
      <w:pPr>
        <w:spacing w:before="240" w:after="80"/>
        <w:jc w:val="left"/>
      </w:pPr>
      <w:r>
        <w:rPr>
          <w:rFonts w:ascii="Times New Roman" w:hAnsi="Times New Roman"/>
          <w:b/>
          <w:i w:val="0"/>
          <w:sz w:val="24"/>
        </w:rPr>
        <w:t>BBB GradientBoosting Model</w:t>
      </w:r>
    </w:p>
    <w:p>
      <w:pPr>
        <w:spacing w:before="0" w:after="120"/>
        <w:jc w:val="both"/>
      </w:pPr>
      <w:r>
        <w:rPr>
          <w:rFonts w:ascii="Times New Roman" w:hAnsi="Times New Roman"/>
          <w:b/>
          <w:i w:val="0"/>
          <w:sz w:val="24"/>
        </w:rPr>
        <w:t>Input features:</w:t>
      </w:r>
      <w:r>
        <w:rPr>
          <w:rFonts w:ascii="Times New Roman" w:hAnsi="Times New Roman"/>
          <w:b w:val="0"/>
          <w:i w:val="0"/>
          <w:sz w:val="24"/>
        </w:rPr>
        <w:t xml:space="preserve"> Morgan ECFP4 fingerprint (radius = 2, 2,048 bits, RDKit GetMorganFingerprintAsBitVect) concatenated with nine pharmacokinetic descriptors (MW, cLogP, TPSA, HBD, HBA, RotB, AromaticRings, RingCount, HeavyAtomCount), yielding 2,057 features. </w:t>
      </w:r>
      <w:r>
        <w:rPr>
          <w:rFonts w:ascii="Times New Roman" w:hAnsi="Times New Roman"/>
          <w:b/>
          <w:i w:val="0"/>
          <w:sz w:val="24"/>
        </w:rPr>
        <w:t>Algorithm:</w:t>
      </w:r>
      <w:r>
        <w:rPr>
          <w:rFonts w:ascii="Times New Roman" w:hAnsi="Times New Roman"/>
          <w:b w:val="0"/>
          <w:i w:val="0"/>
          <w:sz w:val="24"/>
        </w:rPr>
        <w:t xml:space="preserve"> sklearn.ensemble.GradientBoostingClassifier (n_estimators = 300, max_depth = 5, learning_rate = 0.05, subsample = 0.8, random_state = 42). </w:t>
      </w:r>
      <w:r>
        <w:rPr>
          <w:rFonts w:ascii="Times New Roman" w:hAnsi="Times New Roman"/>
          <w:b/>
          <w:i w:val="0"/>
          <w:sz w:val="24"/>
        </w:rPr>
        <w:t>Validation:</w:t>
      </w:r>
      <w:r>
        <w:rPr>
          <w:rFonts w:ascii="Times New Roman" w:hAnsi="Times New Roman"/>
          <w:b w:val="0"/>
          <w:i w:val="0"/>
          <w:sz w:val="24"/>
        </w:rPr>
        <w:t xml:space="preserve"> stratified random hold-out (15%, n = 1,147); 5-fold stratified CV (AUC = 0.91 ± 0.02). AUC-ROC = 0.92, 95% bootstrap CI [0.90, 0.94] (1,000 iterations). Scaffold-disjoint evaluation in preparation. </w:t>
      </w:r>
      <w:r>
        <w:rPr>
          <w:rFonts w:ascii="Times New Roman" w:hAnsi="Times New Roman"/>
          <w:b/>
          <w:i w:val="0"/>
          <w:sz w:val="24"/>
        </w:rPr>
        <w:t>Applicability domain:</w:t>
      </w:r>
      <w:r>
        <w:rPr>
          <w:rFonts w:ascii="Times New Roman" w:hAnsi="Times New Roman"/>
          <w:b w:val="0"/>
          <w:i w:val="0"/>
          <w:sz w:val="24"/>
        </w:rPr>
        <w:t xml:space="preserve"> maximum Tanimoto similarity to training set via DataStructs.BulkTanimotoSimilarity; threshold 0.30 (OPERA framework</w:t>
      </w:r>
      <w:r>
        <w:rPr>
          <w:rFonts w:ascii="Times New Roman" w:hAnsi="Times New Roman"/>
          <w:b w:val="0"/>
          <w:i w:val="0"/>
          <w:sz w:val="16"/>
          <w:vertAlign w:val="superscript"/>
        </w:rPr>
        <w:t>18</w:t>
      </w:r>
      <w:r>
        <w:rPr>
          <w:rFonts w:ascii="Times New Roman" w:hAnsi="Times New Roman"/>
          <w:b w:val="0"/>
          <w:i w:val="0"/>
          <w:sz w:val="24"/>
        </w:rPr>
        <w:t>); coverage at threshold: 94.1% of hold-out.</w:t>
      </w:r>
    </w:p>
    <w:p>
      <w:pPr>
        <w:spacing w:before="240" w:after="80"/>
        <w:jc w:val="left"/>
      </w:pPr>
      <w:r>
        <w:rPr>
          <w:rFonts w:ascii="Times New Roman" w:hAnsi="Times New Roman"/>
          <w:b/>
          <w:i w:val="0"/>
          <w:sz w:val="24"/>
        </w:rPr>
        <w:t>Tox21 Multi-Output Random Forest</w:t>
      </w:r>
    </w:p>
    <w:p>
      <w:pPr>
        <w:spacing w:before="0" w:after="120"/>
        <w:jc w:val="both"/>
      </w:pPr>
      <w:r>
        <w:rPr>
          <w:rFonts w:ascii="Times New Roman" w:hAnsi="Times New Roman"/>
          <w:b/>
          <w:i w:val="0"/>
          <w:sz w:val="24"/>
        </w:rPr>
        <w:t>Input:</w:t>
      </w:r>
      <w:r>
        <w:rPr>
          <w:rFonts w:ascii="Times New Roman" w:hAnsi="Times New Roman"/>
          <w:b w:val="0"/>
          <w:i w:val="0"/>
          <w:sz w:val="24"/>
        </w:rPr>
        <w:t xml:space="preserve"> Morgan ECFP4 (radius = 2, 1,024 bits). </w:t>
      </w:r>
      <w:r>
        <w:rPr>
          <w:rFonts w:ascii="Times New Roman" w:hAnsi="Times New Roman"/>
          <w:b/>
          <w:i w:val="0"/>
          <w:sz w:val="24"/>
        </w:rPr>
        <w:t>Algorithm:</w:t>
      </w:r>
      <w:r>
        <w:rPr>
          <w:rFonts w:ascii="Times New Roman" w:hAnsi="Times New Roman"/>
          <w:b w:val="0"/>
          <w:i w:val="0"/>
          <w:sz w:val="24"/>
        </w:rPr>
        <w:t xml:space="preserve"> sklearn.ensemble.RandomForestClassifier with MultiOutputClassifier wrapper (n_estimators = 100, max_depth = 15, class_weight = 'balanced', random_state = 42). </w:t>
      </w:r>
      <w:r>
        <w:rPr>
          <w:rFonts w:ascii="Times New Roman" w:hAnsi="Times New Roman"/>
          <w:b/>
          <w:i w:val="0"/>
          <w:sz w:val="24"/>
        </w:rPr>
        <w:t>Validation:</w:t>
      </w:r>
      <w:r>
        <w:rPr>
          <w:rFonts w:ascii="Times New Roman" w:hAnsi="Times New Roman"/>
          <w:b w:val="0"/>
          <w:i w:val="0"/>
          <w:sz w:val="24"/>
        </w:rPr>
        <w:t xml:space="preserve"> 5-fold stratified CV; mean AUC-ROC = 0.81 ± 0.04 across 12 endpoints (range 0.72–0.89).</w:t>
      </w:r>
    </w:p>
    <w:p>
      <w:pPr>
        <w:spacing w:before="240" w:after="80"/>
        <w:jc w:val="left"/>
      </w:pPr>
      <w:r>
        <w:rPr>
          <w:rFonts w:ascii="Times New Roman" w:hAnsi="Times New Roman"/>
          <w:b/>
          <w:i w:val="0"/>
          <w:sz w:val="24"/>
        </w:rPr>
        <w:t>Deep ADMET (admet_ai / Chemprop D-MPNN)</w:t>
      </w:r>
    </w:p>
    <w:p>
      <w:pPr>
        <w:spacing w:before="0" w:after="120"/>
        <w:jc w:val="both"/>
      </w:pPr>
      <w:r>
        <w:rPr>
          <w:rFonts w:ascii="Times New Roman" w:hAnsi="Times New Roman"/>
          <w:b w:val="0"/>
          <w:i w:val="0"/>
          <w:sz w:val="24"/>
        </w:rPr>
        <w:t>SMILESRender integrates admet_ai ≥ 1.0</w:t>
      </w:r>
      <w:r>
        <w:rPr>
          <w:rFonts w:ascii="Times New Roman" w:hAnsi="Times New Roman"/>
          <w:b w:val="0"/>
          <w:i w:val="0"/>
          <w:sz w:val="16"/>
          <w:vertAlign w:val="superscript"/>
        </w:rPr>
        <w:t>7</w:t>
      </w:r>
      <w:r>
        <w:rPr>
          <w:rFonts w:ascii="Times New Roman" w:hAnsi="Times New Roman"/>
          <w:b w:val="0"/>
          <w:i w:val="0"/>
          <w:sz w:val="24"/>
        </w:rPr>
        <w:t xml:space="preserve"> using pre-trained Chemprop Directed Message Passing Neural Network weights</w:t>
      </w:r>
      <w:r>
        <w:rPr>
          <w:rFonts w:ascii="Times New Roman" w:hAnsi="Times New Roman"/>
          <w:b w:val="0"/>
          <w:i w:val="0"/>
          <w:sz w:val="16"/>
          <w:vertAlign w:val="superscript"/>
        </w:rPr>
        <w:t>8</w:t>
      </w:r>
      <w:r>
        <w:rPr>
          <w:rFonts w:ascii="Times New Roman" w:hAnsi="Times New Roman"/>
          <w:b w:val="0"/>
          <w:i w:val="0"/>
          <w:sz w:val="24"/>
        </w:rPr>
        <w:t xml:space="preserve"> trained on TDC benchmark datasets. No model retraining or fine-tuning is performed. Performance is as reported by Swanson et al.</w:t>
      </w:r>
      <w:r>
        <w:rPr>
          <w:rFonts w:ascii="Times New Roman" w:hAnsi="Times New Roman"/>
          <w:b w:val="0"/>
          <w:i w:val="0"/>
          <w:sz w:val="16"/>
          <w:vertAlign w:val="superscript"/>
        </w:rPr>
        <w:t>7</w:t>
      </w:r>
      <w:r>
        <w:rPr>
          <w:rFonts w:ascii="Times New Roman" w:hAnsi="Times New Roman"/>
          <w:b w:val="0"/>
          <w:i w:val="0"/>
          <w:sz w:val="24"/>
        </w:rPr>
        <w:t>: median AUC-ROC = 0.894 (28 classification tasks), mean RMSE = 0.47 (25 regression tasks). Mean inference: 280 ± 30 ms per compound on a 4-core Intel i7 CPU without GPU acceleration.</w:t>
      </w:r>
    </w:p>
    <w:p>
      <w:pPr>
        <w:spacing w:before="240" w:after="80"/>
        <w:jc w:val="left"/>
      </w:pPr>
      <w:r>
        <w:rPr>
          <w:rFonts w:ascii="Times New Roman" w:hAnsi="Times New Roman"/>
          <w:b/>
          <w:i w:val="0"/>
          <w:sz w:val="24"/>
        </w:rPr>
        <w:t>ESOL Solubility</w:t>
      </w:r>
    </w:p>
    <w:p>
      <w:pPr>
        <w:spacing w:before="0" w:after="120"/>
        <w:jc w:val="both"/>
      </w:pPr>
      <w:r>
        <w:rPr>
          <w:rFonts w:ascii="Times New Roman" w:hAnsi="Times New Roman"/>
          <w:b w:val="0"/>
          <w:i w:val="0"/>
          <w:sz w:val="24"/>
        </w:rPr>
        <w:t>Implemented as a local function applying the Delaney equation</w:t>
      </w:r>
      <w:r>
        <w:rPr>
          <w:rFonts w:ascii="Times New Roman" w:hAnsi="Times New Roman"/>
          <w:b w:val="0"/>
          <w:i w:val="0"/>
          <w:sz w:val="16"/>
          <w:vertAlign w:val="superscript"/>
        </w:rPr>
        <w:t>22</w:t>
      </w:r>
      <w:r>
        <w:rPr>
          <w:rFonts w:ascii="Times New Roman" w:hAnsi="Times New Roman"/>
          <w:b w:val="0"/>
          <w:i w:val="0"/>
          <w:sz w:val="24"/>
        </w:rPr>
        <w:t>: log S = 0.16 − 0.63·cLogP − 0.0062·MW + 0.066·RotB − 0.74·AP. cLogP computed via RDKit Descriptors.MolLogP; AP (aromatic proportion) = aromatic heavy atoms / total heavy atoms.</w:t>
      </w:r>
    </w:p>
    <w:p>
      <w:pPr>
        <w:spacing w:before="240" w:after="80"/>
        <w:jc w:val="left"/>
      </w:pPr>
      <w:r>
        <w:rPr>
          <w:rFonts w:ascii="Times New Roman" w:hAnsi="Times New Roman"/>
          <w:b/>
          <w:i w:val="0"/>
          <w:sz w:val="24"/>
        </w:rPr>
        <w:t>Structural Alert Screening</w:t>
      </w:r>
    </w:p>
    <w:p>
      <w:pPr>
        <w:spacing w:before="0" w:after="120"/>
        <w:jc w:val="both"/>
      </w:pPr>
      <w:r>
        <w:rPr>
          <w:rFonts w:ascii="Times New Roman" w:hAnsi="Times New Roman"/>
          <w:b w:val="0"/>
          <w:i w:val="0"/>
          <w:sz w:val="24"/>
        </w:rPr>
        <w:t>PAINS (A, B, C subtypes), BRENK, and NIH structural alert catalogs are screened using RDKit's FilterCatalog with FilterCatalogParams.FilterCatalogs.PAINS, BRENK, and NIH respectively. Any match triggers a moderate-severity flag in the interpretation engine.</w:t>
      </w:r>
    </w:p>
    <w:p>
      <w:pPr>
        <w:spacing w:before="240" w:after="80"/>
        <w:jc w:val="left"/>
      </w:pPr>
      <w:r>
        <w:rPr>
          <w:rFonts w:ascii="Times New Roman" w:hAnsi="Times New Roman"/>
          <w:b/>
          <w:i w:val="0"/>
          <w:sz w:val="24"/>
        </w:rPr>
        <w:t>Automated Interpretation Engine</w:t>
      </w:r>
    </w:p>
    <w:p>
      <w:pPr>
        <w:spacing w:before="0" w:after="120"/>
        <w:jc w:val="both"/>
      </w:pPr>
      <w:r>
        <w:rPr>
          <w:rFonts w:ascii="Times New Roman" w:hAnsi="Times New Roman"/>
          <w:b w:val="0"/>
          <w:i w:val="0"/>
          <w:sz w:val="24"/>
        </w:rPr>
        <w:t>The interpretation engine (admet_interpreter.py) implements a priority-ordered rule evaluation against aggregated tool outputs. Rules are hard-coded to established regulatory thresholds (see Results, Table 1 notes). The narrative generator uses Python f-string templates that embed compound-specific values, predicted classes, and threshold references into natural-language sentences. All narratives conclude with a standardised disclaimer: "Predicted probabilities are relative ML scores; clinical confirmation required."</w:t>
      </w:r>
    </w:p>
    <w:p>
      <w:r>
        <w:t>────────────────────────────────────────────────────────────────────────────────</w:t>
      </w:r>
    </w:p>
    <w:p>
      <w:pPr>
        <w:spacing w:before="240" w:after="80"/>
        <w:jc w:val="left"/>
      </w:pPr>
      <w:r>
        <w:rPr>
          <w:rFonts w:ascii="Times New Roman" w:hAnsi="Times New Roman"/>
          <w:b/>
          <w:i w:val="0"/>
          <w:sz w:val="28"/>
        </w:rPr>
        <w:t>Data Availability</w:t>
      </w:r>
    </w:p>
    <w:p>
      <w:pPr>
        <w:spacing w:before="0" w:after="120"/>
        <w:jc w:val="both"/>
      </w:pPr>
      <w:r>
        <w:rPr>
          <w:rFonts w:ascii="Times New Roman" w:hAnsi="Times New Roman"/>
          <w:b w:val="0"/>
          <w:i w:val="0"/>
          <w:sz w:val="24"/>
        </w:rPr>
        <w:t>The full source code, Docker Compose configuration, ML model training scripts, and .pkl model bundles are available at https://github.com/rubithedev/smiles-render-web (MIT licence). The B3DB dataset used for BBB model training is available from Meng et al.</w:t>
      </w:r>
      <w:r>
        <w:rPr>
          <w:rFonts w:ascii="Times New Roman" w:hAnsi="Times New Roman"/>
          <w:b w:val="0"/>
          <w:i w:val="0"/>
          <w:sz w:val="16"/>
          <w:vertAlign w:val="superscript"/>
        </w:rPr>
        <w:t>28</w:t>
      </w:r>
      <w:r>
        <w:rPr>
          <w:rFonts w:ascii="Times New Roman" w:hAnsi="Times New Roman"/>
          <w:b w:val="0"/>
          <w:i w:val="0"/>
          <w:sz w:val="24"/>
        </w:rPr>
        <w:t>. The Tox21 10K dataset is available from the NIH National Center for Advancing Translational Sciences (https://tripod.nih.gov/tox21).</w:t>
      </w:r>
    </w:p>
    <w:p>
      <w:r>
        <w:t>────────────────────────────────────────────────────────────────────────────────</w:t>
      </w:r>
    </w:p>
    <w:p>
      <w:pPr>
        <w:spacing w:before="240" w:after="80"/>
        <w:jc w:val="left"/>
      </w:pPr>
      <w:r>
        <w:rPr>
          <w:rFonts w:ascii="Times New Roman" w:hAnsi="Times New Roman"/>
          <w:b/>
          <w:i w:val="0"/>
          <w:sz w:val="28"/>
        </w:rPr>
        <w:t>References</w:t>
      </w:r>
    </w:p>
    <w:p>
      <w:pPr>
        <w:spacing w:before="0" w:after="60"/>
        <w:jc w:val="left"/>
      </w:pPr>
      <w:r>
        <w:rPr>
          <w:rFonts w:ascii="Times New Roman" w:hAnsi="Times New Roman"/>
          <w:b w:val="0"/>
          <w:i w:val="0"/>
          <w:sz w:val="20"/>
        </w:rPr>
        <w:t>1. Waring MJ, et al. An analysis of the attrition of drug candidates from four major pharmaceutical companies. Nat Rev Drug Discov. 2015;14:475–486.</w:t>
      </w:r>
    </w:p>
    <w:p>
      <w:pPr>
        <w:spacing w:before="0" w:after="60"/>
        <w:jc w:val="left"/>
      </w:pPr>
      <w:r>
        <w:rPr>
          <w:rFonts w:ascii="Times New Roman" w:hAnsi="Times New Roman"/>
          <w:b w:val="0"/>
          <w:i w:val="0"/>
          <w:sz w:val="20"/>
        </w:rPr>
        <w:t>2. Paul SM, et al. How to improve R&amp;D productivity: the pharmaceutical industry's grand challenge. Nat Rev Drug Discov. 2010;9:203–214.</w:t>
      </w:r>
    </w:p>
    <w:p>
      <w:pPr>
        <w:spacing w:before="0" w:after="60"/>
        <w:jc w:val="left"/>
      </w:pPr>
      <w:r>
        <w:rPr>
          <w:rFonts w:ascii="Times New Roman" w:hAnsi="Times New Roman"/>
          <w:b w:val="0"/>
          <w:i w:val="0"/>
          <w:sz w:val="20"/>
        </w:rPr>
        <w:t>3. Muratov EN, et al. QSAR without borders. Chem Soc Rev. 2020;49:3525–3564.</w:t>
      </w:r>
    </w:p>
    <w:p>
      <w:pPr>
        <w:spacing w:before="0" w:after="60"/>
        <w:jc w:val="left"/>
      </w:pPr>
      <w:r>
        <w:rPr>
          <w:rFonts w:ascii="Times New Roman" w:hAnsi="Times New Roman"/>
          <w:b w:val="0"/>
          <w:i w:val="0"/>
          <w:sz w:val="20"/>
        </w:rPr>
        <w:t>4. Daina A, Michielin O, Zoete V. SwissADME: a free web tool to evaluate pharmacokinetics, drug-likeness and medicinal chemistry friendliness of small molecules. Sci Rep. 2017;7:42717.</w:t>
      </w:r>
    </w:p>
    <w:p>
      <w:pPr>
        <w:spacing w:before="0" w:after="60"/>
        <w:jc w:val="left"/>
      </w:pPr>
      <w:r>
        <w:rPr>
          <w:rFonts w:ascii="Times New Roman" w:hAnsi="Times New Roman"/>
          <w:b w:val="0"/>
          <w:i w:val="0"/>
          <w:sz w:val="20"/>
        </w:rPr>
        <w:t>5. Pires DEV, Blundell TL, Ascher DB. pkCSM: predicting small-molecule pharmacokinetic and toxicity properties using graph-based signatures. J Med Chem. 2015;58:4066–4072.</w:t>
      </w:r>
    </w:p>
    <w:p>
      <w:pPr>
        <w:spacing w:before="0" w:after="60"/>
        <w:jc w:val="left"/>
      </w:pPr>
      <w:r>
        <w:rPr>
          <w:rFonts w:ascii="Times New Roman" w:hAnsi="Times New Roman"/>
          <w:b w:val="0"/>
          <w:i w:val="0"/>
          <w:sz w:val="20"/>
        </w:rPr>
        <w:t>6. Gui C, et al. ADMETlab 3.0: an updated comprehensive online ADMET prediction tool. Nucleic Acids Res. 2024;52:W197–W204.</w:t>
      </w:r>
    </w:p>
    <w:p>
      <w:pPr>
        <w:spacing w:before="0" w:after="60"/>
        <w:jc w:val="left"/>
      </w:pPr>
      <w:r>
        <w:rPr>
          <w:rFonts w:ascii="Times New Roman" w:hAnsi="Times New Roman"/>
          <w:b w:val="0"/>
          <w:i w:val="0"/>
          <w:sz w:val="20"/>
        </w:rPr>
        <w:t>7. Swanson K, et al. ADMET-AI: a machine learning ADMET platform for evaluation of large-scale chemical libraries. Bioinformatics. 2024;40:btae416.</w:t>
      </w:r>
    </w:p>
    <w:p>
      <w:pPr>
        <w:spacing w:before="0" w:after="60"/>
        <w:jc w:val="left"/>
      </w:pPr>
      <w:r>
        <w:rPr>
          <w:rFonts w:ascii="Times New Roman" w:hAnsi="Times New Roman"/>
          <w:b w:val="0"/>
          <w:i w:val="0"/>
          <w:sz w:val="20"/>
        </w:rPr>
        <w:t>8. Yang K, et al. Analyzing learned molecular representations for property prediction. J Chem Inf Model. 2019;59:3370–3388.</w:t>
      </w:r>
    </w:p>
    <w:p>
      <w:pPr>
        <w:spacing w:before="0" w:after="60"/>
        <w:jc w:val="left"/>
      </w:pPr>
      <w:r>
        <w:rPr>
          <w:rFonts w:ascii="Times New Roman" w:hAnsi="Times New Roman"/>
          <w:b w:val="0"/>
          <w:i w:val="0"/>
          <w:sz w:val="20"/>
        </w:rPr>
        <w:t>9. Berthold MR, et al. KNIME — the Konstanz information miner. ACM SIGKDD Explor Newsl. 2009;11:26–31.</w:t>
      </w:r>
    </w:p>
    <w:p>
      <w:pPr>
        <w:spacing w:before="0" w:after="60"/>
        <w:jc w:val="left"/>
      </w:pPr>
      <w:r>
        <w:rPr>
          <w:rFonts w:ascii="Times New Roman" w:hAnsi="Times New Roman"/>
          <w:b w:val="0"/>
          <w:i w:val="0"/>
          <w:sz w:val="20"/>
        </w:rPr>
        <w:t>10. Afgan E, et al. The Galaxy platform for accessible, reproducible and collaborative biomedical analyses: 2018 update. Nucleic Acids Res. 2018;46:W537–W544.</w:t>
      </w:r>
    </w:p>
    <w:p>
      <w:pPr>
        <w:spacing w:before="0" w:after="60"/>
        <w:jc w:val="left"/>
      </w:pPr>
      <w:r>
        <w:rPr>
          <w:rFonts w:ascii="Times New Roman" w:hAnsi="Times New Roman"/>
          <w:b w:val="0"/>
          <w:i w:val="0"/>
          <w:sz w:val="20"/>
        </w:rPr>
        <w:t>11. Borrel A, et al. StopTox: an in silico alternative to animal acute systemic toxicity tests. Environ Health Perspect. 2022;130:027014.</w:t>
      </w:r>
    </w:p>
    <w:p>
      <w:pPr>
        <w:spacing w:before="0" w:after="60"/>
        <w:jc w:val="left"/>
      </w:pPr>
      <w:r>
        <w:rPr>
          <w:rFonts w:ascii="Times New Roman" w:hAnsi="Times New Roman"/>
          <w:b w:val="0"/>
          <w:i w:val="0"/>
          <w:sz w:val="20"/>
        </w:rPr>
        <w:t>12. Borrel A, et al. High-throughput screening to predict chemical-assay interference. Sci Rep. 2020;10:3986.</w:t>
      </w:r>
    </w:p>
    <w:p>
      <w:pPr>
        <w:spacing w:before="0" w:after="60"/>
        <w:jc w:val="left"/>
      </w:pPr>
      <w:r>
        <w:rPr>
          <w:rFonts w:ascii="Times New Roman" w:hAnsi="Times New Roman"/>
          <w:b w:val="0"/>
          <w:i w:val="0"/>
          <w:sz w:val="20"/>
        </w:rPr>
        <w:t>13. Banerjee P, Dehnbostel FO, Preissner R. ProTox-3.0: a webserver for the prediction of toxicity of chemicals. Nucleic Acids Res. 2024;52:W513–W520.</w:t>
      </w:r>
    </w:p>
    <w:p>
      <w:pPr>
        <w:spacing w:before="0" w:after="60"/>
        <w:jc w:val="left"/>
      </w:pPr>
      <w:r>
        <w:rPr>
          <w:rFonts w:ascii="Times New Roman" w:hAnsi="Times New Roman"/>
          <w:b w:val="0"/>
          <w:i w:val="0"/>
          <w:sz w:val="20"/>
        </w:rPr>
        <w:t>14. Ertl P, Bienfait B. JSME: a free molecule editor in JavaScript. J Cheminform. 2013;5:24.</w:t>
      </w:r>
    </w:p>
    <w:p>
      <w:pPr>
        <w:spacing w:before="0" w:after="60"/>
        <w:jc w:val="left"/>
      </w:pPr>
      <w:r>
        <w:rPr>
          <w:rFonts w:ascii="Times New Roman" w:hAnsi="Times New Roman"/>
          <w:b w:val="0"/>
          <w:i w:val="0"/>
          <w:sz w:val="20"/>
        </w:rPr>
        <w:t>15. Veber DF, et al. Molecular properties that influence the oral bioavailability of drug candidates. J Med Chem. 2002;45:2615–2623.</w:t>
      </w:r>
    </w:p>
    <w:p>
      <w:pPr>
        <w:spacing w:before="0" w:after="60"/>
        <w:jc w:val="left"/>
      </w:pPr>
      <w:r>
        <w:rPr>
          <w:rFonts w:ascii="Times New Roman" w:hAnsi="Times New Roman"/>
          <w:b w:val="0"/>
          <w:i w:val="0"/>
          <w:sz w:val="20"/>
        </w:rPr>
        <w:t>16. Lipinski CA, et al. Experimental and computational approaches to estimate solubility and permeability in drug discovery. Adv Drug Deliv Rev. 2001;46:3–26.</w:t>
      </w:r>
    </w:p>
    <w:p>
      <w:pPr>
        <w:spacing w:before="0" w:after="60"/>
        <w:jc w:val="left"/>
      </w:pPr>
      <w:r>
        <w:rPr>
          <w:rFonts w:ascii="Times New Roman" w:hAnsi="Times New Roman"/>
          <w:b w:val="0"/>
          <w:i w:val="0"/>
          <w:sz w:val="20"/>
        </w:rPr>
        <w:t>17. Meng F, et al. A curated diverse molecular database of blood-brain barrier permeability. Sci Data. 2021;8:289.</w:t>
      </w:r>
    </w:p>
    <w:p>
      <w:pPr>
        <w:spacing w:before="0" w:after="60"/>
        <w:jc w:val="left"/>
      </w:pPr>
      <w:r>
        <w:rPr>
          <w:rFonts w:ascii="Times New Roman" w:hAnsi="Times New Roman"/>
          <w:b w:val="0"/>
          <w:i w:val="0"/>
          <w:sz w:val="20"/>
        </w:rPr>
        <w:t>18. Mansouri K, et al. OPERA models for predicting physicochemical properties and environmental fate endpoints. J Cheminform. 2018;10:10.</w:t>
      </w:r>
    </w:p>
    <w:p>
      <w:pPr>
        <w:spacing w:before="0" w:after="60"/>
        <w:jc w:val="left"/>
      </w:pPr>
      <w:r>
        <w:rPr>
          <w:rFonts w:ascii="Times New Roman" w:hAnsi="Times New Roman"/>
          <w:b w:val="0"/>
          <w:i w:val="0"/>
          <w:sz w:val="20"/>
        </w:rPr>
        <w:t>19. Tice RR, et al. Improving the human hazard characterization of chemicals: a Tox21 update. Environ Health Perspect. 2013;121:756–765.</w:t>
      </w:r>
    </w:p>
    <w:p>
      <w:pPr>
        <w:spacing w:before="0" w:after="60"/>
        <w:jc w:val="left"/>
      </w:pPr>
      <w:r>
        <w:rPr>
          <w:rFonts w:ascii="Times New Roman" w:hAnsi="Times New Roman"/>
          <w:b w:val="0"/>
          <w:i w:val="0"/>
          <w:sz w:val="20"/>
        </w:rPr>
        <w:t>20. Baell JB, Holloway GA. New substructure filters for removal of pan assay interference compounds (PAINS). J Med Chem. 2010;53:2719–2740.</w:t>
      </w:r>
    </w:p>
    <w:p>
      <w:pPr>
        <w:spacing w:before="0" w:after="60"/>
        <w:jc w:val="left"/>
      </w:pPr>
      <w:r>
        <w:rPr>
          <w:rFonts w:ascii="Times New Roman" w:hAnsi="Times New Roman"/>
          <w:b w:val="0"/>
          <w:i w:val="0"/>
          <w:sz w:val="20"/>
        </w:rPr>
        <w:t>21. Bickerton GR, et al. Quantifying the chemical beauty of drugs. Nat Chem. 2012;4:90–98.</w:t>
      </w:r>
    </w:p>
    <w:p>
      <w:pPr>
        <w:spacing w:before="0" w:after="60"/>
        <w:jc w:val="left"/>
      </w:pPr>
      <w:r>
        <w:rPr>
          <w:rFonts w:ascii="Times New Roman" w:hAnsi="Times New Roman"/>
          <w:b w:val="0"/>
          <w:i w:val="0"/>
          <w:sz w:val="20"/>
        </w:rPr>
        <w:t>22. Delaney JS. ESOL: estimating aqueous solubility directly from molecular structure. J Chem Inf Comput Sci. 2004;44:1000–1005.</w:t>
      </w:r>
    </w:p>
    <w:p>
      <w:pPr>
        <w:spacing w:before="0" w:after="60"/>
        <w:jc w:val="left"/>
      </w:pPr>
      <w:r>
        <w:rPr>
          <w:rFonts w:ascii="Times New Roman" w:hAnsi="Times New Roman"/>
          <w:b w:val="0"/>
          <w:i w:val="0"/>
          <w:sz w:val="20"/>
        </w:rPr>
        <w:t>23. Mansouri K, et al. OPERA models for predicting physicochemical properties. J Cheminform. 2018;10:10.</w:t>
      </w:r>
    </w:p>
    <w:p>
      <w:pPr>
        <w:spacing w:before="0" w:after="60"/>
        <w:jc w:val="left"/>
      </w:pPr>
      <w:r>
        <w:rPr>
          <w:rFonts w:ascii="Times New Roman" w:hAnsi="Times New Roman"/>
          <w:b w:val="0"/>
          <w:i w:val="0"/>
          <w:sz w:val="20"/>
        </w:rPr>
        <w:t>24. Muratov EN, et al. QSAR without borders. Chem Soc Rev. 2020;49:3525–3564.</w:t>
      </w:r>
    </w:p>
    <w:p>
      <w:pPr>
        <w:spacing w:before="0" w:after="60"/>
        <w:jc w:val="left"/>
      </w:pPr>
      <w:r>
        <w:rPr>
          <w:rFonts w:ascii="Times New Roman" w:hAnsi="Times New Roman"/>
          <w:b w:val="0"/>
          <w:i w:val="0"/>
          <w:sz w:val="20"/>
        </w:rPr>
        <w:t>25. Riniker S, Landrum GA. Better informed distance geometry: using what we know to improve conformation generation. J Chem Inf Model. 2015;55:2562–2574.</w:t>
      </w:r>
    </w:p>
    <w:p>
      <w:pPr>
        <w:spacing w:before="0" w:after="60"/>
        <w:jc w:val="left"/>
      </w:pPr>
      <w:r>
        <w:rPr>
          <w:rFonts w:ascii="Times New Roman" w:hAnsi="Times New Roman"/>
          <w:b w:val="0"/>
          <w:i w:val="0"/>
          <w:sz w:val="20"/>
        </w:rPr>
        <w:t>26. Eberhardt J, et al. AutoDock Vina 1.2.0. J Chem Inf Model. 2021;61:3891–3898.</w:t>
      </w:r>
    </w:p>
    <w:p>
      <w:pPr>
        <w:spacing w:before="0" w:after="60"/>
        <w:jc w:val="left"/>
      </w:pPr>
      <w:r>
        <w:rPr>
          <w:rFonts w:ascii="Times New Roman" w:hAnsi="Times New Roman"/>
          <w:b w:val="0"/>
          <w:i w:val="0"/>
          <w:sz w:val="20"/>
        </w:rPr>
        <w:t>27. Su M, et al. Comparative assessment of scoring functions: the CASF-2016 benchmark. J Chem Inf Model. 2019;59:895–913.</w:t>
      </w:r>
    </w:p>
    <w:p>
      <w:pPr>
        <w:spacing w:before="0" w:after="60"/>
        <w:jc w:val="left"/>
      </w:pPr>
      <w:r>
        <w:rPr>
          <w:rFonts w:ascii="Times New Roman" w:hAnsi="Times New Roman"/>
          <w:b w:val="0"/>
          <w:i w:val="0"/>
          <w:sz w:val="20"/>
        </w:rPr>
        <w:t>28. Meng F, et al. B3DB: a multitasking dataset for blood-brain barrier permeability. Sci Data. 2021;8:289.</w:t>
      </w:r>
    </w:p>
    <w:p>
      <w:pPr>
        <w:spacing w:before="0" w:after="60"/>
        <w:jc w:val="left"/>
      </w:pPr>
      <w:r>
        <w:rPr>
          <w:rFonts w:ascii="Times New Roman" w:hAnsi="Times New Roman"/>
          <w:b w:val="0"/>
          <w:i w:val="0"/>
          <w:sz w:val="20"/>
        </w:rPr>
        <w:t>29. Sander T, et al. DataWarrior: an open-source program for chemistry aware data visualization. J Chem Inf Model. 2015;55:460–473.</w:t>
      </w:r>
    </w:p>
    <w:p>
      <w:pPr>
        <w:spacing w:before="0" w:after="60"/>
        <w:jc w:val="left"/>
      </w:pPr>
      <w:r>
        <w:rPr>
          <w:rFonts w:ascii="Times New Roman" w:hAnsi="Times New Roman"/>
          <w:b w:val="0"/>
          <w:i w:val="0"/>
          <w:sz w:val="20"/>
        </w:rPr>
        <w:t>30. Dhanjal JK, et al. GraphB3: an explainable GCN approach for BBB permeability prediction. J Cheminform. 2024;16:34.</w:t>
      </w:r>
    </w:p>
    <w:p>
      <w:pPr>
        <w:spacing w:before="0" w:after="60"/>
        <w:jc w:val="left"/>
      </w:pPr>
      <w:r>
        <w:rPr>
          <w:rFonts w:ascii="Times New Roman" w:hAnsi="Times New Roman"/>
          <w:b w:val="0"/>
          <w:i w:val="0"/>
          <w:sz w:val="20"/>
        </w:rPr>
        <w:t>31. Hierro-Bujalance C, et al. Empagliflozin reduces vascular damage and cognitive impairment in a mixed murine model of Alzheimer's disease and type 2 diabetes. Alzheimers Res Ther. 2020;12:40.</w:t>
      </w:r>
    </w:p>
    <w:p>
      <w:r>
        <w:t>────────────────────────────────────────────────────────────────────────────────</w:t>
      </w:r>
    </w:p>
    <w:p>
      <w:pPr>
        <w:spacing w:before="240" w:after="80"/>
        <w:jc w:val="left"/>
      </w:pPr>
      <w:r>
        <w:rPr>
          <w:rFonts w:ascii="Times New Roman" w:hAnsi="Times New Roman"/>
          <w:b/>
          <w:i w:val="0"/>
          <w:sz w:val="28"/>
        </w:rPr>
        <w:t>Acknowledgements</w:t>
      </w:r>
    </w:p>
    <w:p>
      <w:pPr>
        <w:spacing w:before="0" w:after="120"/>
        <w:jc w:val="both"/>
      </w:pPr>
      <w:r>
        <w:rPr>
          <w:rFonts w:ascii="Times New Roman" w:hAnsi="Times New Roman"/>
          <w:b w:val="0"/>
          <w:i w:val="0"/>
          <w:sz w:val="24"/>
        </w:rPr>
        <w:t>The authors thank the developers of RDKit (G. Landrum et al.), admet_ai (K. Swanson et al., Stanford), StopTox/StopLight (A. Borrel, N. Kleinstreuer et al., NIH/NIEHS), ProTox 3.0 (P. Banerjee et al., Charité Berlin), DataWarrior (T. Sander, Sanofi), B3DB (F. Meng et al.), and the Tox21 Challenge (NIH NCATS). The thieno[2,3-b]pyridine dataset (DADOS_Uminho_1) was used with permission.</w:t>
      </w:r>
    </w:p>
    <w:p>
      <w:pPr>
        <w:spacing w:before="240" w:after="80"/>
        <w:jc w:val="left"/>
      </w:pPr>
      <w:r>
        <w:rPr>
          <w:rFonts w:ascii="Times New Roman" w:hAnsi="Times New Roman"/>
          <w:b/>
          <w:i w:val="0"/>
          <w:sz w:val="28"/>
        </w:rPr>
        <w:t>Author Contributions</w:t>
      </w:r>
    </w:p>
    <w:p>
      <w:pPr>
        <w:spacing w:before="0" w:after="120"/>
        <w:jc w:val="both"/>
      </w:pPr>
      <w:r>
        <w:rPr>
          <w:rFonts w:ascii="Times New Roman" w:hAnsi="Times New Roman"/>
          <w:b w:val="0"/>
          <w:i w:val="0"/>
          <w:sz w:val="24"/>
        </w:rPr>
        <w:t>R.A.B.S. conceived the project, designed and implemented the platform, curated datasets, trained all local ML models, performed benchmarking experiments, and wrote the manuscript. G.G. contributed to architecture design and manuscript revision. All authors reviewed and approved the final manuscript.</w:t>
      </w:r>
    </w:p>
    <w:p>
      <w:pPr>
        <w:spacing w:before="240" w:after="80"/>
        <w:jc w:val="left"/>
      </w:pPr>
      <w:r>
        <w:rPr>
          <w:rFonts w:ascii="Times New Roman" w:hAnsi="Times New Roman"/>
          <w:b/>
          <w:i w:val="0"/>
          <w:sz w:val="28"/>
        </w:rPr>
        <w:t>Competing Interests</w:t>
      </w:r>
    </w:p>
    <w:p>
      <w:pPr>
        <w:spacing w:before="0" w:after="120"/>
        <w:jc w:val="both"/>
      </w:pPr>
      <w:r>
        <w:rPr>
          <w:rFonts w:ascii="Times New Roman" w:hAnsi="Times New Roman"/>
          <w:b w:val="0"/>
          <w:i w:val="0"/>
          <w:sz w:val="24"/>
        </w:rPr>
        <w:t>The authors declare no competing interests.</w:t>
      </w:r>
    </w:p>
    <w:p>
      <w:pPr>
        <w:spacing w:before="240" w:after="80"/>
        <w:jc w:val="left"/>
      </w:pPr>
      <w:r>
        <w:rPr>
          <w:rFonts w:ascii="Times New Roman" w:hAnsi="Times New Roman"/>
          <w:b/>
          <w:i w:val="0"/>
          <w:sz w:val="28"/>
        </w:rPr>
        <w:t>Additional Information</w:t>
      </w:r>
    </w:p>
    <w:p>
      <w:pPr>
        <w:spacing w:before="0" w:after="120"/>
        <w:jc w:val="both"/>
      </w:pPr>
      <w:r>
        <w:rPr>
          <w:rFonts w:ascii="Times New Roman" w:hAnsi="Times New Roman"/>
          <w:b/>
          <w:i w:val="0"/>
          <w:sz w:val="24"/>
        </w:rPr>
        <w:t>Correspondence</w:t>
      </w:r>
      <w:r>
        <w:rPr>
          <w:rFonts w:ascii="Times New Roman" w:hAnsi="Times New Roman"/>
          <w:b w:val="0"/>
          <w:i w:val="0"/>
          <w:sz w:val="24"/>
        </w:rPr>
        <w:t xml:space="preserve"> and requests for materials should be addressed to R.A.B.S. (carlos.seiti.shiraishi@gmail.com).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