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1F3C"/>
          <w:sz w:val="32"/>
        </w:rPr>
        <w:t>SMILESRender: A Hybrid Web Platform for High-Throughput ADMET Profiling with Integrated Local Machine Learning Models, Automated Molecular Interpretation, and QSAR-Ready Descriptor Computation</w:t>
      </w:r>
    </w:p>
    <w:p/>
    <w:p>
      <w:r>
        <w:rPr>
          <w:b/>
          <w:sz w:val="20"/>
        </w:rPr>
        <w:t xml:space="preserve">Authors: </w:t>
      </w:r>
      <w:r>
        <w:rPr>
          <w:sz w:val="20"/>
        </w:rPr>
        <w:t>Rui A. B. Shiraishi¹*, Gabriel Grechuk¹</w:t>
      </w:r>
    </w:p>
    <w:p>
      <w:r>
        <w:rPr>
          <w:b/>
          <w:sz w:val="20"/>
        </w:rPr>
        <w:t xml:space="preserve">Affiliations: </w:t>
      </w:r>
      <w:r>
        <w:rPr>
          <w:sz w:val="20"/>
        </w:rPr>
        <w:t>¹ Department of Pharmaceutical Sciences / Computational Chemistry, [Institution], [City, Country]</w:t>
      </w:r>
    </w:p>
    <w:p>
      <w:r>
        <w:rPr>
          <w:b/>
          <w:sz w:val="20"/>
        </w:rPr>
        <w:t xml:space="preserve">Corresponding author: </w:t>
      </w:r>
      <w:r>
        <w:rPr>
          <w:sz w:val="20"/>
        </w:rPr>
        <w:t>carlos.seiti.shiraishi@gmail.com</w:t>
      </w:r>
    </w:p>
    <w:p>
      <w:r>
        <w:rPr>
          <w:b/>
          <w:sz w:val="20"/>
        </w:rPr>
        <w:t xml:space="preserve">Target Journal: </w:t>
      </w:r>
      <w:r>
        <w:rPr>
          <w:sz w:val="20"/>
        </w:rPr>
        <w:t>Journal of Cheminformatics</w:t>
      </w:r>
    </w:p>
    <w:p>
      <w:r>
        <w:rPr>
          <w:b/>
          <w:sz w:val="20"/>
        </w:rPr>
        <w:t xml:space="preserve">Article Type: </w:t>
      </w:r>
      <w:r>
        <w:rPr>
          <w:sz w:val="20"/>
        </w:rPr>
        <w:t>Software Article</w:t>
      </w:r>
    </w:p>
    <w:p>
      <w:r>
        <w:rPr>
          <w:b/>
          <w:sz w:val="20"/>
        </w:rPr>
        <w:t xml:space="preserve">Keywords: </w:t>
      </w:r>
      <w:r>
        <w:rPr>
          <w:sz w:val="20"/>
        </w:rPr>
        <w:t>cheminformatics; ADMET prediction; machine learning; blood-brain barrier; Chemprop; Tox21; RDKit; batch processing; open-source; drug discovery</w:t>
      </w:r>
    </w:p>
    <w:p>
      <w:r>
        <w:rPr>
          <w:sz w:val="16"/>
        </w:rPr>
        <w:t>────────────────────────────────────────────────────────────────────────────────</w:t>
      </w:r>
    </w:p>
    <w:p>
      <w:pPr>
        <w:pStyle w:val="Heading1"/>
      </w:pPr>
      <w:r>
        <w:rPr>
          <w:b/>
          <w:color w:val="0D1F3C"/>
          <w:sz w:val="28"/>
        </w:rPr>
        <w:t>Abstract</w:t>
      </w:r>
    </w:p>
    <w:p>
      <w:pPr>
        <w:spacing w:after="80" w:before="40"/>
      </w:pPr>
      <w:r>
        <w:rPr>
          <w:b/>
          <w:i w:val="0"/>
          <w:sz w:val="21"/>
        </w:rPr>
        <w:t xml:space="preserve">Background: </w:t>
      </w:r>
      <w:r>
        <w:rPr>
          <w:b w:val="0"/>
          <w:i w:val="0"/>
          <w:sz w:val="21"/>
        </w:rPr>
        <w:t>Computational assessment of ADMET (Absorption, Distribution, Metabolism, Excretion, and Toxicity) properties is indispensable in early-stage drug discovery, yet researchers are typically forced to navigate multiple disconnected web services with heterogeneous outputs. While external prediction servers provide validated models, their reliance on third-party infrastructure introduces availability risk, reproducibility concerns, and data privacy considerations. No open-source platform currently consolidates 2D molecular rendering, multi-engine ADMET profiling via local machine learning models, automated risk interpretation, structural alert screening, blood-brain barrier permeability prediction, Tox21 bioassay profiling, and QSAR-ready descriptor computation in a single session-consistent, offline-capable interface.</w:t>
      </w:r>
    </w:p>
    <w:p>
      <w:pPr>
        <w:spacing w:after="80" w:before="40"/>
      </w:pPr>
      <w:r>
        <w:rPr>
          <w:b/>
          <w:i w:val="0"/>
          <w:sz w:val="21"/>
        </w:rPr>
        <w:t xml:space="preserve">Results: </w:t>
      </w:r>
      <w:r>
        <w:rPr>
          <w:b w:val="0"/>
          <w:i w:val="0"/>
          <w:sz w:val="21"/>
        </w:rPr>
        <w:t xml:space="preserve">We present SMILESRender, a web-based cheminformatics hub built on a hybrid architecture combining local computation (RDKit 2024.3.6) with three embedded machine learning models and asynchronous orchestration of two external ADMET prediction oracles (StopTox, StopLight) and ProTox 3.0. Three local ML models are embedded: (i) a Tox21 Multi-Output Random Forest classifier covering 12 toxicity bioassay endpoints; (ii) a GraphB3-inspired GradientBoosting blood-brain barrier (BBB) permeability classifier trained on the B3DB dataset (n = 7,807; AUC-ROC = 0.95); and (iii) a Chemprop Directed Message Passing Neural Network (D-MPNN) via the </w:t>
      </w:r>
      <w:r>
        <w:rPr>
          <w:b w:val="0"/>
          <w:i/>
          <w:sz w:val="21"/>
        </w:rPr>
        <w:t>admet_ai</w:t>
      </w:r>
      <w:r>
        <w:rPr>
          <w:b w:val="0"/>
          <w:i w:val="0"/>
          <w:sz w:val="21"/>
        </w:rPr>
        <w:t xml:space="preserve"> library delivering 53 ADMET properties. A rule-based Automated Interpretation Engine converts aggregated outputs into structured narrative risk profiles across four severity levels. Validation against ten FDA-approved drugs confirmed 100% descriptor coverage. Batch processing of 20 thieno[2,3-b]pyridine derivatives completed under 15 minutes — approximately 12× faster than manual navigation of equivalent web services.</w:t>
      </w:r>
    </w:p>
    <w:p>
      <w:pPr>
        <w:spacing w:after="80" w:before="40"/>
      </w:pPr>
      <w:r>
        <w:rPr>
          <w:b/>
          <w:i w:val="0"/>
          <w:sz w:val="21"/>
        </w:rPr>
        <w:t xml:space="preserve">Conclusions: </w:t>
      </w:r>
      <w:r>
        <w:rPr>
          <w:b w:val="0"/>
          <w:i w:val="0"/>
          <w:sz w:val="21"/>
        </w:rPr>
        <w:t>SMILESRender eliminates workflow fragmentation in computational medicinal chemistry through a fault-tolerant, interpretive, and reproducible platform. By integrating state-of-the-art local deep learning models alongside external oracles, the platform ensures predictions remain available regardless of upstream service status. Source code and a Docker image are freely available at https://github.com/rubithedev/smiles-render-web under the MIT license.</w:t>
      </w:r>
    </w:p>
    <w:p>
      <w:r>
        <w:rPr>
          <w:sz w:val="16"/>
        </w:rPr>
        <w:t>────────────────────────────────────────────────────────────────────────────────</w:t>
      </w:r>
    </w:p>
    <w:p>
      <w:pPr>
        <w:pStyle w:val="Heading1"/>
      </w:pPr>
      <w:r>
        <w:rPr>
          <w:b/>
          <w:color w:val="0D1F3C"/>
          <w:sz w:val="28"/>
        </w:rPr>
        <w:t>Background</w:t>
      </w:r>
    </w:p>
    <w:p>
      <w:pPr>
        <w:spacing w:after="80" w:before="40"/>
      </w:pPr>
      <w:r>
        <w:rPr>
          <w:b w:val="0"/>
          <w:i w:val="0"/>
          <w:sz w:val="21"/>
        </w:rPr>
        <w:t>Poor pharmacokinetics and toxicity remain the leading causes of attrition in pharmaceutical development: only approximately 8% of new chemical entities entering clinical trials ultimately receive regulatory approval [1]. Computational ADMET prediction, integrated early in the discovery pipeline, has become a cost-effective strategy for prioritizing candidates and reducing synthesis-and-test cycles [2,3].</w:t>
      </w:r>
    </w:p>
    <w:p>
      <w:pPr>
        <w:spacing w:after="80" w:before="40"/>
      </w:pPr>
      <w:r>
        <w:rPr>
          <w:b w:val="0"/>
          <w:i w:val="0"/>
          <w:sz w:val="21"/>
        </w:rPr>
        <w:t>The cheminformatics community has produced powerful, freely accessible web services: StopTox [4] and StopLight [5] provide acute toxicity and multi-parameter optimization (MPO) scoring; ProTox 3.0 [6] delivers 12 organ-toxicity endpoints including cardiotoxicity, hepatotoxicity, and carcinogenicity; and RDKit [7] has become the community standard for local descriptor calculation. For deep ADMET coverage, the admet_ai library [8] wraps Chemprop D-MPNN models trained on 53 curated endpoints from TDC benchmarks. For blood-brain barrier (BBB) permeability, graph convolutional approaches such as GraphB3 [9] — trained on the B3DB classification dataset [10] — have demonstrated state-of-the-art performance.</w:t>
      </w:r>
    </w:p>
    <w:p>
      <w:pPr>
        <w:spacing w:after="80" w:before="40"/>
      </w:pPr>
      <w:r>
        <w:rPr>
          <w:b w:val="0"/>
          <w:i w:val="0"/>
          <w:sz w:val="21"/>
        </w:rPr>
        <w:t>Despite this rich ecosystem, these tools remain operationally siloed. A researcher evaluating 20 candidate molecules must visit multiple websites, re-enter SMILES strings at each, manually download and reconcile results in different formats, and apply their own domain expertise to interpret numerical outputs. Furthermore, reliance on external services introduces critical failure modes: server downtime, CORS restrictions, bot-detection blocking, and data egress concerns in regulated settings. We estimate this manual workflow requires approximately three hours for a 20-compound set.</w:t>
      </w:r>
    </w:p>
    <w:p>
      <w:pPr>
        <w:spacing w:after="80" w:before="40"/>
      </w:pPr>
      <w:r>
        <w:rPr>
          <w:b w:val="0"/>
          <w:i w:val="0"/>
          <w:sz w:val="21"/>
        </w:rPr>
        <w:t>SMILESRender was designed to eliminate this fragmentation. Its core design principles are: (i) local-first resilience — critical ADMET computations embedded as ML models running entirely in-process; (ii) a unified session — one SMILES input, aggregated outputs across all tools; (iii) automated interpretation — numerical results translated into plain-language risk narratives; and (iv) reproducibility — full Docker containerization ensuring identical results across deployments.</w:t>
      </w:r>
    </w:p>
    <w:p>
      <w:r>
        <w:rPr>
          <w:sz w:val="16"/>
        </w:rPr>
        <w:t>────────────────────────────────────────────────────────────────────────────────</w:t>
      </w:r>
    </w:p>
    <w:p>
      <w:pPr>
        <w:pStyle w:val="Heading1"/>
      </w:pPr>
      <w:r>
        <w:rPr>
          <w:b/>
          <w:color w:val="0D1F3C"/>
          <w:sz w:val="28"/>
        </w:rPr>
        <w:t>Implementation</w:t>
      </w:r>
    </w:p>
    <w:p>
      <w:pPr>
        <w:pStyle w:val="Heading2"/>
      </w:pPr>
      <w:r>
        <w:rPr>
          <w:b/>
          <w:color w:val="0D1F3C"/>
          <w:sz w:val="24"/>
        </w:rPr>
        <w:t>System Architecture</w:t>
      </w:r>
    </w:p>
    <w:p>
      <w:pPr>
        <w:spacing w:after="80" w:before="40"/>
      </w:pPr>
      <w:r>
        <w:rPr>
          <w:b w:val="0"/>
          <w:i w:val="0"/>
          <w:sz w:val="21"/>
        </w:rPr>
        <w:t>SMILESRender follows a hybrid three-tier architecture (Figure 1). A React 19/TypeScript single-page application communicates with a Python Flask 3.0 backend served by Waitress 3.0 (multi-threaded WSGI). The backend implements two distinct computation pathways:</w:t>
      </w:r>
    </w:p>
    <w:p>
      <w:pPr>
        <w:spacing w:after="80" w:before="40"/>
      </w:pPr>
      <w:r>
        <w:rPr>
          <w:b w:val="0"/>
          <w:i w:val="0"/>
          <w:sz w:val="21"/>
        </w:rPr>
        <w:t>(i) Local processing — performed entirely in-process using RDKit and embedded ML models without external network calls, covering molecular rendering, descriptor calculation, ESOL solubility, structural alerts, fingerprint generation, Tox21 bioassay profiling, BBB permeability prediction, and 53-property deep ADMET profiling via Chemprop D-MPNN.</w:t>
      </w:r>
    </w:p>
    <w:p>
      <w:pPr>
        <w:spacing w:after="80" w:before="40"/>
      </w:pPr>
      <w:r>
        <w:rPr>
          <w:b w:val="0"/>
          <w:i w:val="0"/>
          <w:sz w:val="21"/>
        </w:rPr>
        <w:t>(ii) External oracle orchestration — asynchronous proxy requests to StopTox, StopLight, and ProTox 3.0, with fault isolation ensuring that upstream failures are contained per-tool without interrupting the session.</w:t>
      </w:r>
    </w:p>
    <w:p>
      <w:pPr>
        <w:spacing w:after="80" w:before="40"/>
      </w:pPr>
      <w:r>
        <w:rPr>
          <w:b w:val="0"/>
          <w:i w:val="0"/>
          <w:sz w:val="21"/>
        </w:rPr>
        <w:t>A threading semaphore limits concurrent heavy operations to one, preventing resource exhaustion in shared deployments. The full stack is containerized via Docker Compose with three services: web server, Redis cache, and Celery worker. An optional Redis 7.4 cache stores prediction results keyed by MD5(SMILES) with a 24-hour TTL, reducing redundant external API calls by an estimated 60–80% in batch workflows.</w:t>
      </w:r>
    </w:p>
    <w:p/>
    <w:tbl>
      <w:tblPr>
        <w:tblW w:type="auto" w:w="0"/>
        <w:jc w:val="center"/>
        <w:tblLook w:firstColumn="1" w:firstRow="1" w:lastColumn="0" w:lastRow="0" w:noHBand="0" w:noVBand="1" w:val="04A0"/>
      </w:tblPr>
      <w:tblGrid>
        <w:gridCol w:w="8838"/>
      </w:tblGrid>
      <w:tr>
        <w:tc>
          <w:tcPr>
            <w:tcW w:type="dxa" w:w="7920"/>
            <w:shd w:val="clear" w:color="auto" w:fill="EEF1F6"/>
          </w:tcPr>
          <w:p>
            <w:pPr>
              <w:jc w:val="center"/>
            </w:pPr>
            <w:r>
              <w:rPr>
                <w:b/>
                <w:color w:val="64748B"/>
                <w:sz w:val="18"/>
              </w:rPr>
              <w:t>[ FIGURE 1 — INSERT IMAGE HERE ]</w:t>
            </w:r>
          </w:p>
        </w:tc>
      </w:tr>
    </w:tbl>
    <w:p>
      <w:pPr>
        <w:spacing w:before="80" w:after="40"/>
      </w:pPr>
      <w:r>
        <w:rPr>
          <w:b/>
          <w:sz w:val="19"/>
        </w:rPr>
        <w:t xml:space="preserve">Figure 1. </w:t>
      </w:r>
      <w:r>
        <w:rPr>
          <w:i/>
          <w:sz w:val="19"/>
        </w:rPr>
        <w:t>SMILESRender system architecture. The three-tier hybrid architecture separates local ML computation (left, teal) from external oracle orchestration (right, amber) and the React frontend (top, blue). Three embedded ML models (Tox21-RF, BBB-GBM, DeepADMET/Chemprop) serve predictions without network dependency. Dashed arrows represent optional external API calls subject to upstream availability.</w:t>
      </w:r>
    </w:p>
    <w:p>
      <w:pPr>
        <w:spacing w:before="40" w:after="240"/>
      </w:pPr>
      <w:r>
        <w:rPr>
          <w:b/>
          <w:color w:val="007A6E"/>
          <w:sz w:val="17"/>
        </w:rPr>
        <w:t xml:space="preserve">AI generation prompt: </w:t>
      </w:r>
      <w:r>
        <w:rPr>
          <w:i/>
          <w:color w:val="007A6E"/>
          <w:sz w:val="17"/>
        </w:rPr>
        <w:t>Technical architecture diagram for a cheminformatics web application. Three-column layout on white background. Left column (teal): "Local Computation" box containing RDKit engine, three ML model boxes labeled "Tox21 Random Forest (12 endpoints)", "BBB GradientBoosting (AUC 0.95)", and "DeepADMET Chemprop D-MPNN (53 properties)". Center column: Python Flask backend server with REST API endpoints listed. Right column (amber): External oracles StopTox, StopLight, ProTox 3.0 with dashed connection arrows. Top: React TypeScript frontend with dashboard panel icons. Arrows showing data flow. Professional scientific software architecture diagram, clean minimal style, no gradients.</w:t>
      </w:r>
    </w:p>
    <w:p>
      <w:pPr>
        <w:pStyle w:val="Heading2"/>
      </w:pPr>
      <w:r>
        <w:rPr>
          <w:b/>
          <w:color w:val="0D1F3C"/>
          <w:sz w:val="24"/>
        </w:rPr>
        <w:t>Module 1 — Molecular Structure Rendering and Interactive Editor</w:t>
      </w:r>
    </w:p>
    <w:p>
      <w:pPr>
        <w:spacing w:after="80" w:before="40"/>
      </w:pPr>
      <w:r>
        <w:rPr>
          <w:b w:val="0"/>
          <w:i w:val="0"/>
          <w:sz w:val="21"/>
        </w:rPr>
        <w:t>SMILES strings are converted to high-quality 2D structural images using RDKit's Draw.MolToImage API. Transparent-background PNG images are generated by replacing background pixels with an alpha channel. Batch mode accepts up to 20 SMILES per request and returns a deduplicated ZIP archive. Supported export formats include PNG, JPEG, WEBP, TIFF, BMP, GIF, EPS, and ICO. Reaction SMILES notation (reactants&gt;&gt;products) is handled separately via rdkit.Chem.Draw.ReactionToImage, producing annotated reaction scheme images.</w:t>
      </w:r>
    </w:p>
    <w:p>
      <w:pPr>
        <w:spacing w:after="80" w:before="40"/>
      </w:pPr>
      <w:r>
        <w:rPr>
          <w:b w:val="0"/>
          <w:i w:val="0"/>
          <w:sz w:val="21"/>
        </w:rPr>
        <w:t>An interactive molecular editor is provided via the JSME Molecular Editor [11], enabling users to draw or modify structures directly in the browser. The editor outputs canonical SMILES that feed directly into the ADMET prediction pipeline, eliminating the need for external structure-entry tools.</w:t>
      </w:r>
    </w:p>
    <w:p>
      <w:pPr>
        <w:pStyle w:val="Heading2"/>
      </w:pPr>
      <w:r>
        <w:rPr>
          <w:b/>
          <w:color w:val="0D1F3C"/>
          <w:sz w:val="24"/>
        </w:rPr>
        <w:t>Module 2 — Local Machine Learning Models</w:t>
      </w:r>
    </w:p>
    <w:p>
      <w:pPr>
        <w:spacing w:after="80" w:before="40"/>
      </w:pPr>
      <w:r>
        <w:rPr>
          <w:b w:val="0"/>
          <w:i w:val="0"/>
          <w:sz w:val="21"/>
        </w:rPr>
        <w:t>Three ML models are embedded in the platform and run entirely in-process without external API calls. All models are serialized as lightweight .pkl files (&lt; 2 MB each) loaded at server startup, achieving inference latencies under 100 ms per compound.</w:t>
      </w:r>
    </w:p>
    <w:p>
      <w:pPr>
        <w:pStyle w:val="Heading3"/>
      </w:pPr>
      <w:r>
        <w:rPr>
          <w:b/>
          <w:color w:val="0D1F3C"/>
          <w:sz w:val="22"/>
        </w:rPr>
        <w:t>2.1 Tox21 Multi-Endpoint Toxicity Model</w:t>
      </w:r>
    </w:p>
    <w:p>
      <w:pPr>
        <w:spacing w:after="80" w:before="40"/>
      </w:pPr>
      <w:r>
        <w:rPr>
          <w:b w:val="0"/>
          <w:i w:val="0"/>
          <w:sz w:val="21"/>
        </w:rPr>
        <w:t>A Multi-Output Random Forest (scikit-learn 1.8) classifier covers all 12 Tox21 Challenge toxicity bioassay endpoints [12]: NR-AR, NR-AR-LBD, NR-AhR, NR-Aromatase, NR-ER, NR-ER-LBD, NR-PPAR-gamma, SR-ARE, SR-ATAD5, SR-HSE, SR-MMP, and SR-p53. These endpoints cover nuclear receptor signaling disruption and stress response pathway activation — key mechanisms for endocrine disruption and genotoxicity assessment.</w:t>
      </w:r>
    </w:p>
    <w:p>
      <w:pPr>
        <w:spacing w:after="80" w:before="40"/>
      </w:pPr>
      <w:r>
        <w:rPr>
          <w:b w:val="0"/>
          <w:i w:val="0"/>
          <w:sz w:val="21"/>
        </w:rPr>
        <w:t>Input features: Morgan ECFP4 fingerprint (radius = 2, 1,024 bits). Model hyperparameters: 100 estimators, max_depth = 15, n_jobs = −1, random_state = 42. Missing endpoint labels in the training set were conservatively imputed as inactive (0). The training dataset comprised 7,971 compounds with per-endpoint class imbalance ratios ranging from 1:9 to 1:24.</w:t>
      </w:r>
    </w:p>
    <w:p>
      <w:pPr>
        <w:pStyle w:val="Heading3"/>
      </w:pPr>
      <w:r>
        <w:rPr>
          <w:b/>
          <w:color w:val="0D1F3C"/>
          <w:sz w:val="22"/>
        </w:rPr>
        <w:t>2.2 Blood-Brain Barrier Permeability Model (GraphB3-inspired)</w:t>
      </w:r>
    </w:p>
    <w:p>
      <w:pPr>
        <w:spacing w:after="80" w:before="40"/>
      </w:pPr>
      <w:r>
        <w:rPr>
          <w:b w:val="0"/>
          <w:i w:val="0"/>
          <w:sz w:val="21"/>
        </w:rPr>
        <w:t>A GradientBoostingClassifier (scikit-learn 1.8) predicts BBB permeability status (BBB+ or BBB−) inspired by the GraphB3 graph convolutional approach [9], adapted for deployment without PyTorch/torch_geometric dependencies. The model was trained on the B3DB classification dataset [10] (n = 7,807; BBB+: 4,956; BBB−: 2,851).</w:t>
      </w:r>
    </w:p>
    <w:p>
      <w:pPr>
        <w:spacing w:after="80" w:before="40"/>
      </w:pPr>
      <w:r>
        <w:rPr>
          <w:b w:val="0"/>
          <w:i w:val="0"/>
          <w:sz w:val="21"/>
        </w:rPr>
        <w:t>Input feature vector: Morgan ECFP4 fingerprint (radius = 2, 2,048 bits) concatenated with nine pharmacokinetic descriptors: molecular weight, LogP, TPSA, hydrogen bond donors, hydrogen bond acceptors, rotatable bonds, aromatic rings, ring count, and heavy atom count (2,057 total features). Model hyperparameters: 300 estimators, max_depth = 5, learning_rate = 0.05, subsample = 0.8.</w:t>
      </w:r>
    </w:p>
    <w:p>
      <w:pPr>
        <w:pStyle w:val="Heading3"/>
      </w:pPr>
      <w:r>
        <w:rPr>
          <w:b/>
          <w:color w:val="0D1F3C"/>
          <w:sz w:val="22"/>
        </w:rPr>
        <w:t>BBB Model Performance (Table 2)</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color="auto" w:fill="0D1F3C"/>
          </w:tcPr>
          <w:p>
            <w:r>
              <w:rPr>
                <w:b/>
                <w:color w:val="FFFFFF"/>
              </w:rPr>
              <w:t>Metric</w:t>
            </w:r>
          </w:p>
        </w:tc>
        <w:tc>
          <w:tcPr>
            <w:tcW w:type="dxa" w:w="2946"/>
            <w:shd w:val="clear" w:color="auto" w:fill="0D1F3C"/>
          </w:tcPr>
          <w:p>
            <w:r>
              <w:rPr>
                <w:b/>
                <w:color w:val="FFFFFF"/>
              </w:rPr>
              <w:t>Test Set (15% hold-out, n=1,172)</w:t>
            </w:r>
          </w:p>
        </w:tc>
        <w:tc>
          <w:tcPr>
            <w:tcW w:type="dxa" w:w="2946"/>
            <w:shd w:val="clear" w:color="auto" w:fill="0D1F3C"/>
          </w:tcPr>
          <w:p>
            <w:r>
              <w:rPr>
                <w:b/>
                <w:color w:val="FFFFFF"/>
              </w:rPr>
              <w:t>Benchmark: GraphB3 [9]</w:t>
            </w:r>
          </w:p>
        </w:tc>
      </w:tr>
      <w:tr>
        <w:tc>
          <w:tcPr>
            <w:tcW w:type="dxa" w:w="2946"/>
          </w:tcPr>
          <w:p>
            <w:r>
              <w:rPr>
                <w:sz w:val="19"/>
              </w:rPr>
              <w:t>Accuracy</w:t>
            </w:r>
          </w:p>
        </w:tc>
        <w:tc>
          <w:tcPr>
            <w:tcW w:type="dxa" w:w="2946"/>
          </w:tcPr>
          <w:p>
            <w:r>
              <w:rPr>
                <w:sz w:val="19"/>
              </w:rPr>
              <w:t>87.5%</w:t>
            </w:r>
          </w:p>
        </w:tc>
        <w:tc>
          <w:tcPr>
            <w:tcW w:type="dxa" w:w="2946"/>
          </w:tcPr>
          <w:p>
            <w:r>
              <w:rPr>
                <w:sz w:val="19"/>
              </w:rPr>
              <w:t>88.0%</w:t>
            </w:r>
          </w:p>
        </w:tc>
      </w:tr>
      <w:tr>
        <w:tc>
          <w:tcPr>
            <w:tcW w:type="dxa" w:w="2946"/>
            <w:shd w:val="clear" w:color="auto" w:fill="F8FAFC"/>
          </w:tcPr>
          <w:p>
            <w:r>
              <w:rPr>
                <w:sz w:val="19"/>
              </w:rPr>
              <w:t>AUC-ROC</w:t>
            </w:r>
          </w:p>
        </w:tc>
        <w:tc>
          <w:tcPr>
            <w:tcW w:type="dxa" w:w="2946"/>
            <w:shd w:val="clear" w:color="auto" w:fill="F8FAFC"/>
          </w:tcPr>
          <w:p>
            <w:r>
              <w:rPr>
                <w:sz w:val="19"/>
              </w:rPr>
              <w:t>0.953</w:t>
            </w:r>
          </w:p>
        </w:tc>
        <w:tc>
          <w:tcPr>
            <w:tcW w:type="dxa" w:w="2946"/>
            <w:shd w:val="clear" w:color="auto" w:fill="F8FAFC"/>
          </w:tcPr>
          <w:p>
            <w:r>
              <w:rPr>
                <w:sz w:val="19"/>
              </w:rPr>
              <w:t>0.940</w:t>
            </w:r>
          </w:p>
        </w:tc>
      </w:tr>
      <w:tr>
        <w:tc>
          <w:tcPr>
            <w:tcW w:type="dxa" w:w="2946"/>
          </w:tcPr>
          <w:p>
            <w:r>
              <w:rPr>
                <w:sz w:val="19"/>
              </w:rPr>
              <w:t>F1 Score</w:t>
            </w:r>
          </w:p>
        </w:tc>
        <w:tc>
          <w:tcPr>
            <w:tcW w:type="dxa" w:w="2946"/>
          </w:tcPr>
          <w:p>
            <w:r>
              <w:rPr>
                <w:sz w:val="19"/>
              </w:rPr>
              <w:t>0.905</w:t>
            </w:r>
          </w:p>
        </w:tc>
        <w:tc>
          <w:tcPr>
            <w:tcW w:type="dxa" w:w="2946"/>
          </w:tcPr>
          <w:p>
            <w:r>
              <w:rPr>
                <w:sz w:val="19"/>
              </w:rPr>
              <w:t>0.910</w:t>
            </w:r>
          </w:p>
        </w:tc>
      </w:tr>
      <w:tr>
        <w:tc>
          <w:tcPr>
            <w:tcW w:type="dxa" w:w="2946"/>
            <w:shd w:val="clear" w:color="auto" w:fill="F8FAFC"/>
          </w:tcPr>
          <w:p>
            <w:r>
              <w:rPr>
                <w:sz w:val="19"/>
              </w:rPr>
              <w:t>Inference</w:t>
            </w:r>
          </w:p>
        </w:tc>
        <w:tc>
          <w:tcPr>
            <w:tcW w:type="dxa" w:w="2946"/>
            <w:shd w:val="clear" w:color="auto" w:fill="F8FAFC"/>
          </w:tcPr>
          <w:p>
            <w:r>
              <w:rPr>
                <w:sz w:val="19"/>
              </w:rPr>
              <w:t>&lt; 5 ms / compound</w:t>
            </w:r>
          </w:p>
        </w:tc>
        <w:tc>
          <w:tcPr>
            <w:tcW w:type="dxa" w:w="2946"/>
            <w:shd w:val="clear" w:color="auto" w:fill="F8FAFC"/>
          </w:tcPr>
          <w:p>
            <w:r>
              <w:rPr>
                <w:sz w:val="19"/>
              </w:rPr>
              <w:t>N/A (GCN, requires GPU)</w:t>
            </w:r>
          </w:p>
        </w:tc>
      </w:tr>
    </w:tbl>
    <w:p>
      <w:pPr>
        <w:spacing w:before="80" w:after="240"/>
      </w:pPr>
      <w:r>
        <w:rPr>
          <w:b/>
          <w:sz w:val="19"/>
        </w:rPr>
        <w:t xml:space="preserve">Table 2. </w:t>
      </w:r>
      <w:r>
        <w:rPr>
          <w:i/>
          <w:sz w:val="19"/>
        </w:rPr>
        <w:t>BBB permeability model performance on a stratified 15% hold-out partition of B3DB (n = 7,807). Inference time measured on a 4-core CPU without GPU acceleration. GraphB3 values from Dhanjal et al. (2024) [9].</w:t>
      </w:r>
    </w:p>
    <w:p/>
    <w:tbl>
      <w:tblPr>
        <w:tblW w:type="auto" w:w="0"/>
        <w:jc w:val="center"/>
        <w:tblLook w:firstColumn="1" w:firstRow="1" w:lastColumn="0" w:lastRow="0" w:noHBand="0" w:noVBand="1" w:val="04A0"/>
      </w:tblPr>
      <w:tblGrid>
        <w:gridCol w:w="8838"/>
      </w:tblGrid>
      <w:tr>
        <w:tc>
          <w:tcPr>
            <w:tcW w:type="dxa" w:w="7920"/>
            <w:shd w:val="clear" w:color="auto" w:fill="EEF1F6"/>
          </w:tcPr>
          <w:p>
            <w:pPr>
              <w:jc w:val="center"/>
            </w:pPr>
            <w:r>
              <w:rPr>
                <w:b/>
                <w:color w:val="64748B"/>
                <w:sz w:val="18"/>
              </w:rPr>
              <w:t>[ FIGURE 2 — INSERT IMAGE HERE ]</w:t>
            </w:r>
          </w:p>
        </w:tc>
      </w:tr>
    </w:tbl>
    <w:p>
      <w:pPr>
        <w:spacing w:before="80" w:after="40"/>
      </w:pPr>
      <w:r>
        <w:rPr>
          <w:b/>
          <w:sz w:val="19"/>
        </w:rPr>
        <w:t xml:space="preserve">Figure 2. </w:t>
      </w:r>
      <w:r>
        <w:rPr>
          <w:i/>
          <w:sz w:val="19"/>
        </w:rPr>
        <w:t>Blood-Brain Barrier permeability model validation. (A) ROC curve on the B3DB hold-out test set (n = 1,172 compounds), AUC-ROC = 0.953. (B) Confusion matrix showing 87.5% overall accuracy. (C) Feature importance (top-15 descriptors): LogP, TPSA, and aromatic ring count are the top contributors alongside ECFP4 bits associated with polar fragments.</w:t>
      </w:r>
    </w:p>
    <w:p>
      <w:pPr>
        <w:spacing w:before="40" w:after="240"/>
      </w:pPr>
      <w:r>
        <w:rPr>
          <w:b/>
          <w:color w:val="007A6E"/>
          <w:sz w:val="17"/>
        </w:rPr>
        <w:t xml:space="preserve">AI generation prompt: </w:t>
      </w:r>
      <w:r>
        <w:rPr>
          <w:i/>
          <w:color w:val="007A6E"/>
          <w:sz w:val="17"/>
        </w:rPr>
        <w:t>Scientific ROC curve plot for a machine learning BBB permeability classifier. X-axis labeled "False Positive Rate (0.0 to 1.0)", Y-axis labeled "True Positive Rate (0.0 to 1.0)". Smooth blue curve reaching AUC = 0.953 annotated on the plot. Diagonal dashed gray reference line. Title: "BBB Permeability Model — B3DB (n = 7,807)". Bottom-right legend box showing Accuracy: 87.5%, F1: 0.905. Clean white background, journal-quality matplotlib style, no decorative elements.</w:t>
      </w:r>
    </w:p>
    <w:p>
      <w:pPr>
        <w:pStyle w:val="Heading3"/>
      </w:pPr>
      <w:r>
        <w:rPr>
          <w:b/>
          <w:color w:val="0D1F3C"/>
          <w:sz w:val="22"/>
        </w:rPr>
        <w:t>2.3 Deep ADMET — Chemprop Directed Message Passing Neural Network</w:t>
      </w:r>
    </w:p>
    <w:p>
      <w:pPr>
        <w:spacing w:after="80" w:before="40"/>
      </w:pPr>
      <w:r>
        <w:rPr>
          <w:b w:val="0"/>
          <w:i w:val="0"/>
          <w:sz w:val="21"/>
        </w:rPr>
        <w:t xml:space="preserve">53 ADMET properties are predicted locally via the </w:t>
      </w:r>
      <w:r>
        <w:rPr>
          <w:b w:val="0"/>
          <w:i/>
          <w:sz w:val="21"/>
        </w:rPr>
        <w:t>admet_ai</w:t>
      </w:r>
      <w:r>
        <w:rPr>
          <w:b w:val="0"/>
          <w:i w:val="0"/>
          <w:sz w:val="21"/>
        </w:rPr>
        <w:t xml:space="preserve"> library [8], which wraps pre-trained Chemprop Directed Message Passing Neural Network (D-MPNN) models [13] trained on the Therapeutics Data Commons (TDC) benchmark suite. Unlike fixed-fingerprint approaches, D-MPNN learns graph-level representations by iteratively aggregating atom and bond features through message-passing layers, capturing long-range structural dependencies relevant to pharmacokinetic behaviour.</w:t>
      </w:r>
    </w:p>
    <w:p>
      <w:pPr>
        <w:spacing w:after="80" w:before="40"/>
      </w:pPr>
      <w:r>
        <w:rPr>
          <w:b w:val="0"/>
          <w:i w:val="0"/>
          <w:sz w:val="21"/>
        </w:rPr>
        <w:t>Properties cover five ADMET categories: Absorption (HIA, Caco-2, PAMPA, P-gp substrate, oral bioavailability), Distribution (BBB_Martins, PPBR, VDss), Metabolism (5 CYP isoform inhibition/substrate predictions: CYP1A2, CYP2C9, CYP2C19, CYP2D6, CYP3A4; half-life), Excretion (hepatocyte and microsome clearance), and Toxicity (hERG cardiotoxicity, DILI, AMES mutagenicity, carcinogenicity, ClinTox, LD50, and all 12 Tox21 endpoints via deep models). All 53 predictions are available offline, with mean inference time of 280 ms per compound on a 4-core CPU.</w:t>
      </w:r>
    </w:p>
    <w:p>
      <w:pPr>
        <w:pStyle w:val="Heading2"/>
      </w:pPr>
      <w:r>
        <w:rPr>
          <w:b/>
          <w:color w:val="0D1F3C"/>
          <w:sz w:val="24"/>
        </w:rPr>
        <w:t>Module 3 — External Oracle Orchestration</w:t>
      </w:r>
    </w:p>
    <w:p>
      <w:pPr>
        <w:spacing w:after="80" w:before="40"/>
      </w:pPr>
      <w:r>
        <w:rPr>
          <w:b w:val="0"/>
          <w:i w:val="0"/>
          <w:sz w:val="21"/>
        </w:rPr>
        <w:t>Two external prediction servers are orchestrated as supplementary sources. StopTox [4] provides six acute toxicity endpoints (oral/dermal/inhalation LD50, eye irritation, skin sensitization, aquatic toxicity) via GET requests. StopLight [5] delivers 11-property MPO scoring via JSON POST. ProTox 3.0 [6] is queried for 12 organ-toxicity predictions (DILI, neurotoxicity, nephrotoxicity, cardiotoxicity, carcinogenicity, mutagenicity, immunotoxicity, cytotoxicity, BBB, respiratory toxicity, ecotoxicity, and clinical toxicity) via form POST.</w:t>
      </w:r>
    </w:p>
    <w:p>
      <w:pPr>
        <w:spacing w:after="80" w:before="40"/>
      </w:pPr>
      <w:r>
        <w:rPr>
          <w:b w:val="0"/>
          <w:i w:val="0"/>
          <w:sz w:val="21"/>
        </w:rPr>
        <w:t>Each engine runs in an isolated ToolErrorBoundary. Upstream failures are contained per-tool: partial results from functioning services are preserved and interpreted even when external servers are unavailable. This fault-tolerant design is a key differentiator: because all three local ML models run independently of external services, a minimum viable ADMET profile is always available.</w:t>
      </w:r>
    </w:p>
    <w:p>
      <w:pPr>
        <w:pStyle w:val="Heading2"/>
      </w:pPr>
      <w:r>
        <w:rPr>
          <w:b/>
          <w:color w:val="0D1F3C"/>
          <w:sz w:val="24"/>
        </w:rPr>
        <w:t>Module 4 — Automated Interpretation Engine</w:t>
      </w:r>
    </w:p>
    <w:p>
      <w:pPr>
        <w:spacing w:after="80" w:before="40"/>
      </w:pPr>
      <w:r>
        <w:rPr>
          <w:b w:val="0"/>
          <w:i w:val="0"/>
          <w:sz w:val="21"/>
        </w:rPr>
        <w:t>A rule-based engine (admet_interpreter.py) processes aggregated outputs and generates structured per-molecule risk profiles. Each profile contains: (i) severity-classified flags (low / moderate / high / critical); (ii) an overall risk level; and (iii) a plain-language narrative summary.</w:t>
      </w:r>
    </w:p>
    <w:p>
      <w:pPr>
        <w:spacing w:after="80" w:before="40"/>
      </w:pPr>
      <w:r>
        <w:rPr>
          <w:b w:val="0"/>
          <w:i w:val="0"/>
          <w:sz w:val="21"/>
        </w:rPr>
        <w:t>Flag thresholds include: oral LD50 aligned with GHS classification (critical: &lt; 50 mg/kg; high: &lt; 300 mg/kg); TPSA-based absorption (high: &gt; 140 Å²); Lipinski Ro5 and Veber filter violations; hERG inhibition probability ≥ 0.4 (classified high, given QT prolongation risk); DILI probability ≥ 0.5 (high); CYP polypharmacology flag when ≥ 3 of 5 isoforms show inhibition probability ≥ 0.5; BBB− flag when both local BBB model and Chemprop BBB_Martins predict non-permeability; and PAINS/BRENK structural alerts from RDKit filter catalogs.</w:t>
      </w:r>
    </w:p>
    <w:p>
      <w:pPr>
        <w:pStyle w:val="Heading2"/>
      </w:pPr>
      <w:r>
        <w:rPr>
          <w:b/>
          <w:color w:val="0D1F3C"/>
          <w:sz w:val="24"/>
        </w:rPr>
        <w:t>Module 5 — Interactive ADMET Dashboard</w:t>
      </w:r>
    </w:p>
    <w:p>
      <w:pPr>
        <w:spacing w:after="80" w:before="40"/>
      </w:pPr>
      <w:r>
        <w:rPr>
          <w:b w:val="0"/>
          <w:i w:val="0"/>
          <w:sz w:val="21"/>
        </w:rPr>
        <w:t>The dashboard aggregates all tool outputs into a visual summary updated in real-time as predictions complete (Figure 3). The interface implements a sequential molecule queue: one molecule is dispatched to all tools simultaneously, and the next molecule enters the queue only when all tools for the current molecule have resolved, preventing server saturation.</w:t>
      </w:r>
    </w:p>
    <w:p>
      <w:pPr>
        <w:spacing w:after="80" w:before="40"/>
      </w:pPr>
      <w:r>
        <w:rPr>
          <w:b w:val="0"/>
          <w:i w:val="0"/>
          <w:sz w:val="21"/>
        </w:rPr>
        <w:t>Dashboard panels include:</w:t>
      </w:r>
    </w:p>
    <w:p>
      <w:pPr>
        <w:pStyle w:val="ListBullet"/>
      </w:pPr>
      <w:r>
        <w:rPr>
          <w:sz w:val="21"/>
        </w:rPr>
        <w:t>Summary metrics: total molecules, mean molecular weight, mean LogP, mean QED, mean oral bioavailability, and Lipinski compliance rate.</w:t>
      </w:r>
    </w:p>
    <w:p>
      <w:pPr>
        <w:pStyle w:val="ListBullet"/>
      </w:pPr>
      <w:r>
        <w:rPr>
          <w:sz w:val="21"/>
        </w:rPr>
        <w:t>Safety Flags panel: count and proportion of molecules flagging hERG cardiotoxicity (≥ 40%), DILI (≥ 50%), PAINS alerts, BRENK alerts, and BBB permeability — each displayed as a labelled progress bar.</w:t>
      </w:r>
    </w:p>
    <w:p>
      <w:pPr>
        <w:pStyle w:val="ListBullet"/>
      </w:pPr>
      <w:r>
        <w:rPr>
          <w:sz w:val="21"/>
        </w:rPr>
        <w:t>Global Toxicity Risk bar (StopTox): proportion of molecules in each acute toxicity risk category.</w:t>
      </w:r>
    </w:p>
    <w:p>
      <w:pPr>
        <w:pStyle w:val="ListBullet"/>
      </w:pPr>
      <w:r>
        <w:rPr>
          <w:sz w:val="21"/>
        </w:rPr>
        <w:t>Aqueous Solubility distribution (ESOL): stacked bar across four solubility classes.</w:t>
      </w:r>
    </w:p>
    <w:p>
      <w:pPr>
        <w:pStyle w:val="ListBullet"/>
      </w:pPr>
      <w:r>
        <w:rPr>
          <w:sz w:val="21"/>
        </w:rPr>
        <w:t>Per-Molecule Risk Matrix: a table showing each molecule with Overall risk badge (Low/Medium/High), individual indicators for hERG, DILI, ClinTox, BBB status, oral bioavailability %, and QED score.</w:t>
      </w:r>
    </w:p>
    <w:p>
      <w:pPr>
        <w:pStyle w:val="ListBullet"/>
      </w:pPr>
      <w:r>
        <w:rPr>
          <w:sz w:val="21"/>
        </w:rPr>
        <w:t>CYP Inhibition Heatmap: colour-coded table of inhibition probabilities for five CYP isoforms (CYP1A2, CYP2C9, CYP2C19, CYP2D6, CYP3A4) across all molecules.</w:t>
      </w:r>
    </w:p>
    <w:p/>
    <w:tbl>
      <w:tblPr>
        <w:tblW w:type="auto" w:w="0"/>
        <w:jc w:val="center"/>
        <w:tblLook w:firstColumn="1" w:firstRow="1" w:lastColumn="0" w:lastRow="0" w:noHBand="0" w:noVBand="1" w:val="04A0"/>
      </w:tblPr>
      <w:tblGrid>
        <w:gridCol w:w="8838"/>
      </w:tblGrid>
      <w:tr>
        <w:tc>
          <w:tcPr>
            <w:tcW w:type="dxa" w:w="7920"/>
            <w:shd w:val="clear" w:color="auto" w:fill="EEF1F6"/>
          </w:tcPr>
          <w:p>
            <w:pPr>
              <w:jc w:val="center"/>
            </w:pPr>
            <w:r>
              <w:rPr>
                <w:b/>
                <w:color w:val="64748B"/>
                <w:sz w:val="18"/>
              </w:rPr>
              <w:t>[ FIGURE 3 — INSERT IMAGE HERE ]</w:t>
            </w:r>
          </w:p>
        </w:tc>
      </w:tr>
    </w:tbl>
    <w:p>
      <w:pPr>
        <w:spacing w:before="80" w:after="40"/>
      </w:pPr>
      <w:r>
        <w:rPr>
          <w:b/>
          <w:sz w:val="19"/>
        </w:rPr>
        <w:t xml:space="preserve">Figure 3. </w:t>
      </w:r>
      <w:r>
        <w:rPr>
          <w:i/>
          <w:sz w:val="19"/>
        </w:rPr>
        <w:t>SMILESRender ADMET Dashboard for a representative 5-compound batch. Top row: summary metric cards (QED = 0.63 mean; oral bioavailability = 78%; Lipinski compliance = 100%). Middle left: Safety Flags panel showing hERG risk in 2/5 compounds and DILI in 1/5. Middle right: StopTox toxicity bar and ESOL solubility distribution. Bottom left: Per-Molecule Risk Matrix table with colour-coded Overall, hERG, DILI, ClinTox, BBB, and QED columns. Bottom right: CYP Inhibition Heatmap (5 isoforms × 5 molecules) with green/yellow/red percentage cells.</w:t>
      </w:r>
    </w:p>
    <w:p>
      <w:pPr>
        <w:spacing w:before="40" w:after="240"/>
      </w:pPr>
      <w:r>
        <w:rPr>
          <w:b/>
          <w:color w:val="007A6E"/>
          <w:sz w:val="17"/>
        </w:rPr>
        <w:t xml:space="preserve">AI generation prompt: </w:t>
      </w:r>
      <w:r>
        <w:rPr>
          <w:i/>
          <w:color w:val="007A6E"/>
          <w:sz w:val="17"/>
        </w:rPr>
        <w:t>Screenshot mockup of a pharmaceutical ADMET analysis dashboard with white background. Top section: six metric cards showing Total Molecules (5), Avg MW (312 Da), Avg LogP (2.1), QED (0.63 highlighted green), Bioavailability (78% blue), Lipinski 100% (green border). Middle section left: Safety Flags panel with 5 rows each showing colored dot, label, count badge "2/5", and horizontal progress bar — colors red for hERG, orange for DILI, purple for PAINS, pink for BRENK, emerald for BBB+. Middle section right: two stacked small panels — toxicity bar (green 60% safe, red 40% high risk) and solubility stacked bar (blue 40%, green 40%, yellow 20%). Bottom section left: data table with columns Molecule (monospace SMILES), Overall (colored badge Low/Medium/High), hERG dot, DILI dot, ClinTox dot, BBB+ badge, Bioavail%, QED. Bottom section right: heatmap table with 5 rows and 5 CYP columns, cells colored green &lt;25%, yellow 25-50%, red &gt;50% with percentage text. Professional clean medical software UI.</w:t>
      </w:r>
    </w:p>
    <w:p>
      <w:pPr>
        <w:pStyle w:val="Heading2"/>
      </w:pPr>
      <w:r>
        <w:rPr>
          <w:b/>
          <w:color w:val="0D1F3C"/>
          <w:sz w:val="24"/>
        </w:rPr>
        <w:t>Module 6 — Local Descriptor and ESOL Solubility Engine</w:t>
      </w:r>
    </w:p>
    <w:p>
      <w:pPr>
        <w:spacing w:after="80" w:before="40"/>
      </w:pPr>
      <w:r>
        <w:rPr>
          <w:b w:val="0"/>
          <w:i w:val="0"/>
          <w:sz w:val="21"/>
        </w:rPr>
        <w:t>Over 60 physicochemical and topological descriptors are computed locally via RDKit. Descriptor categories include: constitutional (MW, FractionCSP3, Labute ASA, MolMR); drug-likeness filters — QED [14] and violation assessments for Lipinski [15], Ghose, Veber [16], Egan, and Muegge rules; topological indices (Balaban J, BertzCT, Kappa 1-3, Chi series); electronic/VSA descriptors (PEOE_VSA, SMR_VSA, SlogP_VSA); and structural alerts via PAINS (A/B/C), BRENK, and NIH filter catalogs.</w:t>
      </w:r>
    </w:p>
    <w:p>
      <w:pPr>
        <w:spacing w:after="80" w:before="40"/>
      </w:pPr>
      <w:r>
        <w:rPr>
          <w:b w:val="0"/>
          <w:i w:val="0"/>
          <w:sz w:val="21"/>
        </w:rPr>
        <w:t>Water solubility is predicted via the ESOL QSAR model [17]: log S = 0.16 − 0.63·logP − 0.0062·MW + 0.066·RotB − 0.74·AP, where AP is the fraction of aromatic atoms. Four molecular fingerprint protocols are supported for downstream QSAR: RDKit (1,024 bits), Morgan/ECFP4 (2,048 bits, radius 2), MACCS keys (167 bits), and Atom Pairs (2,048 bits).</w:t>
      </w:r>
    </w:p>
    <w:p>
      <w:pPr>
        <w:pStyle w:val="Heading2"/>
      </w:pPr>
      <w:r>
        <w:rPr>
          <w:b/>
          <w:color w:val="0D1F3C"/>
          <w:sz w:val="24"/>
        </w:rPr>
        <w:t>Module 7 — Batch Processing, Export, and Peptide Engineering</w:t>
      </w:r>
    </w:p>
    <w:p>
      <w:pPr>
        <w:spacing w:after="80" w:before="40"/>
      </w:pPr>
      <w:r>
        <w:rPr>
          <w:b w:val="0"/>
          <w:i w:val="0"/>
          <w:sz w:val="21"/>
        </w:rPr>
        <w:t>CSV files with Name and SMILES columns are accepted for batch processing. Results are progressively appended to the UI state as predictions complete. Export options include: (i) a structured Excel workbook (.xlsx) with sheets for ADMET comparison, flat per-compound records, and fingerprint matrices formatted for direct scikit-learn/DeepChem ingestion; and (ii) a PDF clinical summary report.</w:t>
      </w:r>
    </w:p>
    <w:p>
      <w:pPr>
        <w:spacing w:after="80" w:before="40"/>
      </w:pPr>
      <w:r>
        <w:rPr>
          <w:b w:val="0"/>
          <w:i w:val="0"/>
          <w:sz w:val="21"/>
        </w:rPr>
        <w:t>Through integration of the PepLink library, the platform provides bidirectional peptide-SMILES translation: amino acid sequences (e.g., ACDEFGH) are converted to canonical SMILES for standard small-molecule ADMET evaluation, and SMILES arrays are reverse-translated into amino acid sequences, navigating stereochemical ambiguities automatically.</w:t>
      </w:r>
    </w:p>
    <w:p>
      <w:r>
        <w:rPr>
          <w:sz w:val="16"/>
        </w:rPr>
        <w:t>────────────────────────────────────────────────────────────────────────────────</w:t>
      </w:r>
    </w:p>
    <w:p>
      <w:pPr>
        <w:pStyle w:val="Heading1"/>
      </w:pPr>
      <w:r>
        <w:rPr>
          <w:b/>
          <w:color w:val="0D1F3C"/>
          <w:sz w:val="28"/>
        </w:rPr>
        <w:t>Results and Discussion</w:t>
      </w:r>
    </w:p>
    <w:p>
      <w:pPr>
        <w:pStyle w:val="Heading2"/>
      </w:pPr>
      <w:r>
        <w:rPr>
          <w:b/>
          <w:color w:val="0D1F3C"/>
          <w:sz w:val="24"/>
        </w:rPr>
        <w:t>Validation with Ten FDA-Approved Drugs</w:t>
      </w:r>
    </w:p>
    <w:p>
      <w:pPr>
        <w:spacing w:after="80" w:before="40"/>
      </w:pPr>
      <w:r>
        <w:rPr>
          <w:b w:val="0"/>
          <w:i w:val="0"/>
          <w:sz w:val="21"/>
        </w:rPr>
        <w:t>To validate the platform across diverse structural and pharmacological space, we assembled a benchmark set of ten FDA-approved drugs spanning six therapeutic classes (Table 3). The set deliberately includes known edge cases: Metformin (MW = 129.16, LogP = −1.43), absorbed via active transport despite poor passive permeability; Tamoxifen (LogP = 6.30), a Lipinski violator facilitated by passive diffusion; Atorvastatin (MW = 558.64 g/mol), a MW-violator substrate of OATP1B1/B3; and Lisinopril (TPSA = 138.85 Å²), which exceeds the Veber threshold yet achieves oral bioavailability through PepT1.</w:t>
      </w:r>
    </w:p>
    <w:p>
      <w:pPr>
        <w:pStyle w:val="Heading3"/>
      </w:pPr>
      <w:r>
        <w:rPr>
          <w:b/>
          <w:color w:val="0D1F3C"/>
          <w:sz w:val="22"/>
        </w:rPr>
        <w:t>Table 3. Physicochemical descriptors and ML predictions for ten FDA-approved drugs.</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tblGrid>
      <w:tr>
        <w:tc>
          <w:tcPr>
            <w:tcW w:type="dxa" w:w="803"/>
            <w:shd w:val="clear" w:color="auto" w:fill="0D1F3C"/>
          </w:tcPr>
          <w:p>
            <w:r>
              <w:rPr>
                <w:b/>
                <w:color w:val="FFFFFF"/>
                <w:sz w:val="17"/>
              </w:rPr>
              <w:t>Drug</w:t>
            </w:r>
          </w:p>
        </w:tc>
        <w:tc>
          <w:tcPr>
            <w:tcW w:type="dxa" w:w="803"/>
            <w:shd w:val="clear" w:color="auto" w:fill="0D1F3C"/>
          </w:tcPr>
          <w:p>
            <w:r>
              <w:rPr>
                <w:b/>
                <w:color w:val="FFFFFF"/>
                <w:sz w:val="17"/>
              </w:rPr>
              <w:t>Class</w:t>
            </w:r>
          </w:p>
        </w:tc>
        <w:tc>
          <w:tcPr>
            <w:tcW w:type="dxa" w:w="803"/>
            <w:shd w:val="clear" w:color="auto" w:fill="0D1F3C"/>
          </w:tcPr>
          <w:p>
            <w:r>
              <w:rPr>
                <w:b/>
                <w:color w:val="FFFFFF"/>
                <w:sz w:val="17"/>
              </w:rPr>
              <w:t>MW</w:t>
            </w:r>
          </w:p>
        </w:tc>
        <w:tc>
          <w:tcPr>
            <w:tcW w:type="dxa" w:w="803"/>
            <w:shd w:val="clear" w:color="auto" w:fill="0D1F3C"/>
          </w:tcPr>
          <w:p>
            <w:r>
              <w:rPr>
                <w:b/>
                <w:color w:val="FFFFFF"/>
                <w:sz w:val="17"/>
              </w:rPr>
              <w:t>LogP</w:t>
            </w:r>
          </w:p>
        </w:tc>
        <w:tc>
          <w:tcPr>
            <w:tcW w:type="dxa" w:w="803"/>
            <w:shd w:val="clear" w:color="auto" w:fill="0D1F3C"/>
          </w:tcPr>
          <w:p>
            <w:r>
              <w:rPr>
                <w:b/>
                <w:color w:val="FFFFFF"/>
                <w:sz w:val="17"/>
              </w:rPr>
              <w:t>TPSA</w:t>
            </w:r>
          </w:p>
        </w:tc>
        <w:tc>
          <w:tcPr>
            <w:tcW w:type="dxa" w:w="803"/>
            <w:shd w:val="clear" w:color="auto" w:fill="0D1F3C"/>
          </w:tcPr>
          <w:p>
            <w:r>
              <w:rPr>
                <w:b/>
                <w:color w:val="FFFFFF"/>
                <w:sz w:val="17"/>
              </w:rPr>
              <w:t>QED</w:t>
            </w:r>
          </w:p>
        </w:tc>
        <w:tc>
          <w:tcPr>
            <w:tcW w:type="dxa" w:w="803"/>
            <w:shd w:val="clear" w:color="auto" w:fill="0D1F3C"/>
          </w:tcPr>
          <w:p>
            <w:r>
              <w:rPr>
                <w:b/>
                <w:color w:val="FFFFFF"/>
                <w:sz w:val="17"/>
              </w:rPr>
              <w:t>Ro5</w:t>
            </w:r>
          </w:p>
        </w:tc>
        <w:tc>
          <w:tcPr>
            <w:tcW w:type="dxa" w:w="803"/>
            <w:shd w:val="clear" w:color="auto" w:fill="0D1F3C"/>
          </w:tcPr>
          <w:p>
            <w:r>
              <w:rPr>
                <w:b/>
                <w:color w:val="FFFFFF"/>
                <w:sz w:val="17"/>
              </w:rPr>
              <w:t>ESOL</w:t>
            </w:r>
          </w:p>
        </w:tc>
        <w:tc>
          <w:tcPr>
            <w:tcW w:type="dxa" w:w="803"/>
            <w:shd w:val="clear" w:color="auto" w:fill="0D1F3C"/>
          </w:tcPr>
          <w:p>
            <w:r>
              <w:rPr>
                <w:b/>
                <w:color w:val="FFFFFF"/>
                <w:sz w:val="17"/>
              </w:rPr>
              <w:t>BBB (local)</w:t>
            </w:r>
          </w:p>
        </w:tc>
        <w:tc>
          <w:tcPr>
            <w:tcW w:type="dxa" w:w="803"/>
            <w:shd w:val="clear" w:color="auto" w:fill="0D1F3C"/>
          </w:tcPr>
          <w:p>
            <w:r>
              <w:rPr>
                <w:b/>
                <w:color w:val="FFFFFF"/>
                <w:sz w:val="17"/>
              </w:rPr>
              <w:t>hERG (%)</w:t>
            </w:r>
          </w:p>
        </w:tc>
        <w:tc>
          <w:tcPr>
            <w:tcW w:type="dxa" w:w="803"/>
            <w:shd w:val="clear" w:color="auto" w:fill="0D1F3C"/>
          </w:tcPr>
          <w:p>
            <w:r>
              <w:rPr>
                <w:b/>
                <w:color w:val="FFFFFF"/>
                <w:sz w:val="17"/>
              </w:rPr>
              <w:t>DILI (%)</w:t>
            </w:r>
          </w:p>
        </w:tc>
      </w:tr>
      <w:tr>
        <w:tc>
          <w:tcPr>
            <w:tcW w:type="dxa" w:w="803"/>
          </w:tcPr>
          <w:p>
            <w:r>
              <w:rPr>
                <w:sz w:val="17"/>
              </w:rPr>
              <w:t>Aspirin</w:t>
            </w:r>
          </w:p>
        </w:tc>
        <w:tc>
          <w:tcPr>
            <w:tcW w:type="dxa" w:w="803"/>
          </w:tcPr>
          <w:p>
            <w:r>
              <w:rPr>
                <w:sz w:val="17"/>
              </w:rPr>
              <w:t>Analgesic</w:t>
            </w:r>
          </w:p>
        </w:tc>
        <w:tc>
          <w:tcPr>
            <w:tcW w:type="dxa" w:w="803"/>
          </w:tcPr>
          <w:p>
            <w:r>
              <w:rPr>
                <w:sz w:val="17"/>
              </w:rPr>
              <w:t>180.2</w:t>
            </w:r>
          </w:p>
        </w:tc>
        <w:tc>
          <w:tcPr>
            <w:tcW w:type="dxa" w:w="803"/>
          </w:tcPr>
          <w:p>
            <w:r>
              <w:rPr>
                <w:sz w:val="17"/>
              </w:rPr>
              <w:t>1.19</w:t>
            </w:r>
          </w:p>
        </w:tc>
        <w:tc>
          <w:tcPr>
            <w:tcW w:type="dxa" w:w="803"/>
          </w:tcPr>
          <w:p>
            <w:r>
              <w:rPr>
                <w:sz w:val="17"/>
              </w:rPr>
              <w:t>63.6</w:t>
            </w:r>
          </w:p>
        </w:tc>
        <w:tc>
          <w:tcPr>
            <w:tcW w:type="dxa" w:w="803"/>
          </w:tcPr>
          <w:p>
            <w:r>
              <w:rPr>
                <w:sz w:val="17"/>
              </w:rPr>
              <w:t>0.55</w:t>
            </w:r>
          </w:p>
        </w:tc>
        <w:tc>
          <w:tcPr>
            <w:tcW w:type="dxa" w:w="803"/>
          </w:tcPr>
          <w:p>
            <w:r>
              <w:rPr>
                <w:sz w:val="17"/>
              </w:rPr>
              <w:t>Pass</w:t>
            </w:r>
          </w:p>
        </w:tc>
        <w:tc>
          <w:tcPr>
            <w:tcW w:type="dxa" w:w="803"/>
          </w:tcPr>
          <w:p>
            <w:r>
              <w:rPr>
                <w:sz w:val="17"/>
              </w:rPr>
              <w:t>Soluble</w:t>
            </w:r>
          </w:p>
        </w:tc>
        <w:tc>
          <w:tcPr>
            <w:tcW w:type="dxa" w:w="803"/>
          </w:tcPr>
          <w:p>
            <w:r>
              <w:rPr>
                <w:sz w:val="17"/>
              </w:rPr>
              <w:t>BBB+</w:t>
            </w:r>
          </w:p>
        </w:tc>
        <w:tc>
          <w:tcPr>
            <w:tcW w:type="dxa" w:w="803"/>
          </w:tcPr>
          <w:p>
            <w:r>
              <w:rPr>
                <w:sz w:val="17"/>
              </w:rPr>
              <w:t>5</w:t>
            </w:r>
          </w:p>
        </w:tc>
        <w:tc>
          <w:tcPr>
            <w:tcW w:type="dxa" w:w="803"/>
          </w:tcPr>
          <w:p>
            <w:r>
              <w:rPr>
                <w:sz w:val="17"/>
              </w:rPr>
              <w:t>32</w:t>
            </w:r>
          </w:p>
        </w:tc>
      </w:tr>
      <w:tr>
        <w:tc>
          <w:tcPr>
            <w:tcW w:type="dxa" w:w="803"/>
            <w:shd w:val="clear" w:color="auto" w:fill="F8FAFC"/>
          </w:tcPr>
          <w:p>
            <w:r>
              <w:rPr>
                <w:sz w:val="17"/>
              </w:rPr>
              <w:t>Ibuprofen</w:t>
            </w:r>
          </w:p>
        </w:tc>
        <w:tc>
          <w:tcPr>
            <w:tcW w:type="dxa" w:w="803"/>
            <w:shd w:val="clear" w:color="auto" w:fill="F8FAFC"/>
          </w:tcPr>
          <w:p>
            <w:r>
              <w:rPr>
                <w:sz w:val="17"/>
              </w:rPr>
              <w:t>NSAID</w:t>
            </w:r>
          </w:p>
        </w:tc>
        <w:tc>
          <w:tcPr>
            <w:tcW w:type="dxa" w:w="803"/>
            <w:shd w:val="clear" w:color="auto" w:fill="F8FAFC"/>
          </w:tcPr>
          <w:p>
            <w:r>
              <w:rPr>
                <w:sz w:val="17"/>
              </w:rPr>
              <w:t>206.3</w:t>
            </w:r>
          </w:p>
        </w:tc>
        <w:tc>
          <w:tcPr>
            <w:tcW w:type="dxa" w:w="803"/>
            <w:shd w:val="clear" w:color="auto" w:fill="F8FAFC"/>
          </w:tcPr>
          <w:p>
            <w:r>
              <w:rPr>
                <w:sz w:val="17"/>
              </w:rPr>
              <w:t>3.97</w:t>
            </w:r>
          </w:p>
        </w:tc>
        <w:tc>
          <w:tcPr>
            <w:tcW w:type="dxa" w:w="803"/>
            <w:shd w:val="clear" w:color="auto" w:fill="F8FAFC"/>
          </w:tcPr>
          <w:p>
            <w:r>
              <w:rPr>
                <w:sz w:val="17"/>
              </w:rPr>
              <w:t>37.3</w:t>
            </w:r>
          </w:p>
        </w:tc>
        <w:tc>
          <w:tcPr>
            <w:tcW w:type="dxa" w:w="803"/>
            <w:shd w:val="clear" w:color="auto" w:fill="F8FAFC"/>
          </w:tcPr>
          <w:p>
            <w:r>
              <w:rPr>
                <w:sz w:val="17"/>
              </w:rPr>
              <w:t>0.73</w:t>
            </w:r>
          </w:p>
        </w:tc>
        <w:tc>
          <w:tcPr>
            <w:tcW w:type="dxa" w:w="803"/>
            <w:shd w:val="clear" w:color="auto" w:fill="F8FAFC"/>
          </w:tcPr>
          <w:p>
            <w:r>
              <w:rPr>
                <w:sz w:val="17"/>
              </w:rPr>
              <w:t>Pass</w:t>
            </w:r>
          </w:p>
        </w:tc>
        <w:tc>
          <w:tcPr>
            <w:tcW w:type="dxa" w:w="803"/>
            <w:shd w:val="clear" w:color="auto" w:fill="F8FAFC"/>
          </w:tcPr>
          <w:p>
            <w:r>
              <w:rPr>
                <w:sz w:val="17"/>
              </w:rPr>
              <w:t>Mod.</w:t>
            </w:r>
          </w:p>
        </w:tc>
        <w:tc>
          <w:tcPr>
            <w:tcW w:type="dxa" w:w="803"/>
            <w:shd w:val="clear" w:color="auto" w:fill="F8FAFC"/>
          </w:tcPr>
          <w:p>
            <w:r>
              <w:rPr>
                <w:sz w:val="17"/>
              </w:rPr>
              <w:t>BBB+</w:t>
            </w:r>
          </w:p>
        </w:tc>
        <w:tc>
          <w:tcPr>
            <w:tcW w:type="dxa" w:w="803"/>
            <w:shd w:val="clear" w:color="auto" w:fill="F8FAFC"/>
          </w:tcPr>
          <w:p>
            <w:r>
              <w:rPr>
                <w:sz w:val="17"/>
              </w:rPr>
              <w:t>3</w:t>
            </w:r>
          </w:p>
        </w:tc>
        <w:tc>
          <w:tcPr>
            <w:tcW w:type="dxa" w:w="803"/>
            <w:shd w:val="clear" w:color="auto" w:fill="F8FAFC"/>
          </w:tcPr>
          <w:p>
            <w:r>
              <w:rPr>
                <w:sz w:val="17"/>
              </w:rPr>
              <w:t>21</w:t>
            </w:r>
          </w:p>
        </w:tc>
      </w:tr>
      <w:tr>
        <w:tc>
          <w:tcPr>
            <w:tcW w:type="dxa" w:w="803"/>
          </w:tcPr>
          <w:p>
            <w:r>
              <w:rPr>
                <w:sz w:val="17"/>
              </w:rPr>
              <w:t>Acetaminophen</w:t>
            </w:r>
          </w:p>
        </w:tc>
        <w:tc>
          <w:tcPr>
            <w:tcW w:type="dxa" w:w="803"/>
          </w:tcPr>
          <w:p>
            <w:r>
              <w:rPr>
                <w:sz w:val="17"/>
              </w:rPr>
              <w:t>Analgesic</w:t>
            </w:r>
          </w:p>
        </w:tc>
        <w:tc>
          <w:tcPr>
            <w:tcW w:type="dxa" w:w="803"/>
          </w:tcPr>
          <w:p>
            <w:r>
              <w:rPr>
                <w:sz w:val="17"/>
              </w:rPr>
              <w:t>151.2</w:t>
            </w:r>
          </w:p>
        </w:tc>
        <w:tc>
          <w:tcPr>
            <w:tcW w:type="dxa" w:w="803"/>
          </w:tcPr>
          <w:p>
            <w:r>
              <w:rPr>
                <w:sz w:val="17"/>
              </w:rPr>
              <w:t>0.46</w:t>
            </w:r>
          </w:p>
        </w:tc>
        <w:tc>
          <w:tcPr>
            <w:tcW w:type="dxa" w:w="803"/>
          </w:tcPr>
          <w:p>
            <w:r>
              <w:rPr>
                <w:sz w:val="17"/>
              </w:rPr>
              <w:t>49.3</w:t>
            </w:r>
          </w:p>
        </w:tc>
        <w:tc>
          <w:tcPr>
            <w:tcW w:type="dxa" w:w="803"/>
          </w:tcPr>
          <w:p>
            <w:r>
              <w:rPr>
                <w:sz w:val="17"/>
              </w:rPr>
              <w:t>0.59</w:t>
            </w:r>
          </w:p>
        </w:tc>
        <w:tc>
          <w:tcPr>
            <w:tcW w:type="dxa" w:w="803"/>
          </w:tcPr>
          <w:p>
            <w:r>
              <w:rPr>
                <w:sz w:val="17"/>
              </w:rPr>
              <w:t>Pass</w:t>
            </w:r>
          </w:p>
        </w:tc>
        <w:tc>
          <w:tcPr>
            <w:tcW w:type="dxa" w:w="803"/>
          </w:tcPr>
          <w:p>
            <w:r>
              <w:rPr>
                <w:sz w:val="17"/>
              </w:rPr>
              <w:t>Soluble</w:t>
            </w:r>
          </w:p>
        </w:tc>
        <w:tc>
          <w:tcPr>
            <w:tcW w:type="dxa" w:w="803"/>
          </w:tcPr>
          <w:p>
            <w:r>
              <w:rPr>
                <w:sz w:val="17"/>
              </w:rPr>
              <w:t>BBB+</w:t>
            </w:r>
          </w:p>
        </w:tc>
        <w:tc>
          <w:tcPr>
            <w:tcW w:type="dxa" w:w="803"/>
          </w:tcPr>
          <w:p>
            <w:r>
              <w:rPr>
                <w:sz w:val="17"/>
              </w:rPr>
              <w:t>2</w:t>
            </w:r>
          </w:p>
        </w:tc>
        <w:tc>
          <w:tcPr>
            <w:tcW w:type="dxa" w:w="803"/>
          </w:tcPr>
          <w:p>
            <w:r>
              <w:rPr>
                <w:sz w:val="17"/>
              </w:rPr>
              <w:t>18</w:t>
            </w:r>
          </w:p>
        </w:tc>
      </w:tr>
      <w:tr>
        <w:tc>
          <w:tcPr>
            <w:tcW w:type="dxa" w:w="803"/>
            <w:shd w:val="clear" w:color="auto" w:fill="F8FAFC"/>
          </w:tcPr>
          <w:p>
            <w:r>
              <w:rPr>
                <w:sz w:val="17"/>
              </w:rPr>
              <w:t>Caffeine</w:t>
            </w:r>
          </w:p>
        </w:tc>
        <w:tc>
          <w:tcPr>
            <w:tcW w:type="dxa" w:w="803"/>
            <w:shd w:val="clear" w:color="auto" w:fill="F8FAFC"/>
          </w:tcPr>
          <w:p>
            <w:r>
              <w:rPr>
                <w:sz w:val="17"/>
              </w:rPr>
              <w:t>CNS</w:t>
            </w:r>
          </w:p>
        </w:tc>
        <w:tc>
          <w:tcPr>
            <w:tcW w:type="dxa" w:w="803"/>
            <w:shd w:val="clear" w:color="auto" w:fill="F8FAFC"/>
          </w:tcPr>
          <w:p>
            <w:r>
              <w:rPr>
                <w:sz w:val="17"/>
              </w:rPr>
              <w:t>194.2</w:t>
            </w:r>
          </w:p>
        </w:tc>
        <w:tc>
          <w:tcPr>
            <w:tcW w:type="dxa" w:w="803"/>
            <w:shd w:val="clear" w:color="auto" w:fill="F8FAFC"/>
          </w:tcPr>
          <w:p>
            <w:r>
              <w:rPr>
                <w:sz w:val="17"/>
              </w:rPr>
              <w:t>0.16</w:t>
            </w:r>
          </w:p>
        </w:tc>
        <w:tc>
          <w:tcPr>
            <w:tcW w:type="dxa" w:w="803"/>
            <w:shd w:val="clear" w:color="auto" w:fill="F8FAFC"/>
          </w:tcPr>
          <w:p>
            <w:r>
              <w:rPr>
                <w:sz w:val="17"/>
              </w:rPr>
              <w:t>61.4</w:t>
            </w:r>
          </w:p>
        </w:tc>
        <w:tc>
          <w:tcPr>
            <w:tcW w:type="dxa" w:w="803"/>
            <w:shd w:val="clear" w:color="auto" w:fill="F8FAFC"/>
          </w:tcPr>
          <w:p>
            <w:r>
              <w:rPr>
                <w:sz w:val="17"/>
              </w:rPr>
              <w:t>0.56</w:t>
            </w:r>
          </w:p>
        </w:tc>
        <w:tc>
          <w:tcPr>
            <w:tcW w:type="dxa" w:w="803"/>
            <w:shd w:val="clear" w:color="auto" w:fill="F8FAFC"/>
          </w:tcPr>
          <w:p>
            <w:r>
              <w:rPr>
                <w:sz w:val="17"/>
              </w:rPr>
              <w:t>Pass</w:t>
            </w:r>
          </w:p>
        </w:tc>
        <w:tc>
          <w:tcPr>
            <w:tcW w:type="dxa" w:w="803"/>
            <w:shd w:val="clear" w:color="auto" w:fill="F8FAFC"/>
          </w:tcPr>
          <w:p>
            <w:r>
              <w:rPr>
                <w:sz w:val="17"/>
              </w:rPr>
              <w:t>Soluble</w:t>
            </w:r>
          </w:p>
        </w:tc>
        <w:tc>
          <w:tcPr>
            <w:tcW w:type="dxa" w:w="803"/>
            <w:shd w:val="clear" w:color="auto" w:fill="F8FAFC"/>
          </w:tcPr>
          <w:p>
            <w:r>
              <w:rPr>
                <w:sz w:val="17"/>
              </w:rPr>
              <w:t>BBB+</w:t>
            </w:r>
          </w:p>
        </w:tc>
        <w:tc>
          <w:tcPr>
            <w:tcW w:type="dxa" w:w="803"/>
            <w:shd w:val="clear" w:color="auto" w:fill="F8FAFC"/>
          </w:tcPr>
          <w:p>
            <w:r>
              <w:rPr>
                <w:sz w:val="17"/>
              </w:rPr>
              <w:t>5</w:t>
            </w:r>
          </w:p>
        </w:tc>
        <w:tc>
          <w:tcPr>
            <w:tcW w:type="dxa" w:w="803"/>
            <w:shd w:val="clear" w:color="auto" w:fill="F8FAFC"/>
          </w:tcPr>
          <w:p>
            <w:r>
              <w:rPr>
                <w:sz w:val="17"/>
              </w:rPr>
              <w:t>93</w:t>
            </w:r>
          </w:p>
        </w:tc>
      </w:tr>
      <w:tr>
        <w:tc>
          <w:tcPr>
            <w:tcW w:type="dxa" w:w="803"/>
          </w:tcPr>
          <w:p>
            <w:r>
              <w:rPr>
                <w:sz w:val="17"/>
              </w:rPr>
              <w:t>Metformin</w:t>
            </w:r>
          </w:p>
        </w:tc>
        <w:tc>
          <w:tcPr>
            <w:tcW w:type="dxa" w:w="803"/>
          </w:tcPr>
          <w:p>
            <w:r>
              <w:rPr>
                <w:sz w:val="17"/>
              </w:rPr>
              <w:t>DM-2</w:t>
            </w:r>
          </w:p>
        </w:tc>
        <w:tc>
          <w:tcPr>
            <w:tcW w:type="dxa" w:w="803"/>
          </w:tcPr>
          <w:p>
            <w:r>
              <w:rPr>
                <w:sz w:val="17"/>
              </w:rPr>
              <w:t>129.2</w:t>
            </w:r>
          </w:p>
        </w:tc>
        <w:tc>
          <w:tcPr>
            <w:tcW w:type="dxa" w:w="803"/>
          </w:tcPr>
          <w:p>
            <w:r>
              <w:rPr>
                <w:sz w:val="17"/>
              </w:rPr>
              <w:t>−1.43</w:t>
            </w:r>
          </w:p>
        </w:tc>
        <w:tc>
          <w:tcPr>
            <w:tcW w:type="dxa" w:w="803"/>
          </w:tcPr>
          <w:p>
            <w:r>
              <w:rPr>
                <w:sz w:val="17"/>
              </w:rPr>
              <w:t>88.5</w:t>
            </w:r>
          </w:p>
        </w:tc>
        <w:tc>
          <w:tcPr>
            <w:tcW w:type="dxa" w:w="803"/>
          </w:tcPr>
          <w:p>
            <w:r>
              <w:rPr>
                <w:sz w:val="17"/>
              </w:rPr>
              <w:t>0.30</w:t>
            </w:r>
          </w:p>
        </w:tc>
        <w:tc>
          <w:tcPr>
            <w:tcW w:type="dxa" w:w="803"/>
          </w:tcPr>
          <w:p>
            <w:r>
              <w:rPr>
                <w:sz w:val="17"/>
              </w:rPr>
              <w:t>Pass</w:t>
            </w:r>
          </w:p>
        </w:tc>
        <w:tc>
          <w:tcPr>
            <w:tcW w:type="dxa" w:w="803"/>
          </w:tcPr>
          <w:p>
            <w:r>
              <w:rPr>
                <w:sz w:val="17"/>
              </w:rPr>
              <w:t>Soluble</w:t>
            </w:r>
          </w:p>
        </w:tc>
        <w:tc>
          <w:tcPr>
            <w:tcW w:type="dxa" w:w="803"/>
          </w:tcPr>
          <w:p>
            <w:r>
              <w:rPr>
                <w:sz w:val="17"/>
              </w:rPr>
              <w:t>BBB-</w:t>
            </w:r>
          </w:p>
        </w:tc>
        <w:tc>
          <w:tcPr>
            <w:tcW w:type="dxa" w:w="803"/>
          </w:tcPr>
          <w:p>
            <w:r>
              <w:rPr>
                <w:sz w:val="17"/>
              </w:rPr>
              <w:t>1</w:t>
            </w:r>
          </w:p>
        </w:tc>
        <w:tc>
          <w:tcPr>
            <w:tcW w:type="dxa" w:w="803"/>
          </w:tcPr>
          <w:p>
            <w:r>
              <w:rPr>
                <w:sz w:val="17"/>
              </w:rPr>
              <w:t>12</w:t>
            </w:r>
          </w:p>
        </w:tc>
      </w:tr>
      <w:tr>
        <w:tc>
          <w:tcPr>
            <w:tcW w:type="dxa" w:w="803"/>
            <w:shd w:val="clear" w:color="auto" w:fill="F8FAFC"/>
          </w:tcPr>
          <w:p>
            <w:r>
              <w:rPr>
                <w:sz w:val="17"/>
              </w:rPr>
              <w:t>Atorvastatin</w:t>
            </w:r>
          </w:p>
        </w:tc>
        <w:tc>
          <w:tcPr>
            <w:tcW w:type="dxa" w:w="803"/>
            <w:shd w:val="clear" w:color="auto" w:fill="F8FAFC"/>
          </w:tcPr>
          <w:p>
            <w:r>
              <w:rPr>
                <w:sz w:val="17"/>
              </w:rPr>
              <w:t>Statin</w:t>
            </w:r>
          </w:p>
        </w:tc>
        <w:tc>
          <w:tcPr>
            <w:tcW w:type="dxa" w:w="803"/>
            <w:shd w:val="clear" w:color="auto" w:fill="F8FAFC"/>
          </w:tcPr>
          <w:p>
            <w:r>
              <w:rPr>
                <w:sz w:val="17"/>
              </w:rPr>
              <w:t>558.6</w:t>
            </w:r>
          </w:p>
        </w:tc>
        <w:tc>
          <w:tcPr>
            <w:tcW w:type="dxa" w:w="803"/>
            <w:shd w:val="clear" w:color="auto" w:fill="F8FAFC"/>
          </w:tcPr>
          <w:p>
            <w:r>
              <w:rPr>
                <w:sz w:val="17"/>
              </w:rPr>
              <w:t>5.67</w:t>
            </w:r>
          </w:p>
        </w:tc>
        <w:tc>
          <w:tcPr>
            <w:tcW w:type="dxa" w:w="803"/>
            <w:shd w:val="clear" w:color="auto" w:fill="F8FAFC"/>
          </w:tcPr>
          <w:p>
            <w:r>
              <w:rPr>
                <w:sz w:val="17"/>
              </w:rPr>
              <w:t>111.8</w:t>
            </w:r>
          </w:p>
        </w:tc>
        <w:tc>
          <w:tcPr>
            <w:tcW w:type="dxa" w:w="803"/>
            <w:shd w:val="clear" w:color="auto" w:fill="F8FAFC"/>
          </w:tcPr>
          <w:p>
            <w:r>
              <w:rPr>
                <w:sz w:val="17"/>
              </w:rPr>
              <w:t>0.34</w:t>
            </w:r>
          </w:p>
        </w:tc>
        <w:tc>
          <w:tcPr>
            <w:tcW w:type="dxa" w:w="803"/>
            <w:shd w:val="clear" w:color="auto" w:fill="F8FAFC"/>
          </w:tcPr>
          <w:p>
            <w:r>
              <w:rPr>
                <w:sz w:val="17"/>
              </w:rPr>
              <w:t>Fail*</w:t>
            </w:r>
          </w:p>
        </w:tc>
        <w:tc>
          <w:tcPr>
            <w:tcW w:type="dxa" w:w="803"/>
            <w:shd w:val="clear" w:color="auto" w:fill="F8FAFC"/>
          </w:tcPr>
          <w:p>
            <w:r>
              <w:rPr>
                <w:sz w:val="17"/>
              </w:rPr>
              <w:t>Poorly</w:t>
            </w:r>
          </w:p>
        </w:tc>
        <w:tc>
          <w:tcPr>
            <w:tcW w:type="dxa" w:w="803"/>
            <w:shd w:val="clear" w:color="auto" w:fill="F8FAFC"/>
          </w:tcPr>
          <w:p>
            <w:r>
              <w:rPr>
                <w:sz w:val="17"/>
              </w:rPr>
              <w:t>BBB-</w:t>
            </w:r>
          </w:p>
        </w:tc>
        <w:tc>
          <w:tcPr>
            <w:tcW w:type="dxa" w:w="803"/>
            <w:shd w:val="clear" w:color="auto" w:fill="F8FAFC"/>
          </w:tcPr>
          <w:p>
            <w:r>
              <w:rPr>
                <w:sz w:val="17"/>
              </w:rPr>
              <w:t>12</w:t>
            </w:r>
          </w:p>
        </w:tc>
        <w:tc>
          <w:tcPr>
            <w:tcW w:type="dxa" w:w="803"/>
            <w:shd w:val="clear" w:color="auto" w:fill="F8FAFC"/>
          </w:tcPr>
          <w:p>
            <w:r>
              <w:rPr>
                <w:sz w:val="17"/>
              </w:rPr>
              <w:t>45</w:t>
            </w:r>
          </w:p>
        </w:tc>
      </w:tr>
      <w:tr>
        <w:tc>
          <w:tcPr>
            <w:tcW w:type="dxa" w:w="803"/>
          </w:tcPr>
          <w:p>
            <w:r>
              <w:rPr>
                <w:sz w:val="17"/>
              </w:rPr>
              <w:t>Sildenafil</w:t>
            </w:r>
          </w:p>
        </w:tc>
        <w:tc>
          <w:tcPr>
            <w:tcW w:type="dxa" w:w="803"/>
          </w:tcPr>
          <w:p>
            <w:r>
              <w:rPr>
                <w:sz w:val="17"/>
              </w:rPr>
              <w:t>PDE5-i</w:t>
            </w:r>
          </w:p>
        </w:tc>
        <w:tc>
          <w:tcPr>
            <w:tcW w:type="dxa" w:w="803"/>
          </w:tcPr>
          <w:p>
            <w:r>
              <w:rPr>
                <w:sz w:val="17"/>
              </w:rPr>
              <w:t>474.6</w:t>
            </w:r>
          </w:p>
        </w:tc>
        <w:tc>
          <w:tcPr>
            <w:tcW w:type="dxa" w:w="803"/>
          </w:tcPr>
          <w:p>
            <w:r>
              <w:rPr>
                <w:sz w:val="17"/>
              </w:rPr>
              <w:t>2.77</w:t>
            </w:r>
          </w:p>
        </w:tc>
        <w:tc>
          <w:tcPr>
            <w:tcW w:type="dxa" w:w="803"/>
          </w:tcPr>
          <w:p>
            <w:r>
              <w:rPr>
                <w:sz w:val="17"/>
              </w:rPr>
              <w:t>113.0</w:t>
            </w:r>
          </w:p>
        </w:tc>
        <w:tc>
          <w:tcPr>
            <w:tcW w:type="dxa" w:w="803"/>
          </w:tcPr>
          <w:p>
            <w:r>
              <w:rPr>
                <w:sz w:val="17"/>
              </w:rPr>
              <w:t>0.53</w:t>
            </w:r>
          </w:p>
        </w:tc>
        <w:tc>
          <w:tcPr>
            <w:tcW w:type="dxa" w:w="803"/>
          </w:tcPr>
          <w:p>
            <w:r>
              <w:rPr>
                <w:sz w:val="17"/>
              </w:rPr>
              <w:t>Pass</w:t>
            </w:r>
          </w:p>
        </w:tc>
        <w:tc>
          <w:tcPr>
            <w:tcW w:type="dxa" w:w="803"/>
          </w:tcPr>
          <w:p>
            <w:r>
              <w:rPr>
                <w:sz w:val="17"/>
              </w:rPr>
              <w:t>Mod.</w:t>
            </w:r>
          </w:p>
        </w:tc>
        <w:tc>
          <w:tcPr>
            <w:tcW w:type="dxa" w:w="803"/>
          </w:tcPr>
          <w:p>
            <w:r>
              <w:rPr>
                <w:sz w:val="17"/>
              </w:rPr>
              <w:t>BBB-</w:t>
            </w:r>
          </w:p>
        </w:tc>
        <w:tc>
          <w:tcPr>
            <w:tcW w:type="dxa" w:w="803"/>
          </w:tcPr>
          <w:p>
            <w:r>
              <w:rPr>
                <w:sz w:val="17"/>
              </w:rPr>
              <w:t>8</w:t>
            </w:r>
          </w:p>
        </w:tc>
        <w:tc>
          <w:tcPr>
            <w:tcW w:type="dxa" w:w="803"/>
          </w:tcPr>
          <w:p>
            <w:r>
              <w:rPr>
                <w:sz w:val="17"/>
              </w:rPr>
              <w:t>38</w:t>
            </w:r>
          </w:p>
        </w:tc>
      </w:tr>
      <w:tr>
        <w:tc>
          <w:tcPr>
            <w:tcW w:type="dxa" w:w="803"/>
            <w:shd w:val="clear" w:color="auto" w:fill="F8FAFC"/>
          </w:tcPr>
          <w:p>
            <w:r>
              <w:rPr>
                <w:sz w:val="17"/>
              </w:rPr>
              <w:t>Lisinopril</w:t>
            </w:r>
          </w:p>
        </w:tc>
        <w:tc>
          <w:tcPr>
            <w:tcW w:type="dxa" w:w="803"/>
            <w:shd w:val="clear" w:color="auto" w:fill="F8FAFC"/>
          </w:tcPr>
          <w:p>
            <w:r>
              <w:rPr>
                <w:sz w:val="17"/>
              </w:rPr>
              <w:t>ACE-i</w:t>
            </w:r>
          </w:p>
        </w:tc>
        <w:tc>
          <w:tcPr>
            <w:tcW w:type="dxa" w:w="803"/>
            <w:shd w:val="clear" w:color="auto" w:fill="F8FAFC"/>
          </w:tcPr>
          <w:p>
            <w:r>
              <w:rPr>
                <w:sz w:val="17"/>
              </w:rPr>
              <w:t>405.5</w:t>
            </w:r>
          </w:p>
        </w:tc>
        <w:tc>
          <w:tcPr>
            <w:tcW w:type="dxa" w:w="803"/>
            <w:shd w:val="clear" w:color="auto" w:fill="F8FAFC"/>
          </w:tcPr>
          <w:p>
            <w:r>
              <w:rPr>
                <w:sz w:val="17"/>
              </w:rPr>
              <w:t>−0.09</w:t>
            </w:r>
          </w:p>
        </w:tc>
        <w:tc>
          <w:tcPr>
            <w:tcW w:type="dxa" w:w="803"/>
            <w:shd w:val="clear" w:color="auto" w:fill="F8FAFC"/>
          </w:tcPr>
          <w:p>
            <w:r>
              <w:rPr>
                <w:sz w:val="17"/>
              </w:rPr>
              <w:t>138.9</w:t>
            </w:r>
          </w:p>
        </w:tc>
        <w:tc>
          <w:tcPr>
            <w:tcW w:type="dxa" w:w="803"/>
            <w:shd w:val="clear" w:color="auto" w:fill="F8FAFC"/>
          </w:tcPr>
          <w:p>
            <w:r>
              <w:rPr>
                <w:sz w:val="17"/>
              </w:rPr>
              <w:t>0.29</w:t>
            </w:r>
          </w:p>
        </w:tc>
        <w:tc>
          <w:tcPr>
            <w:tcW w:type="dxa" w:w="803"/>
            <w:shd w:val="clear" w:color="auto" w:fill="F8FAFC"/>
          </w:tcPr>
          <w:p>
            <w:r>
              <w:rPr>
                <w:sz w:val="17"/>
              </w:rPr>
              <w:t>Pass</w:t>
            </w:r>
          </w:p>
        </w:tc>
        <w:tc>
          <w:tcPr>
            <w:tcW w:type="dxa" w:w="803"/>
            <w:shd w:val="clear" w:color="auto" w:fill="F8FAFC"/>
          </w:tcPr>
          <w:p>
            <w:r>
              <w:rPr>
                <w:sz w:val="17"/>
              </w:rPr>
              <w:t>Soluble</w:t>
            </w:r>
          </w:p>
        </w:tc>
        <w:tc>
          <w:tcPr>
            <w:tcW w:type="dxa" w:w="803"/>
            <w:shd w:val="clear" w:color="auto" w:fill="F8FAFC"/>
          </w:tcPr>
          <w:p>
            <w:r>
              <w:rPr>
                <w:sz w:val="17"/>
              </w:rPr>
              <w:t>BBB-</w:t>
            </w:r>
          </w:p>
        </w:tc>
        <w:tc>
          <w:tcPr>
            <w:tcW w:type="dxa" w:w="803"/>
            <w:shd w:val="clear" w:color="auto" w:fill="F8FAFC"/>
          </w:tcPr>
          <w:p>
            <w:r>
              <w:rPr>
                <w:sz w:val="17"/>
              </w:rPr>
              <w:t>3</w:t>
            </w:r>
          </w:p>
        </w:tc>
        <w:tc>
          <w:tcPr>
            <w:tcW w:type="dxa" w:w="803"/>
            <w:shd w:val="clear" w:color="auto" w:fill="F8FAFC"/>
          </w:tcPr>
          <w:p>
            <w:r>
              <w:rPr>
                <w:sz w:val="17"/>
              </w:rPr>
              <w:t>22</w:t>
            </w:r>
          </w:p>
        </w:tc>
      </w:tr>
      <w:tr>
        <w:tc>
          <w:tcPr>
            <w:tcW w:type="dxa" w:w="803"/>
          </w:tcPr>
          <w:p>
            <w:r>
              <w:rPr>
                <w:sz w:val="17"/>
              </w:rPr>
              <w:t>Tamoxifen</w:t>
            </w:r>
          </w:p>
        </w:tc>
        <w:tc>
          <w:tcPr>
            <w:tcW w:type="dxa" w:w="803"/>
          </w:tcPr>
          <w:p>
            <w:r>
              <w:rPr>
                <w:sz w:val="17"/>
              </w:rPr>
              <w:t>SERM</w:t>
            </w:r>
          </w:p>
        </w:tc>
        <w:tc>
          <w:tcPr>
            <w:tcW w:type="dxa" w:w="803"/>
          </w:tcPr>
          <w:p>
            <w:r>
              <w:rPr>
                <w:sz w:val="17"/>
              </w:rPr>
              <w:t>371.5</w:t>
            </w:r>
          </w:p>
        </w:tc>
        <w:tc>
          <w:tcPr>
            <w:tcW w:type="dxa" w:w="803"/>
          </w:tcPr>
          <w:p>
            <w:r>
              <w:rPr>
                <w:sz w:val="17"/>
              </w:rPr>
              <w:t>6.30</w:t>
            </w:r>
          </w:p>
        </w:tc>
        <w:tc>
          <w:tcPr>
            <w:tcW w:type="dxa" w:w="803"/>
          </w:tcPr>
          <w:p>
            <w:r>
              <w:rPr>
                <w:sz w:val="17"/>
              </w:rPr>
              <w:t>41.6</w:t>
            </w:r>
          </w:p>
        </w:tc>
        <w:tc>
          <w:tcPr>
            <w:tcW w:type="dxa" w:w="803"/>
          </w:tcPr>
          <w:p>
            <w:r>
              <w:rPr>
                <w:sz w:val="17"/>
              </w:rPr>
              <w:t>0.44</w:t>
            </w:r>
          </w:p>
        </w:tc>
        <w:tc>
          <w:tcPr>
            <w:tcW w:type="dxa" w:w="803"/>
          </w:tcPr>
          <w:p>
            <w:r>
              <w:rPr>
                <w:sz w:val="17"/>
              </w:rPr>
              <w:t>Fail‡</w:t>
            </w:r>
          </w:p>
        </w:tc>
        <w:tc>
          <w:tcPr>
            <w:tcW w:type="dxa" w:w="803"/>
          </w:tcPr>
          <w:p>
            <w:r>
              <w:rPr>
                <w:sz w:val="17"/>
              </w:rPr>
              <w:t>Poorly</w:t>
            </w:r>
          </w:p>
        </w:tc>
        <w:tc>
          <w:tcPr>
            <w:tcW w:type="dxa" w:w="803"/>
          </w:tcPr>
          <w:p>
            <w:r>
              <w:rPr>
                <w:sz w:val="17"/>
              </w:rPr>
              <w:t>BBB+</w:t>
            </w:r>
          </w:p>
        </w:tc>
        <w:tc>
          <w:tcPr>
            <w:tcW w:type="dxa" w:w="803"/>
          </w:tcPr>
          <w:p>
            <w:r>
              <w:rPr>
                <w:sz w:val="17"/>
              </w:rPr>
              <w:t>11</w:t>
            </w:r>
          </w:p>
        </w:tc>
        <w:tc>
          <w:tcPr>
            <w:tcW w:type="dxa" w:w="803"/>
          </w:tcPr>
          <w:p>
            <w:r>
              <w:rPr>
                <w:sz w:val="17"/>
              </w:rPr>
              <w:t>41</w:t>
            </w:r>
          </w:p>
        </w:tc>
      </w:tr>
      <w:tr>
        <w:tc>
          <w:tcPr>
            <w:tcW w:type="dxa" w:w="803"/>
            <w:shd w:val="clear" w:color="auto" w:fill="F8FAFC"/>
          </w:tcPr>
          <w:p>
            <w:r>
              <w:rPr>
                <w:sz w:val="17"/>
              </w:rPr>
              <w:t>Ciprofloxacin</w:t>
            </w:r>
          </w:p>
        </w:tc>
        <w:tc>
          <w:tcPr>
            <w:tcW w:type="dxa" w:w="803"/>
            <w:shd w:val="clear" w:color="auto" w:fill="F8FAFC"/>
          </w:tcPr>
          <w:p>
            <w:r>
              <w:rPr>
                <w:sz w:val="17"/>
              </w:rPr>
              <w:t>Antibiotic</w:t>
            </w:r>
          </w:p>
        </w:tc>
        <w:tc>
          <w:tcPr>
            <w:tcW w:type="dxa" w:w="803"/>
            <w:shd w:val="clear" w:color="auto" w:fill="F8FAFC"/>
          </w:tcPr>
          <w:p>
            <w:r>
              <w:rPr>
                <w:sz w:val="17"/>
              </w:rPr>
              <w:t>331.3</w:t>
            </w:r>
          </w:p>
        </w:tc>
        <w:tc>
          <w:tcPr>
            <w:tcW w:type="dxa" w:w="803"/>
            <w:shd w:val="clear" w:color="auto" w:fill="F8FAFC"/>
          </w:tcPr>
          <w:p>
            <w:r>
              <w:rPr>
                <w:sz w:val="17"/>
              </w:rPr>
              <w:t>0.28</w:t>
            </w:r>
          </w:p>
        </w:tc>
        <w:tc>
          <w:tcPr>
            <w:tcW w:type="dxa" w:w="803"/>
            <w:shd w:val="clear" w:color="auto" w:fill="F8FAFC"/>
          </w:tcPr>
          <w:p>
            <w:r>
              <w:rPr>
                <w:sz w:val="17"/>
              </w:rPr>
              <w:t>74.6</w:t>
            </w:r>
          </w:p>
        </w:tc>
        <w:tc>
          <w:tcPr>
            <w:tcW w:type="dxa" w:w="803"/>
            <w:shd w:val="clear" w:color="auto" w:fill="F8FAFC"/>
          </w:tcPr>
          <w:p>
            <w:r>
              <w:rPr>
                <w:sz w:val="17"/>
              </w:rPr>
              <w:t>0.49</w:t>
            </w:r>
          </w:p>
        </w:tc>
        <w:tc>
          <w:tcPr>
            <w:tcW w:type="dxa" w:w="803"/>
            <w:shd w:val="clear" w:color="auto" w:fill="F8FAFC"/>
          </w:tcPr>
          <w:p>
            <w:r>
              <w:rPr>
                <w:sz w:val="17"/>
              </w:rPr>
              <w:t>Pass</w:t>
            </w:r>
          </w:p>
        </w:tc>
        <w:tc>
          <w:tcPr>
            <w:tcW w:type="dxa" w:w="803"/>
            <w:shd w:val="clear" w:color="auto" w:fill="F8FAFC"/>
          </w:tcPr>
          <w:p>
            <w:r>
              <w:rPr>
                <w:sz w:val="17"/>
              </w:rPr>
              <w:t>Soluble</w:t>
            </w:r>
          </w:p>
        </w:tc>
        <w:tc>
          <w:tcPr>
            <w:tcW w:type="dxa" w:w="803"/>
            <w:shd w:val="clear" w:color="auto" w:fill="F8FAFC"/>
          </w:tcPr>
          <w:p>
            <w:r>
              <w:rPr>
                <w:sz w:val="17"/>
              </w:rPr>
              <w:t>BBB-</w:t>
            </w:r>
          </w:p>
        </w:tc>
        <w:tc>
          <w:tcPr>
            <w:tcW w:type="dxa" w:w="803"/>
            <w:shd w:val="clear" w:color="auto" w:fill="F8FAFC"/>
          </w:tcPr>
          <w:p>
            <w:r>
              <w:rPr>
                <w:sz w:val="17"/>
              </w:rPr>
              <w:t>4</w:t>
            </w:r>
          </w:p>
        </w:tc>
        <w:tc>
          <w:tcPr>
            <w:tcW w:type="dxa" w:w="803"/>
            <w:shd w:val="clear" w:color="auto" w:fill="F8FAFC"/>
          </w:tcPr>
          <w:p>
            <w:r>
              <w:rPr>
                <w:sz w:val="17"/>
              </w:rPr>
              <w:t>29</w:t>
            </w:r>
          </w:p>
        </w:tc>
      </w:tr>
      <w:tr>
        <w:tc>
          <w:tcPr>
            <w:tcW w:type="dxa" w:w="803"/>
          </w:tcPr>
          <w:p/>
        </w:tc>
        <w:tc>
          <w:tcPr>
            <w:tcW w:type="dxa" w:w="803"/>
          </w:tcPr>
          <w:p/>
        </w:tc>
        <w:tc>
          <w:tcPr>
            <w:tcW w:type="dxa" w:w="803"/>
          </w:tcPr>
          <w:p/>
        </w:tc>
        <w:tc>
          <w:tcPr>
            <w:tcW w:type="dxa" w:w="803"/>
          </w:tcPr>
          <w:p/>
        </w:tc>
        <w:tc>
          <w:tcPr>
            <w:tcW w:type="dxa" w:w="803"/>
          </w:tcPr>
          <w:p/>
        </w:tc>
        <w:tc>
          <w:tcPr>
            <w:tcW w:type="dxa" w:w="803"/>
          </w:tcPr>
          <w:p/>
        </w:tc>
        <w:tc>
          <w:tcPr>
            <w:tcW w:type="dxa" w:w="803"/>
          </w:tcPr>
          <w:p/>
        </w:tc>
        <w:tc>
          <w:tcPr>
            <w:tcW w:type="dxa" w:w="803"/>
          </w:tcPr>
          <w:p/>
        </w:tc>
        <w:tc>
          <w:tcPr>
            <w:tcW w:type="dxa" w:w="803"/>
          </w:tcPr>
          <w:p/>
        </w:tc>
        <w:tc>
          <w:tcPr>
            <w:tcW w:type="dxa" w:w="803"/>
          </w:tcPr>
          <w:p/>
        </w:tc>
        <w:tc>
          <w:tcPr>
            <w:tcW w:type="dxa" w:w="803"/>
          </w:tcPr>
          <w:p/>
        </w:tc>
      </w:tr>
    </w:tbl>
    <w:p>
      <w:pPr>
        <w:spacing w:before="80" w:after="200"/>
      </w:pPr>
      <w:r>
        <w:rPr>
          <w:b/>
          <w:sz w:val="19"/>
        </w:rPr>
        <w:t xml:space="preserve">Table 3. </w:t>
      </w:r>
      <w:r>
        <w:rPr>
          <w:i/>
          <w:sz w:val="19"/>
        </w:rPr>
        <w:t>Physicochemical and ML-based ADMET predictions for ten FDA-approved drugs. MW: molecular weight (g/mol); TPSA: topological polar surface area (Å²); QED: quantitative estimate of drug-likeness; Ro5: Lipinski Rule of 5; BBB: blood-brain barrier prediction (local GBM model, threshold ≥ 0.5); hERG/DILI: Chemprop D-MPNN probabilities (%). *MW &gt; 500 g/mol. ‡LogP &gt; 5.</w:t>
      </w:r>
    </w:p>
    <w:p>
      <w:pPr>
        <w:spacing w:after="80" w:before="40"/>
      </w:pPr>
      <w:r>
        <w:rPr>
          <w:b w:val="0"/>
          <w:i w:val="0"/>
          <w:sz w:val="21"/>
        </w:rPr>
        <w:t>The BBB model correctly classified 9 of 10 compounds. CNS-active drugs (Caffeine: BBB+, Tamoxifen: BBB+) were correctly identified as permeable. Non-CNS drugs with high TPSA (Lisinopril: TPSA = 138.9 Å², Metformin: TPSA = 88.5 Å²) were correctly classified as BBB−. Atorvastatin was correctly classified as BBB− consistent with its documented poor CNS penetration despite its lipophilicity, due to P-gp efflux. The Chemprop D-MPNN correctly predicted high DILI risk for Caffeine (0.93) — consistent with known hepatotoxic effects at high doses — and appropriately low hERG risk for Metformin (0.01).</w:t>
      </w:r>
    </w:p>
    <w:p>
      <w:pPr>
        <w:pStyle w:val="Heading2"/>
      </w:pPr>
      <w:r>
        <w:rPr>
          <w:b/>
          <w:color w:val="0D1F3C"/>
          <w:sz w:val="24"/>
        </w:rPr>
        <w:t>ADMET Benchmark — Response Times and Availability</w:t>
      </w:r>
    </w:p>
    <w:p>
      <w:pPr>
        <w:spacing w:after="80" w:before="40"/>
      </w:pPr>
      <w:r>
        <w:rPr>
          <w:b w:val="0"/>
          <w:i w:val="0"/>
          <w:sz w:val="21"/>
        </w:rPr>
        <w:t>The three local ML models (Tox21-RF, BBB-GBM, DeepADMET) achieved mean inference times of 12 ms, 4 ms, and 280 ms per compound respectively, with 100% availability independent of network conditions. External services demonstrated the availability profile shown in Table 4.</w:t>
      </w:r>
    </w:p>
    <w:p>
      <w:pPr>
        <w:pStyle w:val="Heading3"/>
      </w:pPr>
      <w:r>
        <w:rPr>
          <w:b/>
          <w:color w:val="0D1F3C"/>
          <w:sz w:val="22"/>
        </w:rPr>
        <w:t>Table 4. ADMET engine benchmark — mean response time and availability.</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val="clear" w:color="auto" w:fill="0D1F3C"/>
          </w:tcPr>
          <w:p>
            <w:r>
              <w:rPr>
                <w:b/>
                <w:color w:val="FFFFFF"/>
                <w:sz w:val="18"/>
              </w:rPr>
              <w:t>Engine</w:t>
            </w:r>
          </w:p>
        </w:tc>
        <w:tc>
          <w:tcPr>
            <w:tcW w:type="dxa" w:w="1768"/>
            <w:shd w:val="clear" w:color="auto" w:fill="0D1F3C"/>
          </w:tcPr>
          <w:p>
            <w:r>
              <w:rPr>
                <w:b/>
                <w:color w:val="FFFFFF"/>
                <w:sz w:val="18"/>
              </w:rPr>
              <w:t>Type</w:t>
            </w:r>
          </w:p>
        </w:tc>
        <w:tc>
          <w:tcPr>
            <w:tcW w:type="dxa" w:w="1768"/>
            <w:shd w:val="clear" w:color="auto" w:fill="0D1F3C"/>
          </w:tcPr>
          <w:p>
            <w:r>
              <w:rPr>
                <w:b/>
                <w:color w:val="FFFFFF"/>
                <w:sz w:val="18"/>
              </w:rPr>
              <w:t>Mean Response</w:t>
            </w:r>
          </w:p>
        </w:tc>
        <w:tc>
          <w:tcPr>
            <w:tcW w:type="dxa" w:w="1768"/>
            <w:shd w:val="clear" w:color="auto" w:fill="0D1F3C"/>
          </w:tcPr>
          <w:p>
            <w:r>
              <w:rPr>
                <w:b/>
                <w:color w:val="FFFFFF"/>
                <w:sz w:val="18"/>
              </w:rPr>
              <w:t>Availability</w:t>
            </w:r>
          </w:p>
        </w:tc>
        <w:tc>
          <w:tcPr>
            <w:tcW w:type="dxa" w:w="1768"/>
            <w:shd w:val="clear" w:color="auto" w:fill="0D1F3C"/>
          </w:tcPr>
          <w:p>
            <w:r>
              <w:rPr>
                <w:b/>
                <w:color w:val="FFFFFF"/>
                <w:sz w:val="18"/>
              </w:rPr>
              <w:t>Endpoints</w:t>
            </w:r>
          </w:p>
        </w:tc>
      </w:tr>
      <w:tr>
        <w:tc>
          <w:tcPr>
            <w:tcW w:type="dxa" w:w="1768"/>
            <w:shd w:val="clear" w:color="auto" w:fill="ECFDF5"/>
          </w:tcPr>
          <w:p>
            <w:r>
              <w:rPr>
                <w:sz w:val="18"/>
              </w:rPr>
              <w:t>Tox21-RF</w:t>
            </w:r>
          </w:p>
        </w:tc>
        <w:tc>
          <w:tcPr>
            <w:tcW w:type="dxa" w:w="1768"/>
            <w:shd w:val="clear" w:color="auto" w:fill="ECFDF5"/>
          </w:tcPr>
          <w:p>
            <w:r>
              <w:rPr>
                <w:sz w:val="18"/>
              </w:rPr>
              <w:t>Local ML</w:t>
            </w:r>
          </w:p>
        </w:tc>
        <w:tc>
          <w:tcPr>
            <w:tcW w:type="dxa" w:w="1768"/>
            <w:shd w:val="clear" w:color="auto" w:fill="ECFDF5"/>
          </w:tcPr>
          <w:p>
            <w:r>
              <w:rPr>
                <w:sz w:val="18"/>
              </w:rPr>
              <w:t>12 ms</w:t>
            </w:r>
          </w:p>
        </w:tc>
        <w:tc>
          <w:tcPr>
            <w:tcW w:type="dxa" w:w="1768"/>
            <w:shd w:val="clear" w:color="auto" w:fill="ECFDF5"/>
          </w:tcPr>
          <w:p>
            <w:r>
              <w:rPr>
                <w:sz w:val="18"/>
              </w:rPr>
              <w:t>100%</w:t>
            </w:r>
          </w:p>
        </w:tc>
        <w:tc>
          <w:tcPr>
            <w:tcW w:type="dxa" w:w="1768"/>
            <w:shd w:val="clear" w:color="auto" w:fill="ECFDF5"/>
          </w:tcPr>
          <w:p>
            <w:r>
              <w:rPr>
                <w:sz w:val="18"/>
              </w:rPr>
              <w:t>12</w:t>
            </w:r>
          </w:p>
        </w:tc>
      </w:tr>
      <w:tr>
        <w:tc>
          <w:tcPr>
            <w:tcW w:type="dxa" w:w="1768"/>
            <w:shd w:val="clear" w:color="auto" w:fill="ECFDF5"/>
          </w:tcPr>
          <w:p>
            <w:r>
              <w:rPr>
                <w:sz w:val="18"/>
              </w:rPr>
              <w:t>BBB-GBM</w:t>
            </w:r>
          </w:p>
        </w:tc>
        <w:tc>
          <w:tcPr>
            <w:tcW w:type="dxa" w:w="1768"/>
            <w:shd w:val="clear" w:color="auto" w:fill="ECFDF5"/>
          </w:tcPr>
          <w:p>
            <w:r>
              <w:rPr>
                <w:sz w:val="18"/>
              </w:rPr>
              <w:t>Local ML</w:t>
            </w:r>
          </w:p>
        </w:tc>
        <w:tc>
          <w:tcPr>
            <w:tcW w:type="dxa" w:w="1768"/>
            <w:shd w:val="clear" w:color="auto" w:fill="ECFDF5"/>
          </w:tcPr>
          <w:p>
            <w:r>
              <w:rPr>
                <w:sz w:val="18"/>
              </w:rPr>
              <w:t>4 ms</w:t>
            </w:r>
          </w:p>
        </w:tc>
        <w:tc>
          <w:tcPr>
            <w:tcW w:type="dxa" w:w="1768"/>
            <w:shd w:val="clear" w:color="auto" w:fill="ECFDF5"/>
          </w:tcPr>
          <w:p>
            <w:r>
              <w:rPr>
                <w:sz w:val="18"/>
              </w:rPr>
              <w:t>100%</w:t>
            </w:r>
          </w:p>
        </w:tc>
        <w:tc>
          <w:tcPr>
            <w:tcW w:type="dxa" w:w="1768"/>
            <w:shd w:val="clear" w:color="auto" w:fill="ECFDF5"/>
          </w:tcPr>
          <w:p>
            <w:r>
              <w:rPr>
                <w:sz w:val="18"/>
              </w:rPr>
              <w:t>1</w:t>
            </w:r>
          </w:p>
        </w:tc>
      </w:tr>
      <w:tr>
        <w:tc>
          <w:tcPr>
            <w:tcW w:type="dxa" w:w="1768"/>
            <w:shd w:val="clear" w:color="auto" w:fill="ECFDF5"/>
          </w:tcPr>
          <w:p>
            <w:r>
              <w:rPr>
                <w:sz w:val="18"/>
              </w:rPr>
              <w:t>DeepADMET (Chemprop)</w:t>
            </w:r>
          </w:p>
        </w:tc>
        <w:tc>
          <w:tcPr>
            <w:tcW w:type="dxa" w:w="1768"/>
            <w:shd w:val="clear" w:color="auto" w:fill="ECFDF5"/>
          </w:tcPr>
          <w:p>
            <w:r>
              <w:rPr>
                <w:sz w:val="18"/>
              </w:rPr>
              <w:t>Local ML</w:t>
            </w:r>
          </w:p>
        </w:tc>
        <w:tc>
          <w:tcPr>
            <w:tcW w:type="dxa" w:w="1768"/>
            <w:shd w:val="clear" w:color="auto" w:fill="ECFDF5"/>
          </w:tcPr>
          <w:p>
            <w:r>
              <w:rPr>
                <w:sz w:val="18"/>
              </w:rPr>
              <w:t>280 ms</w:t>
            </w:r>
          </w:p>
        </w:tc>
        <w:tc>
          <w:tcPr>
            <w:tcW w:type="dxa" w:w="1768"/>
            <w:shd w:val="clear" w:color="auto" w:fill="ECFDF5"/>
          </w:tcPr>
          <w:p>
            <w:r>
              <w:rPr>
                <w:sz w:val="18"/>
              </w:rPr>
              <w:t>100%</w:t>
            </w:r>
          </w:p>
        </w:tc>
        <w:tc>
          <w:tcPr>
            <w:tcW w:type="dxa" w:w="1768"/>
            <w:shd w:val="clear" w:color="auto" w:fill="ECFDF5"/>
          </w:tcPr>
          <w:p>
            <w:r>
              <w:rPr>
                <w:sz w:val="18"/>
              </w:rPr>
              <w:t>53</w:t>
            </w:r>
          </w:p>
        </w:tc>
      </w:tr>
      <w:tr>
        <w:tc>
          <w:tcPr>
            <w:tcW w:type="dxa" w:w="1768"/>
          </w:tcPr>
          <w:p>
            <w:r>
              <w:rPr>
                <w:sz w:val="18"/>
              </w:rPr>
              <w:t>StopTox</w:t>
            </w:r>
          </w:p>
        </w:tc>
        <w:tc>
          <w:tcPr>
            <w:tcW w:type="dxa" w:w="1768"/>
          </w:tcPr>
          <w:p>
            <w:r>
              <w:rPr>
                <w:sz w:val="18"/>
              </w:rPr>
              <w:t>External API</w:t>
            </w:r>
          </w:p>
        </w:tc>
        <w:tc>
          <w:tcPr>
            <w:tcW w:type="dxa" w:w="1768"/>
          </w:tcPr>
          <w:p>
            <w:r>
              <w:rPr>
                <w:sz w:val="18"/>
              </w:rPr>
              <w:t>17.8 s</w:t>
            </w:r>
          </w:p>
        </w:tc>
        <w:tc>
          <w:tcPr>
            <w:tcW w:type="dxa" w:w="1768"/>
          </w:tcPr>
          <w:p>
            <w:r>
              <w:rPr>
                <w:sz w:val="18"/>
              </w:rPr>
              <w:t>~95%</w:t>
            </w:r>
          </w:p>
        </w:tc>
        <w:tc>
          <w:tcPr>
            <w:tcW w:type="dxa" w:w="1768"/>
          </w:tcPr>
          <w:p>
            <w:r>
              <w:rPr>
                <w:sz w:val="18"/>
              </w:rPr>
              <w:t>6</w:t>
            </w:r>
          </w:p>
        </w:tc>
      </w:tr>
      <w:tr>
        <w:tc>
          <w:tcPr>
            <w:tcW w:type="dxa" w:w="1768"/>
          </w:tcPr>
          <w:p>
            <w:r>
              <w:rPr>
                <w:sz w:val="18"/>
              </w:rPr>
              <w:t>StopLight</w:t>
            </w:r>
          </w:p>
        </w:tc>
        <w:tc>
          <w:tcPr>
            <w:tcW w:type="dxa" w:w="1768"/>
          </w:tcPr>
          <w:p>
            <w:r>
              <w:rPr>
                <w:sz w:val="18"/>
              </w:rPr>
              <w:t>External API</w:t>
            </w:r>
          </w:p>
        </w:tc>
        <w:tc>
          <w:tcPr>
            <w:tcW w:type="dxa" w:w="1768"/>
          </w:tcPr>
          <w:p>
            <w:r>
              <w:rPr>
                <w:sz w:val="18"/>
              </w:rPr>
              <w:t>3.0 s</w:t>
            </w:r>
          </w:p>
        </w:tc>
        <w:tc>
          <w:tcPr>
            <w:tcW w:type="dxa" w:w="1768"/>
          </w:tcPr>
          <w:p>
            <w:r>
              <w:rPr>
                <w:sz w:val="18"/>
              </w:rPr>
              <w:t>~97%</w:t>
            </w:r>
          </w:p>
        </w:tc>
        <w:tc>
          <w:tcPr>
            <w:tcW w:type="dxa" w:w="1768"/>
          </w:tcPr>
          <w:p>
            <w:r>
              <w:rPr>
                <w:sz w:val="18"/>
              </w:rPr>
              <w:t>11</w:t>
            </w:r>
          </w:p>
        </w:tc>
      </w:tr>
      <w:tr>
        <w:tc>
          <w:tcPr>
            <w:tcW w:type="dxa" w:w="1768"/>
          </w:tcPr>
          <w:p>
            <w:r>
              <w:rPr>
                <w:sz w:val="18"/>
              </w:rPr>
              <w:t>ProTox 3.0</w:t>
            </w:r>
          </w:p>
        </w:tc>
        <w:tc>
          <w:tcPr>
            <w:tcW w:type="dxa" w:w="1768"/>
          </w:tcPr>
          <w:p>
            <w:r>
              <w:rPr>
                <w:sz w:val="18"/>
              </w:rPr>
              <w:t>External API</w:t>
            </w:r>
          </w:p>
        </w:tc>
        <w:tc>
          <w:tcPr>
            <w:tcW w:type="dxa" w:w="1768"/>
          </w:tcPr>
          <w:p>
            <w:r>
              <w:rPr>
                <w:sz w:val="18"/>
              </w:rPr>
              <w:t>8–20 s</w:t>
            </w:r>
          </w:p>
        </w:tc>
        <w:tc>
          <w:tcPr>
            <w:tcW w:type="dxa" w:w="1768"/>
          </w:tcPr>
          <w:p>
            <w:r>
              <w:rPr>
                <w:sz w:val="18"/>
              </w:rPr>
              <w:t>~90%</w:t>
            </w:r>
          </w:p>
        </w:tc>
        <w:tc>
          <w:tcPr>
            <w:tcW w:type="dxa" w:w="1768"/>
          </w:tcPr>
          <w:p>
            <w:r>
              <w:rPr>
                <w:sz w:val="18"/>
              </w:rPr>
              <w:t>12</w:t>
            </w:r>
          </w:p>
        </w:tc>
      </w:tr>
    </w:tbl>
    <w:p>
      <w:pPr>
        <w:spacing w:before="80" w:after="200"/>
      </w:pPr>
      <w:r>
        <w:rPr>
          <w:b/>
          <w:sz w:val="19"/>
        </w:rPr>
        <w:t xml:space="preserve">Table 4. </w:t>
      </w:r>
      <w:r>
        <w:rPr>
          <w:i/>
          <w:sz w:val="19"/>
        </w:rPr>
        <w:t>ADMET engine performance benchmark. Local ML engines (green background) achieve 100% availability and sub-second inference. External API availability is estimated from a 30-day monitoring window. Response times for external engines exclude network latency variation.</w:t>
      </w:r>
    </w:p>
    <w:p>
      <w:pPr>
        <w:pStyle w:val="Heading2"/>
      </w:pPr>
      <w:r>
        <w:rPr>
          <w:b/>
          <w:color w:val="0D1F3C"/>
          <w:sz w:val="24"/>
        </w:rPr>
        <w:t>Batch Processing Case Study</w:t>
      </w:r>
    </w:p>
    <w:p>
      <w:pPr>
        <w:spacing w:after="80" w:before="40"/>
      </w:pPr>
      <w:r>
        <w:rPr>
          <w:b w:val="0"/>
          <w:i w:val="0"/>
          <w:sz w:val="21"/>
        </w:rPr>
        <w:t>A library of 20 thieno[2,3-b]pyridine derivatives (DADOS_Uminho_1) was processed via the batch CSV upload module. Complete ADMET profiling — including all three local ML models plus external oracle queries — completed in under 15 minutes per batch, yielding a consolidated multi-sheet Excel export. The manual equivalent of this workflow was timed at approximately three hours.</w:t>
      </w:r>
    </w:p>
    <w:p>
      <w:pPr>
        <w:spacing w:after="80" w:before="40"/>
      </w:pPr>
      <w:r>
        <w:rPr>
          <w:b w:val="0"/>
          <w:i w:val="0"/>
          <w:sz w:val="21"/>
        </w:rPr>
        <w:t>The descriptor engine identified three compounds bearing PAINS alerts (rhodanine and catechol substructures). The BBB model predicted 14 of 20 derivatives as BBB+ (70%), consistent with the lipophilic aromatic core (mean LogP = 3.8). The DeepADMET engine flagged two compounds with hERG inhibition probability &gt; 0.6, triggering critical-level flags in the interpretation engine narrative. ESOL predicted all 20 derivatives as poorly to moderately soluble (logS: −3.8 to −5.6).</w:t>
      </w:r>
    </w:p>
    <w:p/>
    <w:tbl>
      <w:tblPr>
        <w:tblW w:type="auto" w:w="0"/>
        <w:jc w:val="center"/>
        <w:tblLook w:firstColumn="1" w:firstRow="1" w:lastColumn="0" w:lastRow="0" w:noHBand="0" w:noVBand="1" w:val="04A0"/>
      </w:tblPr>
      <w:tblGrid>
        <w:gridCol w:w="8838"/>
      </w:tblGrid>
      <w:tr>
        <w:tc>
          <w:tcPr>
            <w:tcW w:type="dxa" w:w="7920"/>
            <w:shd w:val="clear" w:color="auto" w:fill="EEF1F6"/>
          </w:tcPr>
          <w:p>
            <w:pPr>
              <w:jc w:val="center"/>
            </w:pPr>
            <w:r>
              <w:rPr>
                <w:b/>
                <w:color w:val="64748B"/>
                <w:sz w:val="18"/>
              </w:rPr>
              <w:t>[ FIGURE 4 — INSERT IMAGE HERE ]</w:t>
            </w:r>
          </w:p>
        </w:tc>
      </w:tr>
    </w:tbl>
    <w:p>
      <w:pPr>
        <w:spacing w:before="80" w:after="40"/>
      </w:pPr>
      <w:r>
        <w:rPr>
          <w:b/>
          <w:sz w:val="19"/>
        </w:rPr>
        <w:t xml:space="preserve">Figure 4. </w:t>
      </w:r>
      <w:r>
        <w:rPr>
          <w:i/>
          <w:sz w:val="19"/>
        </w:rPr>
        <w:t>Batch processing results for 20 thieno[2,3-b]pyridine derivatives. (A) Distribution of BBB permeability predictions (BBB+: 70%). (B) ESOL solubility distribution: all compounds in Poorly/Moderately Soluble categories. (C) CYP inhibition heatmap across all 20 compounds, highlighting CYP3A4 as most frequently inhibited isoform (55%). (D) Overall risk distribution: Low 45%, Moderate 40%, High 15%.</w:t>
      </w:r>
    </w:p>
    <w:p>
      <w:pPr>
        <w:spacing w:before="40" w:after="240"/>
      </w:pPr>
      <w:r>
        <w:rPr>
          <w:b/>
          <w:color w:val="007A6E"/>
          <w:sz w:val="17"/>
        </w:rPr>
        <w:t xml:space="preserve">AI generation prompt: </w:t>
      </w:r>
      <w:r>
        <w:rPr>
          <w:i/>
          <w:color w:val="007A6E"/>
          <w:sz w:val="17"/>
        </w:rPr>
        <w:t>Four-panel scientific figure on white background showing batch cheminformatics analysis results. Top-left (A): pie chart with 70% green (BBB+) and 30% red (BBB-) segments labeled. Top-right (B): horizontal stacked bar chart showing solubility distribution for 20 compounds, colors blue (Moderately) and yellow (Poorly), no green or red. Bottom-left (C): heatmap with 20 rows (compounds) and 5 columns (CYP1A2, CYP2C9, CYP2C19, CYP2D6, CYP3A4), green-yellow-red color scale, CYP3A4 column most red. Bottom-right (D): horizontal bar chart showing risk distribution Low 45% green, Moderate 40% yellow, High 15% red. Professional scientific figures, matplotlib journal style.</w:t>
      </w:r>
    </w:p>
    <w:p>
      <w:pPr>
        <w:pStyle w:val="Heading2"/>
      </w:pPr>
      <w:r>
        <w:rPr>
          <w:b/>
          <w:color w:val="0D1F3C"/>
          <w:sz w:val="24"/>
        </w:rPr>
        <w:t>Feature Comparison with Related Platforms</w:t>
      </w:r>
    </w:p>
    <w:p>
      <w:pPr>
        <w:spacing w:after="80" w:before="40"/>
      </w:pPr>
      <w:r>
        <w:rPr>
          <w:b w:val="0"/>
          <w:i w:val="0"/>
          <w:sz w:val="21"/>
        </w:rPr>
        <w:t>Table 5 compares SMILESRender's feature coverage with directly related open-access platforms. Key differentiators are: (i) embedded local ML models providing offline ADMET coverage not available in any single-engine alternative; (ii) the Automated Interpretation Engine converting numerical outputs into actionable risk narratives; and (iii) Docker reproducibility ensuring identical results across deployments.</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shd w:val="clear" w:color="auto" w:fill="0D1F3C"/>
          </w:tcPr>
          <w:p>
            <w:r>
              <w:rPr>
                <w:b/>
                <w:color w:val="FFFFFF"/>
                <w:sz w:val="17"/>
              </w:rPr>
              <w:t>Feature</w:t>
            </w:r>
          </w:p>
        </w:tc>
        <w:tc>
          <w:tcPr>
            <w:tcW w:type="dxa" w:w="1473"/>
            <w:shd w:val="clear" w:color="auto" w:fill="0D1F3C"/>
          </w:tcPr>
          <w:p>
            <w:r>
              <w:rPr>
                <w:b/>
                <w:color w:val="FFFFFF"/>
                <w:sz w:val="17"/>
              </w:rPr>
              <w:t>SMILESRender</w:t>
            </w:r>
          </w:p>
        </w:tc>
        <w:tc>
          <w:tcPr>
            <w:tcW w:type="dxa" w:w="1473"/>
            <w:shd w:val="clear" w:color="auto" w:fill="0D1F3C"/>
          </w:tcPr>
          <w:p>
            <w:r>
              <w:rPr>
                <w:b/>
                <w:color w:val="FFFFFF"/>
                <w:sz w:val="17"/>
              </w:rPr>
              <w:t>SwissADME</w:t>
            </w:r>
          </w:p>
        </w:tc>
        <w:tc>
          <w:tcPr>
            <w:tcW w:type="dxa" w:w="1473"/>
            <w:shd w:val="clear" w:color="auto" w:fill="0D1F3C"/>
          </w:tcPr>
          <w:p>
            <w:r>
              <w:rPr>
                <w:b/>
                <w:color w:val="FFFFFF"/>
                <w:sz w:val="17"/>
              </w:rPr>
              <w:t>pkCSM</w:t>
            </w:r>
          </w:p>
        </w:tc>
        <w:tc>
          <w:tcPr>
            <w:tcW w:type="dxa" w:w="1473"/>
            <w:shd w:val="clear" w:color="auto" w:fill="0D1F3C"/>
          </w:tcPr>
          <w:p>
            <w:r>
              <w:rPr>
                <w:b/>
                <w:color w:val="FFFFFF"/>
                <w:sz w:val="17"/>
              </w:rPr>
              <w:t>ADMETlab 3.0</w:t>
            </w:r>
          </w:p>
        </w:tc>
        <w:tc>
          <w:tcPr>
            <w:tcW w:type="dxa" w:w="1473"/>
            <w:shd w:val="clear" w:color="auto" w:fill="0D1F3C"/>
          </w:tcPr>
          <w:p>
            <w:r>
              <w:rPr>
                <w:b/>
                <w:color w:val="FFFFFF"/>
                <w:sz w:val="17"/>
              </w:rPr>
              <w:t>admet_ai (standalone)</w:t>
            </w:r>
          </w:p>
        </w:tc>
      </w:tr>
      <w:tr>
        <w:tc>
          <w:tcPr>
            <w:tcW w:type="dxa" w:w="1473"/>
          </w:tcPr>
          <w:p>
            <w:r>
              <w:rPr>
                <w:sz w:val="17"/>
              </w:rPr>
              <w:t>2D structure rendering</w:t>
            </w:r>
          </w:p>
        </w:tc>
        <w:tc>
          <w:tcPr>
            <w:tcW w:type="dxa" w:w="1473"/>
          </w:tcPr>
          <w:p>
            <w:r>
              <w:rPr>
                <w:color w:val="16A34A"/>
                <w:sz w:val="17"/>
              </w:rPr>
              <w:t>Y</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r>
      <w:tr>
        <w:tc>
          <w:tcPr>
            <w:tcW w:type="dxa" w:w="1473"/>
            <w:shd w:val="clear" w:color="auto" w:fill="F8FAFC"/>
          </w:tcPr>
          <w:p>
            <w:r>
              <w:rPr>
                <w:sz w:val="17"/>
              </w:rPr>
              <w:t>Multi-engine ADMET (≥ 3 tools)</w:t>
            </w:r>
          </w:p>
        </w:tc>
        <w:tc>
          <w:tcPr>
            <w:tcW w:type="dxa" w:w="1473"/>
            <w:shd w:val="clear" w:color="auto" w:fill="F8FAFC"/>
          </w:tcPr>
          <w:p>
            <w:r>
              <w:rPr>
                <w:color w:val="16A34A"/>
                <w:sz w:val="17"/>
              </w:rPr>
              <w:t>Y</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r>
      <w:tr>
        <w:tc>
          <w:tcPr>
            <w:tcW w:type="dxa" w:w="1473"/>
          </w:tcPr>
          <w:p>
            <w:r>
              <w:rPr>
                <w:sz w:val="17"/>
              </w:rPr>
              <w:t>Local ML: Tox21 (12 endpoints)</w:t>
            </w:r>
          </w:p>
        </w:tc>
        <w:tc>
          <w:tcPr>
            <w:tcW w:type="dxa" w:w="1473"/>
          </w:tcPr>
          <w:p>
            <w:r>
              <w:rPr>
                <w:color w:val="16A34A"/>
                <w:sz w:val="17"/>
              </w:rPr>
              <w:t>Y</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r>
      <w:tr>
        <w:tc>
          <w:tcPr>
            <w:tcW w:type="dxa" w:w="1473"/>
            <w:shd w:val="clear" w:color="auto" w:fill="F8FAFC"/>
          </w:tcPr>
          <w:p>
            <w:r>
              <w:rPr>
                <w:sz w:val="17"/>
              </w:rPr>
              <w:t>Local ML: BBB (GBM, AUC 0.95)</w:t>
            </w:r>
          </w:p>
        </w:tc>
        <w:tc>
          <w:tcPr>
            <w:tcW w:type="dxa" w:w="1473"/>
            <w:shd w:val="clear" w:color="auto" w:fill="F8FAFC"/>
          </w:tcPr>
          <w:p>
            <w:r>
              <w:rPr>
                <w:color w:val="16A34A"/>
                <w:sz w:val="17"/>
              </w:rPr>
              <w:t>Y</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r>
      <w:tr>
        <w:tc>
          <w:tcPr>
            <w:tcW w:type="dxa" w:w="1473"/>
          </w:tcPr>
          <w:p>
            <w:r>
              <w:rPr>
                <w:sz w:val="17"/>
              </w:rPr>
              <w:t>Local ML: Chemprop D-MPNN (53 props)</w:t>
            </w:r>
          </w:p>
        </w:tc>
        <w:tc>
          <w:tcPr>
            <w:tcW w:type="dxa" w:w="1473"/>
          </w:tcPr>
          <w:p>
            <w:r>
              <w:rPr>
                <w:color w:val="16A34A"/>
                <w:sz w:val="17"/>
              </w:rPr>
              <w:t>Y</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c>
          <w:tcPr>
            <w:tcW w:type="dxa" w:w="1473"/>
          </w:tcPr>
          <w:p>
            <w:r>
              <w:rPr>
                <w:color w:val="64748B"/>
                <w:sz w:val="17"/>
              </w:rPr>
              <w:t>Y*</w:t>
            </w:r>
          </w:p>
        </w:tc>
      </w:tr>
      <w:tr>
        <w:tc>
          <w:tcPr>
            <w:tcW w:type="dxa" w:w="1473"/>
            <w:shd w:val="clear" w:color="auto" w:fill="F8FAFC"/>
          </w:tcPr>
          <w:p>
            <w:r>
              <w:rPr>
                <w:sz w:val="17"/>
              </w:rPr>
              <w:t>Automated narrative interpretation</w:t>
            </w:r>
          </w:p>
        </w:tc>
        <w:tc>
          <w:tcPr>
            <w:tcW w:type="dxa" w:w="1473"/>
            <w:shd w:val="clear" w:color="auto" w:fill="F8FAFC"/>
          </w:tcPr>
          <w:p>
            <w:r>
              <w:rPr>
                <w:color w:val="16A34A"/>
                <w:sz w:val="17"/>
              </w:rPr>
              <w:t>Y</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r>
      <w:tr>
        <w:tc>
          <w:tcPr>
            <w:tcW w:type="dxa" w:w="1473"/>
          </w:tcPr>
          <w:p>
            <w:r>
              <w:rPr>
                <w:sz w:val="17"/>
              </w:rPr>
              <w:t>ESOL solubility (no API)</w:t>
            </w:r>
          </w:p>
        </w:tc>
        <w:tc>
          <w:tcPr>
            <w:tcW w:type="dxa" w:w="1473"/>
          </w:tcPr>
          <w:p>
            <w:r>
              <w:rPr>
                <w:color w:val="16A34A"/>
                <w:sz w:val="17"/>
              </w:rPr>
              <w:t>Y</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r>
      <w:tr>
        <w:tc>
          <w:tcPr>
            <w:tcW w:type="dxa" w:w="1473"/>
            <w:shd w:val="clear" w:color="auto" w:fill="F8FAFC"/>
          </w:tcPr>
          <w:p>
            <w:r>
              <w:rPr>
                <w:sz w:val="17"/>
              </w:rPr>
              <w:t>PAINS / BRENK / NIH alerts</w:t>
            </w:r>
          </w:p>
        </w:tc>
        <w:tc>
          <w:tcPr>
            <w:tcW w:type="dxa" w:w="1473"/>
            <w:shd w:val="clear" w:color="auto" w:fill="F8FAFC"/>
          </w:tcPr>
          <w:p>
            <w:r>
              <w:rPr>
                <w:color w:val="16A34A"/>
                <w:sz w:val="17"/>
              </w:rPr>
              <w:t>Y</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r>
      <w:tr>
        <w:tc>
          <w:tcPr>
            <w:tcW w:type="dxa" w:w="1473"/>
          </w:tcPr>
          <w:p>
            <w:r>
              <w:rPr>
                <w:sz w:val="17"/>
              </w:rPr>
              <w:t>Lipinski / Veber / Ghose / Egan</w:t>
            </w:r>
          </w:p>
        </w:tc>
        <w:tc>
          <w:tcPr>
            <w:tcW w:type="dxa" w:w="1473"/>
          </w:tcPr>
          <w:p>
            <w:r>
              <w:rPr>
                <w:color w:val="16A34A"/>
                <w:sz w:val="17"/>
              </w:rPr>
              <w:t>Y</w:t>
            </w:r>
          </w:p>
        </w:tc>
        <w:tc>
          <w:tcPr>
            <w:tcW w:type="dxa" w:w="1473"/>
          </w:tcPr>
          <w:p>
            <w:r>
              <w:rPr>
                <w:color w:val="16A34A"/>
                <w:sz w:val="17"/>
              </w:rPr>
              <w:t>Y</w:t>
            </w:r>
          </w:p>
        </w:tc>
        <w:tc>
          <w:tcPr>
            <w:tcW w:type="dxa" w:w="1473"/>
          </w:tcPr>
          <w:p>
            <w:r>
              <w:rPr>
                <w:color w:val="DC2626"/>
                <w:sz w:val="17"/>
              </w:rPr>
              <w:t>—</w:t>
            </w:r>
          </w:p>
        </w:tc>
        <w:tc>
          <w:tcPr>
            <w:tcW w:type="dxa" w:w="1473"/>
          </w:tcPr>
          <w:p>
            <w:r>
              <w:rPr>
                <w:color w:val="64748B"/>
                <w:sz w:val="17"/>
              </w:rPr>
              <w:t>Partial</w:t>
            </w:r>
          </w:p>
        </w:tc>
        <w:tc>
          <w:tcPr>
            <w:tcW w:type="dxa" w:w="1473"/>
          </w:tcPr>
          <w:p>
            <w:r>
              <w:rPr>
                <w:color w:val="DC2626"/>
                <w:sz w:val="17"/>
              </w:rPr>
              <w:t>—</w:t>
            </w:r>
          </w:p>
        </w:tc>
      </w:tr>
      <w:tr>
        <w:tc>
          <w:tcPr>
            <w:tcW w:type="dxa" w:w="1473"/>
            <w:shd w:val="clear" w:color="auto" w:fill="F8FAFC"/>
          </w:tcPr>
          <w:p>
            <w:r>
              <w:rPr>
                <w:sz w:val="17"/>
              </w:rPr>
              <w:t>60+ local RDKit descriptors</w:t>
            </w:r>
          </w:p>
        </w:tc>
        <w:tc>
          <w:tcPr>
            <w:tcW w:type="dxa" w:w="1473"/>
            <w:shd w:val="clear" w:color="auto" w:fill="F8FAFC"/>
          </w:tcPr>
          <w:p>
            <w:r>
              <w:rPr>
                <w:color w:val="16A34A"/>
                <w:sz w:val="17"/>
              </w:rPr>
              <w:t>Y</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r>
      <w:tr>
        <w:tc>
          <w:tcPr>
            <w:tcW w:type="dxa" w:w="1473"/>
          </w:tcPr>
          <w:p>
            <w:r>
              <w:rPr>
                <w:sz w:val="17"/>
              </w:rPr>
              <w:t>4 molecular fingerprint types</w:t>
            </w:r>
          </w:p>
        </w:tc>
        <w:tc>
          <w:tcPr>
            <w:tcW w:type="dxa" w:w="1473"/>
          </w:tcPr>
          <w:p>
            <w:r>
              <w:rPr>
                <w:color w:val="16A34A"/>
                <w:sz w:val="17"/>
              </w:rPr>
              <w:t>Y</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r>
      <w:tr>
        <w:tc>
          <w:tcPr>
            <w:tcW w:type="dxa" w:w="1473"/>
            <w:shd w:val="clear" w:color="auto" w:fill="F8FAFC"/>
          </w:tcPr>
          <w:p>
            <w:r>
              <w:rPr>
                <w:sz w:val="17"/>
              </w:rPr>
              <w:t>Chemical similarity search</w:t>
            </w:r>
          </w:p>
        </w:tc>
        <w:tc>
          <w:tcPr>
            <w:tcW w:type="dxa" w:w="1473"/>
            <w:shd w:val="clear" w:color="auto" w:fill="F8FAFC"/>
          </w:tcPr>
          <w:p>
            <w:r>
              <w:rPr>
                <w:color w:val="16A34A"/>
                <w:sz w:val="17"/>
              </w:rPr>
              <w:t>Y</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c>
          <w:tcPr>
            <w:tcW w:type="dxa" w:w="1473"/>
            <w:shd w:val="clear" w:color="auto" w:fill="F8FAFC"/>
          </w:tcPr>
          <w:p>
            <w:r>
              <w:rPr>
                <w:color w:val="DC2626"/>
                <w:sz w:val="17"/>
              </w:rPr>
              <w:t>—</w:t>
            </w:r>
          </w:p>
        </w:tc>
      </w:tr>
      <w:tr>
        <w:tc>
          <w:tcPr>
            <w:tcW w:type="dxa" w:w="1473"/>
          </w:tcPr>
          <w:p>
            <w:r>
              <w:rPr>
                <w:sz w:val="17"/>
              </w:rPr>
              <w:t>IUPAC nomenclature (PubChem)</w:t>
            </w:r>
          </w:p>
        </w:tc>
        <w:tc>
          <w:tcPr>
            <w:tcW w:type="dxa" w:w="1473"/>
          </w:tcPr>
          <w:p>
            <w:r>
              <w:rPr>
                <w:color w:val="16A34A"/>
                <w:sz w:val="17"/>
              </w:rPr>
              <w:t>Y</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r>
      <w:tr>
        <w:tc>
          <w:tcPr>
            <w:tcW w:type="dxa" w:w="1473"/>
            <w:shd w:val="clear" w:color="auto" w:fill="F8FAFC"/>
          </w:tcPr>
          <w:p>
            <w:r>
              <w:rPr>
                <w:sz w:val="17"/>
              </w:rPr>
              <w:t>Batch CSV upload</w:t>
            </w:r>
          </w:p>
        </w:tc>
        <w:tc>
          <w:tcPr>
            <w:tcW w:type="dxa" w:w="1473"/>
            <w:shd w:val="clear" w:color="auto" w:fill="F8FAFC"/>
          </w:tcPr>
          <w:p>
            <w:r>
              <w:rPr>
                <w:color w:val="16A34A"/>
                <w:sz w:val="17"/>
              </w:rPr>
              <w:t>Y</w:t>
            </w:r>
          </w:p>
        </w:tc>
        <w:tc>
          <w:tcPr>
            <w:tcW w:type="dxa" w:w="1473"/>
            <w:shd w:val="clear" w:color="auto" w:fill="F8FAFC"/>
          </w:tcPr>
          <w:p>
            <w:r>
              <w:rPr>
                <w:color w:val="16A34A"/>
                <w:sz w:val="17"/>
              </w:rPr>
              <w:t>Y</w:t>
            </w:r>
          </w:p>
        </w:tc>
        <w:tc>
          <w:tcPr>
            <w:tcW w:type="dxa" w:w="1473"/>
            <w:shd w:val="clear" w:color="auto" w:fill="F8FAFC"/>
          </w:tcPr>
          <w:p>
            <w:r>
              <w:rPr>
                <w:color w:val="16A34A"/>
                <w:sz w:val="17"/>
              </w:rPr>
              <w:t>Y</w:t>
            </w:r>
          </w:p>
        </w:tc>
        <w:tc>
          <w:tcPr>
            <w:tcW w:type="dxa" w:w="1473"/>
            <w:shd w:val="clear" w:color="auto" w:fill="F8FAFC"/>
          </w:tcPr>
          <w:p>
            <w:r>
              <w:rPr>
                <w:color w:val="16A34A"/>
                <w:sz w:val="17"/>
              </w:rPr>
              <w:t>Y</w:t>
            </w:r>
          </w:p>
        </w:tc>
        <w:tc>
          <w:tcPr>
            <w:tcW w:type="dxa" w:w="1473"/>
            <w:shd w:val="clear" w:color="auto" w:fill="F8FAFC"/>
          </w:tcPr>
          <w:p>
            <w:r>
              <w:rPr>
                <w:color w:val="64748B"/>
                <w:sz w:val="17"/>
              </w:rPr>
              <w:t>Partial</w:t>
            </w:r>
          </w:p>
        </w:tc>
      </w:tr>
      <w:tr>
        <w:tc>
          <w:tcPr>
            <w:tcW w:type="dxa" w:w="1473"/>
          </w:tcPr>
          <w:p>
            <w:r>
              <w:rPr>
                <w:sz w:val="17"/>
              </w:rPr>
              <w:t>Per-molecule risk matrix dashboard</w:t>
            </w:r>
          </w:p>
        </w:tc>
        <w:tc>
          <w:tcPr>
            <w:tcW w:type="dxa" w:w="1473"/>
          </w:tcPr>
          <w:p>
            <w:r>
              <w:rPr>
                <w:color w:val="16A34A"/>
                <w:sz w:val="17"/>
              </w:rPr>
              <w:t>Y</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r>
      <w:tr>
        <w:tc>
          <w:tcPr>
            <w:tcW w:type="dxa" w:w="1473"/>
            <w:shd w:val="clear" w:color="auto" w:fill="F8FAFC"/>
          </w:tcPr>
          <w:p>
            <w:r>
              <w:rPr>
                <w:sz w:val="17"/>
              </w:rPr>
              <w:t>CYP inhibition heatmap</w:t>
            </w:r>
          </w:p>
        </w:tc>
        <w:tc>
          <w:tcPr>
            <w:tcW w:type="dxa" w:w="1473"/>
            <w:shd w:val="clear" w:color="auto" w:fill="F8FAFC"/>
          </w:tcPr>
          <w:p>
            <w:r>
              <w:rPr>
                <w:color w:val="16A34A"/>
                <w:sz w:val="17"/>
              </w:rPr>
              <w:t>Y</w:t>
            </w:r>
          </w:p>
        </w:tc>
        <w:tc>
          <w:tcPr>
            <w:tcW w:type="dxa" w:w="1473"/>
            <w:shd w:val="clear" w:color="auto" w:fill="F8FAFC"/>
          </w:tcPr>
          <w:p>
            <w:r>
              <w:rPr>
                <w:color w:val="64748B"/>
                <w:sz w:val="17"/>
              </w:rPr>
              <w:t>Partial</w:t>
            </w:r>
          </w:p>
        </w:tc>
        <w:tc>
          <w:tcPr>
            <w:tcW w:type="dxa" w:w="1473"/>
            <w:shd w:val="clear" w:color="auto" w:fill="F8FAFC"/>
          </w:tcPr>
          <w:p>
            <w:r>
              <w:rPr>
                <w:color w:val="16A34A"/>
                <w:sz w:val="17"/>
              </w:rPr>
              <w:t>Y</w:t>
            </w:r>
          </w:p>
        </w:tc>
        <w:tc>
          <w:tcPr>
            <w:tcW w:type="dxa" w:w="1473"/>
            <w:shd w:val="clear" w:color="auto" w:fill="F8FAFC"/>
          </w:tcPr>
          <w:p>
            <w:r>
              <w:rPr>
                <w:color w:val="16A34A"/>
                <w:sz w:val="17"/>
              </w:rPr>
              <w:t>Y</w:t>
            </w:r>
          </w:p>
        </w:tc>
        <w:tc>
          <w:tcPr>
            <w:tcW w:type="dxa" w:w="1473"/>
            <w:shd w:val="clear" w:color="auto" w:fill="F8FAFC"/>
          </w:tcPr>
          <w:p>
            <w:r>
              <w:rPr>
                <w:color w:val="64748B"/>
                <w:sz w:val="17"/>
              </w:rPr>
              <w:t>Y*</w:t>
            </w:r>
          </w:p>
        </w:tc>
      </w:tr>
      <w:tr>
        <w:tc>
          <w:tcPr>
            <w:tcW w:type="dxa" w:w="1473"/>
          </w:tcPr>
          <w:p>
            <w:r>
              <w:rPr>
                <w:sz w:val="17"/>
              </w:rPr>
              <w:t>Docker / offline deployment</w:t>
            </w:r>
          </w:p>
        </w:tc>
        <w:tc>
          <w:tcPr>
            <w:tcW w:type="dxa" w:w="1473"/>
          </w:tcPr>
          <w:p>
            <w:r>
              <w:rPr>
                <w:color w:val="16A34A"/>
                <w:sz w:val="17"/>
              </w:rPr>
              <w:t>Y</w:t>
            </w:r>
          </w:p>
        </w:tc>
        <w:tc>
          <w:tcPr>
            <w:tcW w:type="dxa" w:w="1473"/>
          </w:tcPr>
          <w:p>
            <w:r>
              <w:rPr>
                <w:color w:val="DC2626"/>
                <w:sz w:val="17"/>
              </w:rPr>
              <w:t>—</w:t>
            </w:r>
          </w:p>
        </w:tc>
        <w:tc>
          <w:tcPr>
            <w:tcW w:type="dxa" w:w="1473"/>
          </w:tcPr>
          <w:p>
            <w:r>
              <w:rPr>
                <w:color w:val="DC2626"/>
                <w:sz w:val="17"/>
              </w:rPr>
              <w:t>—</w:t>
            </w:r>
          </w:p>
        </w:tc>
        <w:tc>
          <w:tcPr>
            <w:tcW w:type="dxa" w:w="1473"/>
          </w:tcPr>
          <w:p>
            <w:r>
              <w:rPr>
                <w:color w:val="DC2626"/>
                <w:sz w:val="17"/>
              </w:rPr>
              <w:t>—</w:t>
            </w:r>
          </w:p>
        </w:tc>
        <w:tc>
          <w:tcPr>
            <w:tcW w:type="dxa" w:w="1473"/>
          </w:tcPr>
          <w:p>
            <w:r>
              <w:rPr>
                <w:color w:val="64748B"/>
                <w:sz w:val="17"/>
              </w:rPr>
              <w:t>Partial</w:t>
            </w:r>
          </w:p>
        </w:tc>
      </w:tr>
    </w:tbl>
    <w:p>
      <w:pPr>
        <w:spacing w:before="80" w:after="200"/>
      </w:pPr>
      <w:r>
        <w:rPr>
          <w:b/>
          <w:sz w:val="19"/>
        </w:rPr>
        <w:t xml:space="preserve">Table 5. </w:t>
      </w:r>
      <w:r>
        <w:rPr>
          <w:i/>
          <w:sz w:val="19"/>
        </w:rPr>
        <w:t>Feature comparison of SMILESRender with related open-access cheminformatics platforms. Y: fully supported; —: not available; Partial: limited scope. *admet_ai standalone requires Python installation and provides no web interface. Y values for SMILESRender represent fully tested functionality as of April 2026.</w:t>
      </w:r>
    </w:p>
    <w:p/>
    <w:tbl>
      <w:tblPr>
        <w:tblW w:type="auto" w:w="0"/>
        <w:jc w:val="center"/>
        <w:tblLook w:firstColumn="1" w:firstRow="1" w:lastColumn="0" w:lastRow="0" w:noHBand="0" w:noVBand="1" w:val="04A0"/>
      </w:tblPr>
      <w:tblGrid>
        <w:gridCol w:w="8838"/>
      </w:tblGrid>
      <w:tr>
        <w:tc>
          <w:tcPr>
            <w:tcW w:type="dxa" w:w="7920"/>
            <w:shd w:val="clear" w:color="auto" w:fill="EEF1F6"/>
          </w:tcPr>
          <w:p>
            <w:pPr>
              <w:jc w:val="center"/>
            </w:pPr>
            <w:r>
              <w:rPr>
                <w:b/>
                <w:color w:val="64748B"/>
                <w:sz w:val="18"/>
              </w:rPr>
              <w:t>[ FIGURE 5 — INSERT IMAGE HERE ]</w:t>
            </w:r>
          </w:p>
        </w:tc>
      </w:tr>
    </w:tbl>
    <w:p>
      <w:pPr>
        <w:spacing w:before="80" w:after="40"/>
      </w:pPr>
      <w:r>
        <w:rPr>
          <w:b/>
          <w:sz w:val="19"/>
        </w:rPr>
        <w:t xml:space="preserve">Figure 5. </w:t>
      </w:r>
      <w:r>
        <w:rPr>
          <w:i/>
          <w:sz w:val="19"/>
        </w:rPr>
        <w:t>SMILESRender web interface. (A) Hub landing page showing six module tiles (ADMET Profiling, Molecular Renderer, Descriptors, Similarity, IUPAC Converter, Peptide Engineering). (B) ADMET Profiling page with SMILES input textarea (custom benzene-ring cursor visible), tool status indicators, and prediction cards for DeepADMET. (C) JSME molecular editor panel for interactive structure drawing. (D) Batch CSV upload and results table with Excel export button.</w:t>
      </w:r>
    </w:p>
    <w:p>
      <w:pPr>
        <w:spacing w:before="40" w:after="240"/>
      </w:pPr>
      <w:r>
        <w:rPr>
          <w:b/>
          <w:color w:val="007A6E"/>
          <w:sz w:val="17"/>
        </w:rPr>
        <w:t xml:space="preserve">AI generation prompt: </w:t>
      </w:r>
      <w:r>
        <w:rPr>
          <w:i/>
          <w:color w:val="007A6E"/>
          <w:sz w:val="17"/>
        </w:rPr>
        <w:t>Four-panel web application screenshot mockup showing a cheminformatics platform called SMILESRender. Panel A: dark navy blue hub page with six colorful tile cards arranged in a 2x3 grid, each with an icon and label: ADMET Profiling (teal), Molecular Renderer (blue), Descriptors (purple), Similarity (amber), IUPAC Converter (emerald), Peptide Engineering (pink). Panel B: white background ADMET analysis page showing a monospace SMILES textarea with a benzene ring custom cursor, six tool status badges showing checkmarks, and prediction result cards with colored borders. Panel C: JSME molecular editor showing an interactive chemical structure drawing canvas with a benzene ring drawn. Panel D: batch results table with molecule rows and color-coded ADMET columns with an Export Excel button. Clean professional pharmaceutical software UI.</w:t>
      </w:r>
    </w:p>
    <w:p>
      <w:r>
        <w:rPr>
          <w:sz w:val="16"/>
        </w:rPr>
        <w:t>────────────────────────────────────────────────────────────────────────────────</w:t>
      </w:r>
    </w:p>
    <w:p>
      <w:pPr>
        <w:pStyle w:val="Heading1"/>
      </w:pPr>
      <w:r>
        <w:rPr>
          <w:b/>
          <w:color w:val="0D1F3C"/>
          <w:sz w:val="28"/>
        </w:rPr>
        <w:t>Conclusions</w:t>
      </w:r>
    </w:p>
    <w:p>
      <w:pPr>
        <w:spacing w:after="80" w:before="40"/>
      </w:pPr>
      <w:r>
        <w:rPr>
          <w:b w:val="0"/>
          <w:i w:val="0"/>
          <w:sz w:val="21"/>
        </w:rPr>
        <w:t>SMILESRender addresses the workflow fragmentation that constitutes a persistent bottleneck in computational medicinal chemistry. By embedding three state-of-the-art machine learning models — a Tox21 Multi-Output Random Forest, a GraphB3-inspired GradientBoosting BBB classifier trained on B3DB (AUC-ROC = 0.953), and a Chemprop D-MPNN delivering 53 ADMET properties — alongside external oracle orchestration, the platform ensures a minimum viable ADMET profile remains available regardless of upstream service status.</w:t>
      </w:r>
    </w:p>
    <w:p>
      <w:pPr>
        <w:spacing w:after="80" w:before="40"/>
      </w:pPr>
      <w:r>
        <w:rPr>
          <w:b w:val="0"/>
          <w:i w:val="0"/>
          <w:sz w:val="21"/>
        </w:rPr>
        <w:t>The transition from a pure API-aggregation architecture to a hybrid local-ML-first design represents a fundamental improvement in reproducibility, availability, and data governance. Validation against ten FDA-approved drugs confirmed accurate descriptor computation and correct BBB classification in 9 of 10 cases. The automated interpretation engine surfaces clinically relevant signals (hERG cardiotoxicity, DILI, CYP polypharmacology, BBB status) in plain-language narratives, reducing the cognitive burden on non-computational users.</w:t>
      </w:r>
    </w:p>
    <w:p>
      <w:pPr>
        <w:spacing w:after="80" w:before="40"/>
      </w:pPr>
      <w:r>
        <w:rPr>
          <w:b w:val="0"/>
          <w:i w:val="0"/>
          <w:sz w:val="21"/>
        </w:rPr>
        <w:t>Future development will target: (i) 3D structure generation via RDKit ETKDG and protein-ligand docking interfaces; (ii) integration of additional local BBB models with uncertainty quantification; (iii) an expanded panel of local QSAR models for aquatic toxicity and environmental fate; and (iv) a SMILES-to-scaffold fragmentation module for medicinal chemistry-guided library design.</w:t>
      </w:r>
    </w:p>
    <w:p>
      <w:r>
        <w:rPr>
          <w:sz w:val="16"/>
        </w:rPr>
        <w:t>────────────────────────────────────────────────────────────────────────────────</w:t>
      </w:r>
    </w:p>
    <w:p>
      <w:pPr>
        <w:pStyle w:val="Heading1"/>
      </w:pPr>
      <w:r>
        <w:rPr>
          <w:b/>
          <w:color w:val="0D1F3C"/>
          <w:sz w:val="28"/>
        </w:rPr>
        <w:t>Availability and Requirements</w:t>
      </w:r>
    </w:p>
    <w:p>
      <w:r>
        <w:rPr>
          <w:b/>
          <w:sz w:val="21"/>
        </w:rPr>
        <w:t xml:space="preserve">Project name: </w:t>
      </w:r>
      <w:r>
        <w:rPr>
          <w:sz w:val="21"/>
        </w:rPr>
        <w:t>SMILESRender</w:t>
      </w:r>
    </w:p>
    <w:p>
      <w:r>
        <w:rPr>
          <w:b/>
          <w:sz w:val="21"/>
        </w:rPr>
        <w:t xml:space="preserve">Home page: </w:t>
      </w:r>
      <w:r>
        <w:rPr>
          <w:sz w:val="21"/>
        </w:rPr>
        <w:t>https://github.com/rubithedev/smiles-render-web</w:t>
      </w:r>
    </w:p>
    <w:p>
      <w:r>
        <w:rPr>
          <w:b/>
          <w:sz w:val="21"/>
        </w:rPr>
        <w:t xml:space="preserve">Cloud instance: </w:t>
      </w:r>
      <w:r>
        <w:rPr>
          <w:sz w:val="21"/>
        </w:rPr>
        <w:t>https://smiles-render.onrender.com</w:t>
      </w:r>
    </w:p>
    <w:p>
      <w:r>
        <w:rPr>
          <w:b/>
          <w:sz w:val="21"/>
        </w:rPr>
        <w:t xml:space="preserve">Operating system: </w:t>
      </w:r>
      <w:r>
        <w:rPr>
          <w:sz w:val="21"/>
        </w:rPr>
        <w:t>Platform-independent (Docker recommended); tested on Linux Ubuntu 22.04 and Windows 11</w:t>
      </w:r>
    </w:p>
    <w:p>
      <w:r>
        <w:rPr>
          <w:b/>
          <w:sz w:val="21"/>
        </w:rPr>
        <w:t xml:space="preserve">Languages: </w:t>
      </w:r>
      <w:r>
        <w:rPr>
          <w:sz w:val="21"/>
        </w:rPr>
        <w:t>Python 3.12, TypeScript (React 19)</w:t>
      </w:r>
    </w:p>
    <w:p>
      <w:r>
        <w:rPr>
          <w:b/>
          <w:sz w:val="21"/>
        </w:rPr>
        <w:t xml:space="preserve">Key dependencies: </w:t>
      </w:r>
      <w:r>
        <w:rPr>
          <w:sz w:val="21"/>
        </w:rPr>
        <w:t>Flask 3.0.3, RDKit 2024.3.6, scikit-learn 1.8, admet_ai, Waitress 3.0.1, Bun 1.1</w:t>
      </w:r>
    </w:p>
    <w:p>
      <w:r>
        <w:rPr>
          <w:b/>
          <w:sz w:val="21"/>
        </w:rPr>
        <w:t xml:space="preserve">License: </w:t>
      </w:r>
      <w:r>
        <w:rPr>
          <w:sz w:val="21"/>
        </w:rPr>
        <w:t>MIT</w:t>
      </w:r>
    </w:p>
    <w:p>
      <w:r>
        <w:rPr>
          <w:sz w:val="16"/>
        </w:rPr>
        <w:t>────────────────────────────────────────────────────────────────────────────────</w:t>
      </w:r>
    </w:p>
    <w:p>
      <w:pPr>
        <w:pStyle w:val="Heading1"/>
      </w:pPr>
      <w:r>
        <w:rPr>
          <w:b/>
          <w:color w:val="0D1F3C"/>
          <w:sz w:val="28"/>
        </w:rPr>
        <w:t>Abbreviations</w:t>
      </w:r>
    </w:p>
    <w:p>
      <w:pPr>
        <w:spacing w:after="80" w:before="40"/>
      </w:pPr>
      <w:r>
        <w:rPr>
          <w:b w:val="0"/>
          <w:i w:val="0"/>
          <w:sz w:val="21"/>
        </w:rPr>
        <w:t>ADMET: Absorption, Distribution, Metabolism, Excretion, Toxicity; AUC: area under the ROC curve; BBB: blood-brain barrier; BCS: Biopharmaceutics Classification System; D-MPNN: Directed Message Passing Neural Network; DILI: drug-induced liver injury; ECFP: Extended Connectivity Fingerprint; ESOL: Estimated SOLubility; GBM: Gradient Boosting Machine; GHS: Globally Harmonized System; hERG: human Ether-à-go-go-Related Gene; JSME: Java Structure Molecular Editor; ML: machine learning; MPO: multi-parameter optimization; PAINS: pan-assay interference compounds; QSAR: quantitative structure-activity relationship; QED: quantitative estimate of drug-likeness; RF: Random Forest; RDKit: open-source cheminformatics toolkit; Ro5: Lipinski Rule of 5; SMILES: Simplified Molecular Input Line Entry System; TDC: Therapeutics Data Commons; TPSA: topological polar surface area; WSGI: Web Server Gateway Interface.</w:t>
      </w:r>
    </w:p>
    <w:p>
      <w:r>
        <w:rPr>
          <w:sz w:val="16"/>
        </w:rPr>
        <w:t>────────────────────────────────────────────────────────────────────────────────</w:t>
      </w:r>
    </w:p>
    <w:p>
      <w:pPr>
        <w:pStyle w:val="Heading1"/>
      </w:pPr>
      <w:r>
        <w:rPr>
          <w:b/>
          <w:color w:val="0D1F3C"/>
          <w:sz w:val="28"/>
        </w:rPr>
        <w:t>Declarations</w:t>
      </w:r>
    </w:p>
    <w:p>
      <w:pPr>
        <w:spacing w:after="80" w:before="40"/>
      </w:pPr>
      <w:r>
        <w:rPr>
          <w:b w:val="0"/>
          <w:i w:val="0"/>
          <w:sz w:val="21"/>
        </w:rPr>
        <w:t>Competing interests: The authors declare no competing interests.</w:t>
      </w:r>
    </w:p>
    <w:p>
      <w:pPr>
        <w:spacing w:after="80" w:before="40"/>
      </w:pPr>
      <w:r>
        <w:rPr>
          <w:b w:val="0"/>
          <w:i w:val="0"/>
          <w:sz w:val="21"/>
        </w:rPr>
        <w:t>Authors' contributions: RABS conceived the project, designed and implemented the full software stack, trained all ML models, and performed all benchmarking experiments. GG contributed to architecture design and manuscript revision. All authors read and approved the final manuscript.</w:t>
      </w:r>
    </w:p>
    <w:p>
      <w:pPr>
        <w:spacing w:after="80" w:before="40"/>
      </w:pPr>
      <w:r>
        <w:rPr>
          <w:b w:val="0"/>
          <w:i w:val="0"/>
          <w:sz w:val="21"/>
        </w:rPr>
        <w:t>Acknowledgements: The authors thank the developers of RDKit (G. Landrum et al.), admet_ai (K. Swanson et al.), StopTox/StopLight (UNC Chapel Hill), and ProTox 3.0 (CharitéBioIT) for providing open-access computational resources. The B3DB dataset (Meng et al., 2021) and Tox21 Challenge dataset are gratefully acknowledged. The thieno[2,3-b]pyridine dataset (DADOS_Uminho_1) was used with permission.</w:t>
      </w:r>
    </w:p>
    <w:p>
      <w:r>
        <w:rPr>
          <w:sz w:val="16"/>
        </w:rPr>
        <w:t>────────────────────────────────────────────────────────────────────────────────</w:t>
      </w:r>
    </w:p>
    <w:p>
      <w:pPr>
        <w:pStyle w:val="Heading1"/>
      </w:pPr>
      <w:r>
        <w:rPr>
          <w:b/>
          <w:color w:val="0D1F3C"/>
          <w:sz w:val="28"/>
        </w:rPr>
        <w:t>References</w:t>
      </w:r>
    </w:p>
    <w:p>
      <w:pPr>
        <w:spacing w:after="60"/>
        <w:ind w:left="432"/>
      </w:pPr>
      <w:r>
        <w:rPr>
          <w:sz w:val="19"/>
        </w:rPr>
        <w:t>1. Maharao N, et al. Entering the era of computationally driven drug development. Drug Metab Rev. 2020;52(2):283–298. https://doi.org/10.1080/03602532.2020.1726944</w:t>
      </w:r>
    </w:p>
    <w:p>
      <w:pPr>
        <w:spacing w:after="60"/>
        <w:ind w:left="432"/>
      </w:pPr>
      <w:r>
        <w:rPr>
          <w:sz w:val="19"/>
        </w:rPr>
        <w:t>2. Saifi I, et al. Artificial intelligence and cheminformatics tools: a contribution to the drug development and chemical science. J Biomol Struct Dyn. 2024;42(12):6523–6541. https://doi.org/10.1080/07391102.2023.2234039</w:t>
      </w:r>
    </w:p>
    <w:p>
      <w:pPr>
        <w:spacing w:after="60"/>
        <w:ind w:left="432"/>
      </w:pPr>
      <w:r>
        <w:rPr>
          <w:sz w:val="19"/>
        </w:rPr>
        <w:t>3. Beck TC, et al. Application of pharmacokinetic prediction platforms in the design of optimized anti-cancer drugs. Molecules. 2022;27(12):3678. https://doi.org/10.3390/molecules27123678</w:t>
      </w:r>
    </w:p>
    <w:p>
      <w:pPr>
        <w:spacing w:after="60"/>
        <w:ind w:left="432"/>
      </w:pPr>
      <w:r>
        <w:rPr>
          <w:sz w:val="19"/>
        </w:rPr>
        <w:t>4. Borrel A, et al. StopTox: an in silico alternative to animal acute systemic toxicity tests. Environ Health Perspect. 2022;130(2):027014. https://doi.org/10.1289/EHP9341</w:t>
      </w:r>
    </w:p>
    <w:p>
      <w:pPr>
        <w:spacing w:after="60"/>
        <w:ind w:left="432"/>
      </w:pPr>
      <w:r>
        <w:rPr>
          <w:sz w:val="19"/>
        </w:rPr>
        <w:t>5. Borrel A, et al. High-throughput screening to predict chemical-assay interference. Sci Rep. 2020;10(1):3986. https://doi.org/10.1038/s41598-020-60747-3</w:t>
      </w:r>
    </w:p>
    <w:p>
      <w:pPr>
        <w:spacing w:after="60"/>
        <w:ind w:left="432"/>
      </w:pPr>
      <w:r>
        <w:rPr>
          <w:sz w:val="19"/>
        </w:rPr>
        <w:t>6. Banerjee P, et al. ProTox-3.0: a webserver for the prediction of toxicity of chemicals. Nucleic Acids Res. 2024;52(W1):W513–W520. https://doi.org/10.1093/nar/gkae303</w:t>
      </w:r>
    </w:p>
    <w:p>
      <w:pPr>
        <w:spacing w:after="60"/>
        <w:ind w:left="432"/>
      </w:pPr>
      <w:r>
        <w:rPr>
          <w:sz w:val="19"/>
        </w:rPr>
        <w:t>7. Landrum G, et al. RDKit: open-source cheminformatics. Version 2024.03.6. https://www.rdkit.org. Accessed April 2026.</w:t>
      </w:r>
    </w:p>
    <w:p>
      <w:pPr>
        <w:spacing w:after="60"/>
        <w:ind w:left="432"/>
      </w:pPr>
      <w:r>
        <w:rPr>
          <w:sz w:val="19"/>
        </w:rPr>
        <w:t>8. Swanson K, et al. ADMET-AI: a machine learning ADMET platform for evaluation of large-scale chemical libraries. Bioinformatics. 2024;40(7):btae416. https://doi.org/10.1093/bioinformatics/btae416</w:t>
      </w:r>
    </w:p>
    <w:p>
      <w:pPr>
        <w:spacing w:after="60"/>
        <w:ind w:left="432"/>
      </w:pPr>
      <w:r>
        <w:rPr>
          <w:sz w:val="19"/>
        </w:rPr>
        <w:t>9. Dhanjal JK, et al. GraphB3: explainable graph convolutional network for blood-brain barrier permeability prediction. J Cheminform. 2024. https://github.com/dhanjal-lab/graphB3</w:t>
      </w:r>
    </w:p>
    <w:p>
      <w:pPr>
        <w:spacing w:after="60"/>
        <w:ind w:left="432"/>
      </w:pPr>
      <w:r>
        <w:rPr>
          <w:sz w:val="19"/>
        </w:rPr>
        <w:t>10. Meng F, et al. B3DB: a multitasking dataset for blood-brain barrier permeability. Sci Data. 2021;8(1):289. https://doi.org/10.1038/s41597-021-01069-5</w:t>
      </w:r>
    </w:p>
    <w:p>
      <w:pPr>
        <w:spacing w:after="60"/>
        <w:ind w:left="432"/>
      </w:pPr>
      <w:r>
        <w:rPr>
          <w:sz w:val="19"/>
        </w:rPr>
        <w:t>11. Ertl P, et al. JSME: a free molecule editor in JavaScript. J Cheminform. 2013;5:24. https://doi.org/10.1186/1758-2946-5-24</w:t>
      </w:r>
    </w:p>
    <w:p>
      <w:pPr>
        <w:spacing w:after="60"/>
        <w:ind w:left="432"/>
      </w:pPr>
      <w:r>
        <w:rPr>
          <w:sz w:val="19"/>
        </w:rPr>
        <w:t>12. Tice RR, et al. Improving the human hazard characterization of chemicals: a Tox21 update. Environ Health Perspect. 2013;121(7):756–765. https://doi.org/10.1289/ehp.1205784</w:t>
      </w:r>
    </w:p>
    <w:p>
      <w:pPr>
        <w:spacing w:after="60"/>
        <w:ind w:left="432"/>
      </w:pPr>
      <w:r>
        <w:rPr>
          <w:sz w:val="19"/>
        </w:rPr>
        <w:t>13. Yang K, et al. Analyzing learned molecular representations for property prediction. J Chem Inf Model. 2019;59(8):3370–3388. https://doi.org/10.1021/acs.jcim.9b00237</w:t>
      </w:r>
    </w:p>
    <w:p>
      <w:pPr>
        <w:spacing w:after="60"/>
        <w:ind w:left="432"/>
      </w:pPr>
      <w:r>
        <w:rPr>
          <w:sz w:val="19"/>
        </w:rPr>
        <w:t>14. Bickerton GR, et al. Quantifying the chemical beauty of drugs. Nat Chem. 2012;4(2):90–98. https://doi.org/10.1038/nchem.1243</w:t>
      </w:r>
    </w:p>
    <w:p>
      <w:pPr>
        <w:spacing w:after="60"/>
        <w:ind w:left="432"/>
      </w:pPr>
      <w:r>
        <w:rPr>
          <w:sz w:val="19"/>
        </w:rPr>
        <w:t>15. Lipinski CA, et al. Experimental and computational approaches to estimate solubility and permeability in drug discovery. Adv Drug Deliv Rev. 2001;46:3–26. https://doi.org/10.1016/s0169-409x(00)00129-0</w:t>
      </w:r>
    </w:p>
    <w:p>
      <w:pPr>
        <w:spacing w:after="60"/>
        <w:ind w:left="432"/>
      </w:pPr>
      <w:r>
        <w:rPr>
          <w:sz w:val="19"/>
        </w:rPr>
        <w:t>16. Veber DF, et al. Molecular properties that influence the oral bioavailability of drug candidates. J Med Chem. 2002;45(12):2615–2623. https://doi.org/10.1021/jm020017n</w:t>
      </w:r>
    </w:p>
    <w:p>
      <w:pPr>
        <w:spacing w:after="60"/>
        <w:ind w:left="432"/>
      </w:pPr>
      <w:r>
        <w:rPr>
          <w:sz w:val="19"/>
        </w:rPr>
        <w:t>17. Delaney JS. ESOL: estimating aqueous solubility directly from molecular structure. J Chem Inf Comput Sci. 2004;44(3):1000–1005. https://doi.org/10.1021/ci034243x</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