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00FBA" w14:textId="77777777" w:rsidR="007624D4" w:rsidRPr="007624D4" w:rsidRDefault="007624D4" w:rsidP="007624D4">
      <w:pPr>
        <w:rPr>
          <w:b/>
          <w:bCs/>
        </w:rPr>
      </w:pPr>
      <w:proofErr w:type="spellStart"/>
      <w:r w:rsidRPr="007624D4">
        <w:rPr>
          <w:b/>
          <w:bCs/>
        </w:rPr>
        <w:t>SmileRender</w:t>
      </w:r>
      <w:proofErr w:type="spellEnd"/>
      <w:r w:rsidRPr="007624D4">
        <w:rPr>
          <w:b/>
          <w:bCs/>
        </w:rPr>
        <w:t>: an open-source web platform for unified multi-tool ADMET profiling, molecular visualization, and cheminformatics analysis from SMILES notation</w:t>
      </w:r>
    </w:p>
    <w:p w14:paraId="360829A3" w14:textId="6C41C2D0" w:rsidR="007624D4" w:rsidRPr="007624D4" w:rsidRDefault="007624D4" w:rsidP="007624D4">
      <w:r>
        <w:rPr>
          <w:b/>
          <w:bCs/>
        </w:rPr>
        <w:t>Carlos S. H. Shiraishi</w:t>
      </w:r>
      <w:r w:rsidRPr="007624D4">
        <w:rPr>
          <w:b/>
          <w:bCs/>
        </w:rPr>
        <w:t>¹ and Rui A. B. Shiraishi¹</w:t>
      </w:r>
    </w:p>
    <w:p w14:paraId="72322E99" w14:textId="77777777" w:rsidR="007624D4" w:rsidRPr="007624D4" w:rsidRDefault="007624D4" w:rsidP="007624D4">
      <w:r w:rsidRPr="007624D4">
        <w:t>¹ [Institution Name], [Department], [City, Country]</w:t>
      </w:r>
    </w:p>
    <w:p w14:paraId="0A32A25D" w14:textId="77777777" w:rsidR="007624D4" w:rsidRPr="007624D4" w:rsidRDefault="007624D4" w:rsidP="007624D4">
      <w:r w:rsidRPr="007624D4">
        <w:rPr>
          <w:i/>
          <w:iCs/>
        </w:rPr>
        <w:t>Correspondence:</w:t>
      </w:r>
      <w:r w:rsidRPr="007624D4">
        <w:t xml:space="preserve"> [email@institution.edu]</w:t>
      </w:r>
    </w:p>
    <w:p w14:paraId="538B8A26" w14:textId="77777777" w:rsidR="007624D4" w:rsidRPr="007624D4" w:rsidRDefault="007624D4" w:rsidP="007624D4">
      <w:pPr>
        <w:rPr>
          <w:b/>
          <w:bCs/>
        </w:rPr>
      </w:pPr>
      <w:r w:rsidRPr="007624D4">
        <w:rPr>
          <w:b/>
          <w:bCs/>
        </w:rPr>
        <w:t>Abstract</w:t>
      </w:r>
    </w:p>
    <w:p w14:paraId="2B3FAEC5" w14:textId="77777777" w:rsidR="007624D4" w:rsidRPr="007624D4" w:rsidRDefault="007624D4" w:rsidP="007624D4">
      <w:r w:rsidRPr="007624D4">
        <w:rPr>
          <w:b/>
          <w:bCs/>
        </w:rPr>
        <w:t>Background:</w:t>
      </w:r>
      <w:r w:rsidRPr="007624D4">
        <w:t xml:space="preserve"> The early-stage evaluation of Absorption, Distribution, Metabolism, Excretion, and Toxicity (ADMET) properties is a critical bottleneck in the drug discovery pipeline. Although several widely adopted web-based prediction tools </w:t>
      </w:r>
      <w:proofErr w:type="gramStart"/>
      <w:r w:rsidRPr="007624D4">
        <w:t>exist—</w:t>
      </w:r>
      <w:proofErr w:type="gramEnd"/>
      <w:r w:rsidRPr="007624D4">
        <w:t xml:space="preserve">including </w:t>
      </w:r>
      <w:proofErr w:type="spellStart"/>
      <w:r w:rsidRPr="007624D4">
        <w:t>StopTox</w:t>
      </w:r>
      <w:proofErr w:type="spellEnd"/>
      <w:r w:rsidRPr="007624D4">
        <w:t xml:space="preserve">, </w:t>
      </w:r>
      <w:proofErr w:type="spellStart"/>
      <w:r w:rsidRPr="007624D4">
        <w:t>SwissADME</w:t>
      </w:r>
      <w:proofErr w:type="spellEnd"/>
      <w:r w:rsidRPr="007624D4">
        <w:t xml:space="preserve">, </w:t>
      </w:r>
      <w:proofErr w:type="spellStart"/>
      <w:r w:rsidRPr="007624D4">
        <w:t>StopLight</w:t>
      </w:r>
      <w:proofErr w:type="spellEnd"/>
      <w:r w:rsidRPr="007624D4">
        <w:t xml:space="preserve">, </w:t>
      </w:r>
      <w:proofErr w:type="spellStart"/>
      <w:r w:rsidRPr="007624D4">
        <w:t>pkCSM</w:t>
      </w:r>
      <w:proofErr w:type="spellEnd"/>
      <w:r w:rsidRPr="007624D4">
        <w:t xml:space="preserve">, and </w:t>
      </w:r>
      <w:proofErr w:type="spellStart"/>
      <w:r w:rsidRPr="007624D4">
        <w:t>ADMETlab</w:t>
      </w:r>
      <w:proofErr w:type="spellEnd"/>
      <w:r w:rsidRPr="007624D4">
        <w:t xml:space="preserve"> 3.0—researchers are forced to interact with each platform individually, leading to fragmented workflows, manual data transcription errors, and an inability to perform systematic cross-tool comparisons. Furthermore, complementary tasks such as descriptor calculation, similarity search, and nomenclature conversion are similarly dispersed.</w:t>
      </w:r>
    </w:p>
    <w:p w14:paraId="452082AC" w14:textId="77777777" w:rsidR="007624D4" w:rsidRPr="007624D4" w:rsidRDefault="007624D4" w:rsidP="007624D4">
      <w:r w:rsidRPr="007624D4">
        <w:rPr>
          <w:b/>
          <w:bCs/>
        </w:rPr>
        <w:t>Results:</w:t>
      </w:r>
      <w:r w:rsidRPr="007624D4">
        <w:t xml:space="preserve"> We present </w:t>
      </w:r>
      <w:proofErr w:type="spellStart"/>
      <w:r w:rsidRPr="007624D4">
        <w:t>SmileRender</w:t>
      </w:r>
      <w:proofErr w:type="spellEnd"/>
      <w:r w:rsidRPr="007624D4">
        <w:t xml:space="preserve">, an open-source web platform that unifies five established ADMET prediction engines and core cheminformatics capabilities within a single interface. </w:t>
      </w:r>
      <w:proofErr w:type="spellStart"/>
      <w:r w:rsidRPr="007624D4">
        <w:t>SmileRender</w:t>
      </w:r>
      <w:proofErr w:type="spellEnd"/>
      <w:r w:rsidRPr="007624D4">
        <w:t xml:space="preserve"> employs a reverse-proxy architecture built on Flask (Python) to transparently handle cross-origin restrictions, CSRF authentication, and asynchronous result polling across heterogeneous external services. The React-based frontend integrates six modules: (</w:t>
      </w:r>
      <w:proofErr w:type="spellStart"/>
      <w:r w:rsidRPr="007624D4">
        <w:t>i</w:t>
      </w:r>
      <w:proofErr w:type="spellEnd"/>
      <w:r w:rsidRPr="007624D4">
        <w:t>) 2D structure rendering, (ii) batch CSV conversion, (iii) automated multi-tool ADMET profiling, (iv) local descriptor calculation (16 properties), (v) Morgan fingerprint similarity search, and (vi) PubChem nomenclature conversion. Benchmarking against FDA-approved drugs demonstrated an 80% prediction success rate with a mean processing time of 36.35 seconds per compound. All ADMET predictions are normalized into a unified schema and exported as a multi-sheet Excel workbook.</w:t>
      </w:r>
    </w:p>
    <w:p w14:paraId="0B41E8CA" w14:textId="77777777" w:rsidR="007624D4" w:rsidRPr="007624D4" w:rsidRDefault="007624D4" w:rsidP="007624D4">
      <w:r w:rsidRPr="007624D4">
        <w:rPr>
          <w:b/>
          <w:bCs/>
        </w:rPr>
        <w:t>Conclusions:</w:t>
      </w:r>
      <w:r w:rsidRPr="007624D4">
        <w:t xml:space="preserve"> </w:t>
      </w:r>
      <w:proofErr w:type="spellStart"/>
      <w:r w:rsidRPr="007624D4">
        <w:t>SmileRender</w:t>
      </w:r>
      <w:proofErr w:type="spellEnd"/>
      <w:r w:rsidRPr="007624D4">
        <w:t xml:space="preserve"> addresses a significant gap in the cheminformatics tooling landscape by providing a fault-tolerant integration layer that aggregates predictions from multiple services alongside local </w:t>
      </w:r>
      <w:proofErr w:type="spellStart"/>
      <w:r w:rsidRPr="007624D4">
        <w:t>RDKit</w:t>
      </w:r>
      <w:proofErr w:type="spellEnd"/>
      <w:r w:rsidRPr="007624D4">
        <w:t xml:space="preserve">-based computations. By eliminating the need for manual interaction with multiple web interfaces, </w:t>
      </w:r>
      <w:proofErr w:type="spellStart"/>
      <w:r w:rsidRPr="007624D4">
        <w:t>SmileRender</w:t>
      </w:r>
      <w:proofErr w:type="spellEnd"/>
      <w:r w:rsidRPr="007624D4">
        <w:t xml:space="preserve"> reduces analysis time and enables systematic multi-tool comparison. The platform is freely available at </w:t>
      </w:r>
      <w:hyperlink r:id="rId5" w:tgtFrame="_blank" w:history="1">
        <w:r w:rsidRPr="007624D4">
          <w:rPr>
            <w:rStyle w:val="Hiperligao"/>
          </w:rPr>
          <w:t>https://github.com/rubithedev/smiles-render-web</w:t>
        </w:r>
      </w:hyperlink>
      <w:r w:rsidRPr="007624D4">
        <w:t xml:space="preserve"> under the MIT license.</w:t>
      </w:r>
    </w:p>
    <w:p w14:paraId="7A8C3ADC" w14:textId="77777777" w:rsidR="007624D4" w:rsidRDefault="007624D4" w:rsidP="007624D4">
      <w:r w:rsidRPr="007624D4">
        <w:rPr>
          <w:b/>
          <w:bCs/>
        </w:rPr>
        <w:t>Keywords:</w:t>
      </w:r>
      <w:r w:rsidRPr="007624D4">
        <w:t xml:space="preserve"> ADMET prediction; SMILES; cheminformatics; web platform; multi-tool integration; molecular visualization; high-throughput screening</w:t>
      </w:r>
    </w:p>
    <w:p w14:paraId="14D4FC49" w14:textId="77777777" w:rsidR="007624D4" w:rsidRPr="007624D4" w:rsidRDefault="007624D4" w:rsidP="007624D4"/>
    <w:p w14:paraId="70BB13F0" w14:textId="77777777" w:rsidR="007624D4" w:rsidRPr="007624D4" w:rsidRDefault="007624D4" w:rsidP="007624D4">
      <w:r w:rsidRPr="007624D4">
        <w:lastRenderedPageBreak/>
        <w:pict w14:anchorId="295D0985">
          <v:rect id="_x0000_i1055" style="width:0;height:1.5pt" o:hralign="center" o:hrstd="t" o:hr="t" fillcolor="#a0a0a0" stroked="f"/>
        </w:pict>
      </w:r>
    </w:p>
    <w:p w14:paraId="53F8CE81" w14:textId="77777777" w:rsidR="007624D4" w:rsidRPr="007624D4" w:rsidRDefault="007624D4" w:rsidP="007624D4">
      <w:pPr>
        <w:rPr>
          <w:b/>
          <w:bCs/>
        </w:rPr>
      </w:pPr>
      <w:r w:rsidRPr="007624D4">
        <w:rPr>
          <w:b/>
          <w:bCs/>
        </w:rPr>
        <w:t>1 Background</w:t>
      </w:r>
    </w:p>
    <w:p w14:paraId="0B170F7F" w14:textId="77777777" w:rsidR="007624D4" w:rsidRPr="007624D4" w:rsidRDefault="007624D4" w:rsidP="007624D4">
      <w:r w:rsidRPr="007624D4">
        <w:t xml:space="preserve">The cheminformatics community has produced a substantial number of high-quality, freely accessible web-based tools for the prediction of Absorption, Distribution, Metabolism, Excretion, and Toxicity (ADMET) properties. Many of these tools have been developed by domain experts, rigorously validated, and published in high-impact journals. </w:t>
      </w:r>
      <w:proofErr w:type="spellStart"/>
      <w:r w:rsidRPr="007624D4">
        <w:t>StopTox</w:t>
      </w:r>
      <w:proofErr w:type="spellEnd"/>
      <w:r w:rsidRPr="007624D4">
        <w:t xml:space="preserve"> </w:t>
      </w:r>
      <w:proofErr w:type="gramStart"/>
      <w:r w:rsidRPr="007624D4">
        <w:t xml:space="preserve">provides </w:t>
      </w:r>
      <w:r w:rsidRPr="007624D4">
        <w:rPr>
          <w:i/>
          <w:iCs/>
        </w:rPr>
        <w:t>in</w:t>
      </w:r>
      <w:proofErr w:type="gramEnd"/>
      <w:r w:rsidRPr="007624D4">
        <w:rPr>
          <w:i/>
          <w:iCs/>
        </w:rPr>
        <w:t xml:space="preserve"> silico</w:t>
      </w:r>
      <w:r w:rsidRPr="007624D4">
        <w:t xml:space="preserve"> alternatives to animal testing for acute toxicity; </w:t>
      </w:r>
      <w:proofErr w:type="spellStart"/>
      <w:r w:rsidRPr="007624D4">
        <w:t>SwissADME</w:t>
      </w:r>
      <w:proofErr w:type="spellEnd"/>
      <w:r w:rsidRPr="007624D4">
        <w:t xml:space="preserve"> evaluates pharmacokinetics and drug-likeness; </w:t>
      </w:r>
      <w:proofErr w:type="spellStart"/>
      <w:r w:rsidRPr="007624D4">
        <w:t>pkCSM</w:t>
      </w:r>
      <w:proofErr w:type="spellEnd"/>
      <w:r w:rsidRPr="007624D4">
        <w:t xml:space="preserve"> predicts properties using graph-based signatures; </w:t>
      </w:r>
      <w:proofErr w:type="spellStart"/>
      <w:r w:rsidRPr="007624D4">
        <w:t>ADMETlab</w:t>
      </w:r>
      <w:proofErr w:type="spellEnd"/>
      <w:r w:rsidRPr="007624D4">
        <w:t xml:space="preserve"> 3.0 offers comprehensive ADMET evaluation covering over 80 endpoints; and </w:t>
      </w:r>
      <w:proofErr w:type="spellStart"/>
      <w:r w:rsidRPr="007624D4">
        <w:t>StopLight</w:t>
      </w:r>
      <w:proofErr w:type="spellEnd"/>
      <w:r w:rsidRPr="007624D4">
        <w:t xml:space="preserve"> provides an intuitive traffic-light scoring system for rapid molecular triage.</w:t>
      </w:r>
    </w:p>
    <w:p w14:paraId="0EBA2C71" w14:textId="77777777" w:rsidR="007624D4" w:rsidRPr="007624D4" w:rsidRDefault="007624D4" w:rsidP="007624D4">
      <w:r w:rsidRPr="007624D4">
        <w:t>Despite the quality of these individual tools, no platform currently exists that centralizes their use. Researchers seeking a comprehensive ADMET profile must navigate each tool independently, entering the same SMILES string into five separate web interfaces, waiting for processing, and manually transcribing data into spreadsheets. Complementary cheminformatics tasks, such as 2D structure rendering, descriptor calculation, similarity-based virtual screening, and IUPAC nomenclature retrieval, are similarly dispersed across multiple platforms. This fragmented workflow scales poorly, is inherently error-prone, and consumes significant research time.</w:t>
      </w:r>
    </w:p>
    <w:p w14:paraId="1747B276" w14:textId="77777777" w:rsidR="007624D4" w:rsidRPr="007624D4" w:rsidRDefault="007624D4" w:rsidP="007624D4">
      <w:r w:rsidRPr="007624D4">
        <w:t xml:space="preserve">Existing unified platforms such as ADMET-AI and ADMET Predictor address this partially by implementing their own predictive models, but they do not aggregate predictions from multiple established, independently validated services. In this work, we present </w:t>
      </w:r>
      <w:proofErr w:type="spellStart"/>
      <w:r w:rsidRPr="007624D4">
        <w:rPr>
          <w:b/>
          <w:bCs/>
        </w:rPr>
        <w:t>SmileRender</w:t>
      </w:r>
      <w:proofErr w:type="spellEnd"/>
      <w:r w:rsidRPr="007624D4">
        <w:t xml:space="preserve">, an open-source web platform designed to fill this gap. </w:t>
      </w:r>
      <w:proofErr w:type="spellStart"/>
      <w:r w:rsidRPr="007624D4">
        <w:t>SmileRender</w:t>
      </w:r>
      <w:proofErr w:type="spellEnd"/>
      <w:r w:rsidRPr="007624D4">
        <w:t xml:space="preserve"> integrates five established ADMET prediction services and local </w:t>
      </w:r>
      <w:proofErr w:type="spellStart"/>
      <w:r w:rsidRPr="007624D4">
        <w:t>RDKit</w:t>
      </w:r>
      <w:proofErr w:type="spellEnd"/>
      <w:r w:rsidRPr="007624D4">
        <w:t xml:space="preserve"> capabilities within a single interface, normalizes outputs into a common schema, and provides consolidated export in a professionally formatted Excel workbook suitable for downstream analysis.</w:t>
      </w:r>
    </w:p>
    <w:p w14:paraId="34961051" w14:textId="77777777" w:rsidR="007624D4" w:rsidRPr="007624D4" w:rsidRDefault="007624D4" w:rsidP="007624D4">
      <w:r w:rsidRPr="007624D4">
        <w:pict w14:anchorId="7142FB2C">
          <v:rect id="_x0000_i1056" style="width:0;height:1.5pt" o:hralign="center" o:hrstd="t" o:hr="t" fillcolor="#a0a0a0" stroked="f"/>
        </w:pict>
      </w:r>
    </w:p>
    <w:p w14:paraId="7BFCB6C8" w14:textId="77777777" w:rsidR="007624D4" w:rsidRPr="007624D4" w:rsidRDefault="007624D4" w:rsidP="007624D4">
      <w:pPr>
        <w:rPr>
          <w:b/>
          <w:bCs/>
        </w:rPr>
      </w:pPr>
      <w:r w:rsidRPr="007624D4">
        <w:rPr>
          <w:b/>
          <w:bCs/>
        </w:rPr>
        <w:t>2 Implementation</w:t>
      </w:r>
    </w:p>
    <w:p w14:paraId="28FD222D" w14:textId="77777777" w:rsidR="007624D4" w:rsidRPr="007624D4" w:rsidRDefault="007624D4" w:rsidP="007624D4">
      <w:pPr>
        <w:rPr>
          <w:b/>
          <w:bCs/>
        </w:rPr>
      </w:pPr>
      <w:r w:rsidRPr="007624D4">
        <w:rPr>
          <w:b/>
          <w:bCs/>
        </w:rPr>
        <w:t>2.1 System architecture and technology stack</w:t>
      </w:r>
    </w:p>
    <w:p w14:paraId="1214D438" w14:textId="77777777" w:rsidR="007624D4" w:rsidRPr="007624D4" w:rsidRDefault="007624D4" w:rsidP="007624D4">
      <w:proofErr w:type="spellStart"/>
      <w:r w:rsidRPr="007624D4">
        <w:t>SmileRender</w:t>
      </w:r>
      <w:proofErr w:type="spellEnd"/>
      <w:r w:rsidRPr="007624D4">
        <w:t xml:space="preserve"> adopts a two-tier client-server architecture. The frontend utilizes React 19 and TypeScript, compiled via Bun for optimized performance. The backend is powered by Flask 3.0 (Python 3.12) served via a high-concurrency Waitress WSGI server. To manage intensive network orchestration, the full application stack is containerized using Docker </w:t>
      </w:r>
      <w:r w:rsidRPr="007624D4">
        <w:lastRenderedPageBreak/>
        <w:t>Compose, integrating a Redis 7.4 instance for caching and an optional Celery worker for asynchronous batch operations.</w:t>
      </w:r>
    </w:p>
    <w:p w14:paraId="441E20D7" w14:textId="77777777" w:rsidR="007624D4" w:rsidRPr="007624D4" w:rsidRDefault="007624D4" w:rsidP="007624D4">
      <w:pPr>
        <w:rPr>
          <w:b/>
          <w:bCs/>
        </w:rPr>
      </w:pPr>
      <w:r w:rsidRPr="007624D4">
        <w:rPr>
          <w:b/>
          <w:bCs/>
        </w:rPr>
        <w:t>2.2 Reverse-proxy design pattern</w:t>
      </w:r>
    </w:p>
    <w:p w14:paraId="52DEB04C" w14:textId="77777777" w:rsidR="007624D4" w:rsidRPr="007624D4" w:rsidRDefault="007624D4" w:rsidP="007624D4">
      <w:r w:rsidRPr="007624D4">
        <w:t xml:space="preserve">A central technical contribution of </w:t>
      </w:r>
      <w:proofErr w:type="spellStart"/>
      <w:r w:rsidRPr="007624D4">
        <w:t>SmileRender</w:t>
      </w:r>
      <w:proofErr w:type="spellEnd"/>
      <w:r w:rsidRPr="007624D4">
        <w:t xml:space="preserve"> is the use of a reverse-proxy pattern to mediate communication between the browser and external prediction services, bypassing Cross-Origin Resource Sharing (CORS) restrictions. The Flask backend acts as a same-origin intermediary, forwarding requests, managing authentication state, and returning responses for client-side parsing.</w:t>
      </w:r>
    </w:p>
    <w:p w14:paraId="441E256E" w14:textId="77777777" w:rsidR="007624D4" w:rsidRPr="007624D4" w:rsidRDefault="007624D4" w:rsidP="007624D4">
      <w:r w:rsidRPr="007624D4">
        <w:rPr>
          <w:b/>
          <w:bCs/>
        </w:rPr>
        <w:t>Table 1.</w:t>
      </w:r>
      <w:r w:rsidRPr="007624D4">
        <w:t xml:space="preserve"> Communication protocols for integrated ADMET prediction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348"/>
        <w:gridCol w:w="2087"/>
        <w:gridCol w:w="1659"/>
        <w:gridCol w:w="2734"/>
      </w:tblGrid>
      <w:tr w:rsidR="007624D4" w:rsidRPr="007624D4" w14:paraId="26C597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8ED449" w14:textId="77777777" w:rsidR="007624D4" w:rsidRPr="007624D4" w:rsidRDefault="007624D4" w:rsidP="007624D4">
            <w:r w:rsidRPr="007624D4">
              <w:rPr>
                <w:b/>
                <w:bCs/>
              </w:rPr>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2E0DE" w14:textId="77777777" w:rsidR="007624D4" w:rsidRPr="007624D4" w:rsidRDefault="007624D4" w:rsidP="007624D4">
            <w:r w:rsidRPr="007624D4">
              <w:rPr>
                <w:b/>
                <w:bCs/>
              </w:rPr>
              <w:t>Protocol</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97127" w14:textId="77777777" w:rsidR="007624D4" w:rsidRPr="007624D4" w:rsidRDefault="007624D4" w:rsidP="007624D4">
            <w:r w:rsidRPr="007624D4">
              <w:rPr>
                <w:b/>
                <w:bCs/>
              </w:rPr>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6AA1A" w14:textId="77777777" w:rsidR="007624D4" w:rsidRPr="007624D4" w:rsidRDefault="007624D4" w:rsidP="007624D4">
            <w:r w:rsidRPr="007624D4">
              <w:rPr>
                <w:b/>
                <w:bCs/>
              </w:rPr>
              <w:t>Response Format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8857A" w14:textId="77777777" w:rsidR="007624D4" w:rsidRPr="007624D4" w:rsidRDefault="007624D4" w:rsidP="007624D4">
            <w:r w:rsidRPr="007624D4">
              <w:rPr>
                <w:b/>
                <w:bCs/>
              </w:rPr>
              <w:t>Parsing Strategy</w:t>
            </w:r>
          </w:p>
        </w:tc>
      </w:tr>
      <w:tr w:rsidR="007624D4" w:rsidRPr="007624D4" w14:paraId="0492A8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631E39" w14:textId="77777777" w:rsidR="007624D4" w:rsidRPr="007624D4" w:rsidRDefault="007624D4" w:rsidP="007624D4">
            <w:proofErr w:type="spellStart"/>
            <w:r w:rsidRPr="007624D4">
              <w:rPr>
                <w:b/>
                <w:bCs/>
              </w:rPr>
              <w:t>StopTox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68B151F" w14:textId="77777777" w:rsidR="007624D4" w:rsidRPr="007624D4" w:rsidRDefault="007624D4" w:rsidP="007624D4">
            <w:r w:rsidRPr="007624D4">
              <w:t>HTTP 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B62ABD" w14:textId="77777777" w:rsidR="007624D4" w:rsidRPr="007624D4" w:rsidRDefault="007624D4" w:rsidP="007624D4">
            <w:r w:rsidRPr="007624D4">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284C1" w14:textId="77777777" w:rsidR="007624D4" w:rsidRPr="007624D4" w:rsidRDefault="007624D4" w:rsidP="007624D4">
            <w:r w:rsidRPr="007624D4">
              <w:t>HTML (tables)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BAFC3" w14:textId="77777777" w:rsidR="007624D4" w:rsidRPr="007624D4" w:rsidRDefault="007624D4" w:rsidP="007624D4">
            <w:r w:rsidRPr="007624D4">
              <w:t xml:space="preserve">DOM #tablePreview + </w:t>
            </w:r>
            <w:proofErr w:type="spellStart"/>
            <w:r w:rsidRPr="007624D4">
              <w:t>DOMParser</w:t>
            </w:r>
            <w:proofErr w:type="spellEnd"/>
          </w:p>
        </w:tc>
      </w:tr>
      <w:tr w:rsidR="007624D4" w:rsidRPr="007624D4" w14:paraId="2CA4DC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667053" w14:textId="77777777" w:rsidR="007624D4" w:rsidRPr="007624D4" w:rsidRDefault="007624D4" w:rsidP="007624D4">
            <w:proofErr w:type="spellStart"/>
            <w:r w:rsidRPr="007624D4">
              <w:rPr>
                <w:b/>
                <w:bCs/>
              </w:rPr>
              <w:t>SwissADME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9EFE1CA" w14:textId="77777777" w:rsidR="007624D4" w:rsidRPr="007624D4" w:rsidRDefault="007624D4" w:rsidP="007624D4">
            <w:r w:rsidRPr="007624D4">
              <w:t>HTTP 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5E0B8" w14:textId="77777777" w:rsidR="007624D4" w:rsidRPr="007624D4" w:rsidRDefault="007624D4" w:rsidP="007624D4">
            <w:r w:rsidRPr="007624D4">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AC09E" w14:textId="77777777" w:rsidR="007624D4" w:rsidRPr="007624D4" w:rsidRDefault="007624D4" w:rsidP="007624D4">
            <w:r w:rsidRPr="007624D4">
              <w:t>HTML (tables)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C5C11" w14:textId="77777777" w:rsidR="007624D4" w:rsidRPr="007624D4" w:rsidRDefault="007624D4" w:rsidP="007624D4">
            <w:r w:rsidRPr="007624D4">
              <w:t>DOM #content table extraction</w:t>
            </w:r>
          </w:p>
        </w:tc>
      </w:tr>
      <w:tr w:rsidR="007624D4" w:rsidRPr="007624D4" w14:paraId="7563A1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BA825F" w14:textId="77777777" w:rsidR="007624D4" w:rsidRPr="007624D4" w:rsidRDefault="007624D4" w:rsidP="007624D4">
            <w:proofErr w:type="spellStart"/>
            <w:r w:rsidRPr="007624D4">
              <w:rPr>
                <w:b/>
                <w:bCs/>
              </w:rPr>
              <w:t>StopLight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D286029" w14:textId="77777777" w:rsidR="007624D4" w:rsidRPr="007624D4" w:rsidRDefault="007624D4" w:rsidP="007624D4">
            <w:r w:rsidRPr="007624D4">
              <w:t>HTTP 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DE315" w14:textId="77777777" w:rsidR="007624D4" w:rsidRPr="007624D4" w:rsidRDefault="007624D4" w:rsidP="007624D4">
            <w:r w:rsidRPr="007624D4">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D5C78" w14:textId="77777777" w:rsidR="007624D4" w:rsidRPr="007624D4" w:rsidRDefault="007624D4" w:rsidP="007624D4">
            <w:r w:rsidRPr="007624D4">
              <w:t>JSON / HTML</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13825" w14:textId="77777777" w:rsidR="007624D4" w:rsidRPr="007624D4" w:rsidRDefault="007624D4" w:rsidP="007624D4">
            <w:proofErr w:type="spellStart"/>
            <w:r w:rsidRPr="007624D4">
              <w:t>JSON.parse</w:t>
            </w:r>
            <w:proofErr w:type="spellEnd"/>
            <w:r w:rsidRPr="007624D4">
              <w:t>() with HTML fallback</w:t>
            </w:r>
          </w:p>
        </w:tc>
      </w:tr>
      <w:tr w:rsidR="007624D4" w:rsidRPr="007624D4" w14:paraId="249670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259597" w14:textId="77777777" w:rsidR="007624D4" w:rsidRPr="007624D4" w:rsidRDefault="007624D4" w:rsidP="007624D4">
            <w:proofErr w:type="spellStart"/>
            <w:r w:rsidRPr="007624D4">
              <w:rPr>
                <w:b/>
                <w:bCs/>
              </w:rPr>
              <w:t>pkCSM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EE86D3D" w14:textId="77777777" w:rsidR="007624D4" w:rsidRPr="007624D4" w:rsidRDefault="007624D4" w:rsidP="007624D4">
            <w:r w:rsidRPr="007624D4">
              <w:t>POST → Polling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39D85" w14:textId="77777777" w:rsidR="007624D4" w:rsidRPr="007624D4" w:rsidRDefault="007624D4" w:rsidP="007624D4">
            <w:r w:rsidRPr="007624D4">
              <w:t>None (session-based)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EC16C" w14:textId="77777777" w:rsidR="007624D4" w:rsidRPr="007624D4" w:rsidRDefault="007624D4" w:rsidP="007624D4">
            <w:r w:rsidRPr="007624D4">
              <w:t>HTML (tables)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F185D" w14:textId="77777777" w:rsidR="007624D4" w:rsidRPr="007624D4" w:rsidRDefault="007624D4" w:rsidP="007624D4">
            <w:r w:rsidRPr="007624D4">
              <w:t>Async polling at 3s intervals</w:t>
            </w:r>
          </w:p>
        </w:tc>
      </w:tr>
      <w:tr w:rsidR="007624D4" w:rsidRPr="007624D4" w14:paraId="552C6C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5CC6CD" w14:textId="77777777" w:rsidR="007624D4" w:rsidRPr="007624D4" w:rsidRDefault="007624D4" w:rsidP="007624D4">
            <w:proofErr w:type="spellStart"/>
            <w:r w:rsidRPr="007624D4">
              <w:rPr>
                <w:b/>
                <w:bCs/>
              </w:rPr>
              <w:t>ADMETlab</w:t>
            </w:r>
            <w:proofErr w:type="spellEnd"/>
            <w:r w:rsidRPr="007624D4">
              <w:rPr>
                <w:b/>
                <w:bCs/>
              </w:rPr>
              <w:t xml:space="preserve">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37CDE" w14:textId="77777777" w:rsidR="007624D4" w:rsidRPr="007624D4" w:rsidRDefault="007624D4" w:rsidP="007624D4">
            <w:r w:rsidRPr="007624D4">
              <w:t>GET → 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A14AE" w14:textId="77777777" w:rsidR="007624D4" w:rsidRPr="007624D4" w:rsidRDefault="007624D4" w:rsidP="007624D4">
            <w:r w:rsidRPr="007624D4">
              <w:t>CSRF + Cookies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854B8" w14:textId="77777777" w:rsidR="007624D4" w:rsidRPr="007624D4" w:rsidRDefault="007624D4" w:rsidP="007624D4">
            <w:r w:rsidRPr="007624D4">
              <w:t>HTML (tables)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6D3E9" w14:textId="77777777" w:rsidR="007624D4" w:rsidRPr="007624D4" w:rsidRDefault="007624D4" w:rsidP="007624D4">
            <w:proofErr w:type="gramStart"/>
            <w:r w:rsidRPr="007624D4">
              <w:t>DOM .sub</w:t>
            </w:r>
            <w:proofErr w:type="gramEnd"/>
            <w:r w:rsidRPr="007624D4">
              <w:t xml:space="preserve">-title + </w:t>
            </w:r>
            <w:proofErr w:type="spellStart"/>
            <w:r w:rsidRPr="007624D4">
              <w:t>CookieJar</w:t>
            </w:r>
            <w:proofErr w:type="spellEnd"/>
          </w:p>
        </w:tc>
      </w:tr>
    </w:tbl>
    <w:p w14:paraId="245AE343" w14:textId="77777777" w:rsidR="007624D4" w:rsidRPr="007624D4" w:rsidRDefault="007624D4" w:rsidP="007624D4">
      <w:pPr>
        <w:rPr>
          <w:b/>
          <w:bCs/>
        </w:rPr>
      </w:pPr>
      <w:r w:rsidRPr="007624D4">
        <w:rPr>
          <w:b/>
          <w:bCs/>
        </w:rPr>
        <w:t>2.3 Fault-Tolerant Engine Orchestration</w:t>
      </w:r>
    </w:p>
    <w:p w14:paraId="4DCD5928" w14:textId="18DFA453" w:rsidR="007624D4" w:rsidRPr="007624D4" w:rsidRDefault="007624D4" w:rsidP="007624D4">
      <w:r w:rsidRPr="007624D4">
        <w:t xml:space="preserve">To manage the inherent volatility of external web service scraping, </w:t>
      </w:r>
      <w:proofErr w:type="spellStart"/>
      <w:r w:rsidRPr="007624D4">
        <w:t>SmileRender</w:t>
      </w:r>
      <w:proofErr w:type="spellEnd"/>
      <w:r w:rsidRPr="007624D4">
        <w:t xml:space="preserve"> implements a Fault-Tolerant Engine Orchestration strategy. Each computational module is wrapped in a high-order </w:t>
      </w:r>
      <w:proofErr w:type="spellStart"/>
      <w:r w:rsidRPr="007624D4">
        <w:t>ToolErrorBoundary</w:t>
      </w:r>
      <w:proofErr w:type="spellEnd"/>
      <w:r w:rsidRPr="007624D4">
        <w:t>, ensuring that transient failures or protocol changes in a single upstream predictor do not cascade into a terminal application crash. A global threading semaphore (</w:t>
      </w:r>
      <w:proofErr w:type="gramStart"/>
      <w:r w:rsidRPr="007624D4">
        <w:t>Semaphore(</w:t>
      </w:r>
      <w:proofErr w:type="gramEnd"/>
      <w:r w:rsidRPr="007624D4">
        <w:t xml:space="preserve">2)) governs concurrent access to computationally intensive </w:t>
      </w:r>
      <w:r>
        <w:t>backend operations</w:t>
      </w:r>
      <w:r w:rsidRPr="007624D4">
        <w:t>, preventing server overload. All prediction results are cached in Redis with a 24-hour TTL, keyed by the MD5 hash of the SMILES string, reducing redundant API calls.</w:t>
      </w:r>
    </w:p>
    <w:p w14:paraId="59E228E0" w14:textId="77777777" w:rsidR="007624D4" w:rsidRPr="007624D4" w:rsidRDefault="007624D4" w:rsidP="007624D4">
      <w:pPr>
        <w:rPr>
          <w:b/>
          <w:bCs/>
        </w:rPr>
      </w:pPr>
      <w:r w:rsidRPr="007624D4">
        <w:rPr>
          <w:b/>
          <w:bCs/>
        </w:rPr>
        <w:lastRenderedPageBreak/>
        <w:t>2.4 Local Cheminformatics Modules</w:t>
      </w:r>
    </w:p>
    <w:p w14:paraId="5446EEF1" w14:textId="77777777" w:rsidR="007624D4" w:rsidRPr="007624D4" w:rsidRDefault="007624D4" w:rsidP="007624D4">
      <w:r w:rsidRPr="007624D4">
        <w:t xml:space="preserve">Beyond external ADMET proxies, </w:t>
      </w:r>
      <w:proofErr w:type="spellStart"/>
      <w:r w:rsidRPr="007624D4">
        <w:t>SmileRender</w:t>
      </w:r>
      <w:proofErr w:type="spellEnd"/>
      <w:r w:rsidRPr="007624D4">
        <w:t xml:space="preserve"> implements robust local capabilities via </w:t>
      </w:r>
      <w:proofErr w:type="spellStart"/>
      <w:r w:rsidRPr="007624D4">
        <w:t>RDKit</w:t>
      </w:r>
      <w:proofErr w:type="spellEnd"/>
      <w:r w:rsidRPr="007624D4">
        <w:t xml:space="preserve"> 2024.3.6 and external REST APIs, providing autonomy for high-throughput filtering:</w:t>
      </w:r>
    </w:p>
    <w:p w14:paraId="40497E06" w14:textId="77777777" w:rsidR="007624D4" w:rsidRPr="007624D4" w:rsidRDefault="007624D4" w:rsidP="007624D4">
      <w:pPr>
        <w:numPr>
          <w:ilvl w:val="0"/>
          <w:numId w:val="1"/>
        </w:numPr>
      </w:pPr>
      <w:r w:rsidRPr="007624D4">
        <w:rPr>
          <w:b/>
          <w:bCs/>
        </w:rPr>
        <w:t>Molecular Descriptor Calculator:</w:t>
      </w:r>
      <w:r w:rsidRPr="007624D4">
        <w:t xml:space="preserve"> Computes 16 physicochemical descriptors locally (e.g., exact mass, </w:t>
      </w:r>
      <w:proofErr w:type="spellStart"/>
      <w:r w:rsidRPr="007624D4">
        <w:t>LogP</w:t>
      </w:r>
      <w:proofErr w:type="spellEnd"/>
      <w:r w:rsidRPr="007624D4">
        <w:t>, TPSA, HBA/HBD, QED, and Lipinski's Rule of Five violations) without external API dependency.</w:t>
      </w:r>
    </w:p>
    <w:p w14:paraId="5E748A4A" w14:textId="77777777" w:rsidR="007624D4" w:rsidRPr="007624D4" w:rsidRDefault="007624D4" w:rsidP="007624D4">
      <w:pPr>
        <w:numPr>
          <w:ilvl w:val="0"/>
          <w:numId w:val="1"/>
        </w:numPr>
      </w:pPr>
      <w:r w:rsidRPr="007624D4">
        <w:rPr>
          <w:b/>
          <w:bCs/>
        </w:rPr>
        <w:t>Molecular Similarity Search:</w:t>
      </w:r>
      <w:r w:rsidRPr="007624D4">
        <w:t xml:space="preserve"> Performs Tanimoto similarity ranking using Morgan fingerprints (radius 2, 2048-bit vector length) to compare a query library against a reference SMILES.</w:t>
      </w:r>
    </w:p>
    <w:p w14:paraId="37EA181E" w14:textId="77777777" w:rsidR="007624D4" w:rsidRPr="007624D4" w:rsidRDefault="007624D4" w:rsidP="007624D4">
      <w:pPr>
        <w:numPr>
          <w:ilvl w:val="0"/>
          <w:numId w:val="1"/>
        </w:numPr>
      </w:pPr>
      <w:r w:rsidRPr="007624D4">
        <w:rPr>
          <w:b/>
          <w:bCs/>
        </w:rPr>
        <w:t>Chemical Nomenclature:</w:t>
      </w:r>
      <w:r w:rsidRPr="007624D4">
        <w:t xml:space="preserve"> Converts SMILES to IUPAC systematic names, InChI, and </w:t>
      </w:r>
      <w:proofErr w:type="spellStart"/>
      <w:r w:rsidRPr="007624D4">
        <w:t>InChIKeys</w:t>
      </w:r>
      <w:proofErr w:type="spellEnd"/>
      <w:r w:rsidRPr="007624D4">
        <w:t xml:space="preserve"> via the PubChem PUG REST API.</w:t>
      </w:r>
    </w:p>
    <w:p w14:paraId="2AAC0B92" w14:textId="77777777" w:rsidR="007624D4" w:rsidRPr="007624D4" w:rsidRDefault="007624D4" w:rsidP="007624D4">
      <w:pPr>
        <w:numPr>
          <w:ilvl w:val="0"/>
          <w:numId w:val="1"/>
        </w:numPr>
      </w:pPr>
      <w:r w:rsidRPr="007624D4">
        <w:rPr>
          <w:b/>
          <w:bCs/>
        </w:rPr>
        <w:t>Reaction Visualizer:</w:t>
      </w:r>
      <w:r w:rsidRPr="007624D4">
        <w:t xml:space="preserve"> Renders chemical reactions specified in reaction SMILES notation (&gt;&gt;) as high-quality PNG images.</w:t>
      </w:r>
    </w:p>
    <w:p w14:paraId="25449D42" w14:textId="77777777" w:rsidR="007624D4" w:rsidRPr="007624D4" w:rsidRDefault="007624D4" w:rsidP="007624D4">
      <w:pPr>
        <w:rPr>
          <w:b/>
          <w:bCs/>
        </w:rPr>
      </w:pPr>
      <w:r w:rsidRPr="007624D4">
        <w:rPr>
          <w:b/>
          <w:bCs/>
        </w:rPr>
        <w:t>2.5 Data normalization and export pipeline</w:t>
      </w:r>
    </w:p>
    <w:p w14:paraId="5451AFD0" w14:textId="77777777" w:rsidR="007624D4" w:rsidRPr="007624D4" w:rsidRDefault="007624D4" w:rsidP="007624D4">
      <w:r w:rsidRPr="007624D4">
        <w:t xml:space="preserve">All ADMET prediction results are normalized into a unified six-field schema: SMILES, Tool, Category, Property, Value, and Unit. The platform implements real-time progress tracking, blocking export until 100% completion. The /export/excel endpoint generates a multi-sheet Excel workbook using Pandas and </w:t>
      </w:r>
      <w:proofErr w:type="spellStart"/>
      <w:r w:rsidRPr="007624D4">
        <w:t>Openpyxl</w:t>
      </w:r>
      <w:proofErr w:type="spellEnd"/>
      <w:r w:rsidRPr="007624D4">
        <w:t>, producing a pivot table ("SMILES Comparison") for side-by-side analysis and a secondary sheet with detailed data.</w:t>
      </w:r>
    </w:p>
    <w:p w14:paraId="5CD2994D" w14:textId="77777777" w:rsidR="007624D4" w:rsidRPr="007624D4" w:rsidRDefault="007624D4" w:rsidP="007624D4">
      <w:pPr>
        <w:rPr>
          <w:b/>
          <w:bCs/>
        </w:rPr>
      </w:pPr>
      <w:r w:rsidRPr="007624D4">
        <w:rPr>
          <w:b/>
          <w:bCs/>
        </w:rPr>
        <w:t>2.6 Security considerations</w:t>
      </w:r>
    </w:p>
    <w:p w14:paraId="164FF78A" w14:textId="25BAA59F" w:rsidR="007624D4" w:rsidRPr="007624D4" w:rsidRDefault="007624D4" w:rsidP="007624D4">
      <w:r w:rsidRPr="007624D4">
        <w:t>All HTML responses from external services are sanitized prior to DOM parsing, removing &lt;script&gt; and &lt;</w:t>
      </w:r>
      <w:proofErr w:type="spellStart"/>
      <w:r w:rsidRPr="007624D4">
        <w:t>iframe</w:t>
      </w:r>
      <w:proofErr w:type="spellEnd"/>
      <w:r w:rsidRPr="007624D4">
        <w:t xml:space="preserve">&gt; tags to mitigate cross-site scripting (XSS) risks. The Flask backend implements a strict Content Security Policy (CSP), </w:t>
      </w:r>
      <w:r>
        <w:t xml:space="preserve">the X-Frame-Options: DENY header, and the X-Content-Type-Options: </w:t>
      </w:r>
      <w:proofErr w:type="spellStart"/>
      <w:r>
        <w:t>nosniff</w:t>
      </w:r>
      <w:proofErr w:type="spellEnd"/>
      <w:r>
        <w:t xml:space="preserve"> header</w:t>
      </w:r>
      <w:r w:rsidRPr="007624D4">
        <w:t xml:space="preserve"> to protect research intellectual property.</w:t>
      </w:r>
    </w:p>
    <w:p w14:paraId="14D83770" w14:textId="77777777" w:rsidR="007624D4" w:rsidRPr="007624D4" w:rsidRDefault="007624D4" w:rsidP="007624D4">
      <w:r w:rsidRPr="007624D4">
        <w:pict w14:anchorId="31AAA83E">
          <v:rect id="_x0000_i1057" style="width:0;height:1.5pt" o:hralign="center" o:hrstd="t" o:hr="t" fillcolor="#a0a0a0" stroked="f"/>
        </w:pict>
      </w:r>
    </w:p>
    <w:p w14:paraId="45D3700C" w14:textId="77777777" w:rsidR="007624D4" w:rsidRPr="007624D4" w:rsidRDefault="007624D4" w:rsidP="007624D4">
      <w:pPr>
        <w:rPr>
          <w:b/>
          <w:bCs/>
        </w:rPr>
      </w:pPr>
      <w:r w:rsidRPr="007624D4">
        <w:rPr>
          <w:b/>
          <w:bCs/>
        </w:rPr>
        <w:t>3 Results and Discussion</w:t>
      </w:r>
    </w:p>
    <w:p w14:paraId="5B7E4437" w14:textId="77777777" w:rsidR="007624D4" w:rsidRPr="007624D4" w:rsidRDefault="007624D4" w:rsidP="007624D4">
      <w:pPr>
        <w:rPr>
          <w:b/>
          <w:bCs/>
        </w:rPr>
      </w:pPr>
      <w:r w:rsidRPr="007624D4">
        <w:rPr>
          <w:b/>
          <w:bCs/>
        </w:rPr>
        <w:t>3.1 Integrated prediction coverage</w:t>
      </w:r>
    </w:p>
    <w:p w14:paraId="160BD33E" w14:textId="77777777" w:rsidR="007624D4" w:rsidRPr="007624D4" w:rsidRDefault="007624D4" w:rsidP="007624D4">
      <w:proofErr w:type="spellStart"/>
      <w:r w:rsidRPr="007624D4">
        <w:t>SmileRender</w:t>
      </w:r>
      <w:proofErr w:type="spellEnd"/>
      <w:r w:rsidRPr="007624D4">
        <w:t xml:space="preserve"> provides access to a combined set of over 120 distinct ADMET endpoints across five platforms. </w:t>
      </w:r>
      <w:proofErr w:type="spellStart"/>
      <w:r w:rsidRPr="007624D4">
        <w:t>StopTox</w:t>
      </w:r>
      <w:proofErr w:type="spellEnd"/>
      <w:r w:rsidRPr="007624D4">
        <w:t xml:space="preserve"> provides specialized toxicity endpoints, </w:t>
      </w:r>
      <w:proofErr w:type="spellStart"/>
      <w:r w:rsidRPr="007624D4">
        <w:t>SwissADME</w:t>
      </w:r>
      <w:proofErr w:type="spellEnd"/>
      <w:r w:rsidRPr="007624D4">
        <w:t xml:space="preserve"> excels in drug-likeness evaluation with the BOILED-Egg model, </w:t>
      </w:r>
      <w:proofErr w:type="spellStart"/>
      <w:r w:rsidRPr="007624D4">
        <w:t>pkCSM</w:t>
      </w:r>
      <w:proofErr w:type="spellEnd"/>
      <w:r w:rsidRPr="007624D4">
        <w:t xml:space="preserve"> provides graph-based signatures, and </w:t>
      </w:r>
      <w:proofErr w:type="spellStart"/>
      <w:r w:rsidRPr="007624D4">
        <w:t>ADMETlab</w:t>
      </w:r>
      <w:proofErr w:type="spellEnd"/>
      <w:r w:rsidRPr="007624D4">
        <w:t xml:space="preserve"> 3.0 delivers the broadest coverage including Tox21 pathway assays.</w:t>
      </w:r>
    </w:p>
    <w:p w14:paraId="5EB39C28" w14:textId="77777777" w:rsidR="007624D4" w:rsidRPr="007624D4" w:rsidRDefault="007624D4" w:rsidP="007624D4">
      <w:pPr>
        <w:rPr>
          <w:b/>
          <w:bCs/>
        </w:rPr>
      </w:pPr>
      <w:r w:rsidRPr="007624D4">
        <w:rPr>
          <w:b/>
          <w:bCs/>
        </w:rPr>
        <w:lastRenderedPageBreak/>
        <w:t>3.2 Benchmark and Performance Validation</w:t>
      </w:r>
    </w:p>
    <w:p w14:paraId="2B7A91EF" w14:textId="77777777" w:rsidR="007624D4" w:rsidRPr="007624D4" w:rsidRDefault="007624D4" w:rsidP="007624D4">
      <w:r w:rsidRPr="007624D4">
        <w:t>To validate the platform's orchestration and speed, we evaluated five FDA-approved drugs (Aspirin, Ibuprofen, Caffeine, Metformin, Paracetamol) across all integrated engines.</w:t>
      </w:r>
    </w:p>
    <w:p w14:paraId="183D4AC7" w14:textId="77777777" w:rsidR="007624D4" w:rsidRPr="007624D4" w:rsidRDefault="007624D4" w:rsidP="007624D4">
      <w:r w:rsidRPr="007624D4">
        <w:t xml:space="preserve">Of 25 prediction attempts, 20 were successfully completed, yielding an </w:t>
      </w:r>
      <w:r w:rsidRPr="007624D4">
        <w:rPr>
          <w:b/>
          <w:bCs/>
        </w:rPr>
        <w:t>80% success rate</w:t>
      </w:r>
      <w:r w:rsidRPr="007624D4">
        <w:t xml:space="preserve"> across heterogeneous web APIs. The mean processing time per compound across all tools was </w:t>
      </w:r>
      <w:r w:rsidRPr="007624D4">
        <w:rPr>
          <w:b/>
          <w:bCs/>
        </w:rPr>
        <w:t>36.35 seconds</w:t>
      </w:r>
      <w:r w:rsidRPr="007624D4">
        <w:t xml:space="preserve">. Per-tool mean response times varied significantly: </w:t>
      </w:r>
      <w:proofErr w:type="spellStart"/>
      <w:r w:rsidRPr="007624D4">
        <w:t>StopLight</w:t>
      </w:r>
      <w:proofErr w:type="spellEnd"/>
      <w:r w:rsidRPr="007624D4">
        <w:t xml:space="preserve"> (2.98 s), </w:t>
      </w:r>
      <w:proofErr w:type="spellStart"/>
      <w:r w:rsidRPr="007624D4">
        <w:t>pkCSM</w:t>
      </w:r>
      <w:proofErr w:type="spellEnd"/>
      <w:r w:rsidRPr="007624D4">
        <w:t xml:space="preserve"> (4.82 s), </w:t>
      </w:r>
      <w:proofErr w:type="spellStart"/>
      <w:r w:rsidRPr="007624D4">
        <w:t>SwissADME</w:t>
      </w:r>
      <w:proofErr w:type="spellEnd"/>
      <w:r w:rsidRPr="007624D4">
        <w:t xml:space="preserve"> (5.22 s), </w:t>
      </w:r>
      <w:proofErr w:type="spellStart"/>
      <w:r w:rsidRPr="007624D4">
        <w:t>ADMETlab</w:t>
      </w:r>
      <w:proofErr w:type="spellEnd"/>
      <w:r w:rsidRPr="007624D4">
        <w:t xml:space="preserve"> 3.0 (5.52 s), and </w:t>
      </w:r>
      <w:proofErr w:type="spellStart"/>
      <w:r w:rsidRPr="007624D4">
        <w:t>StopTox</w:t>
      </w:r>
      <w:proofErr w:type="spellEnd"/>
      <w:r w:rsidRPr="007624D4">
        <w:t xml:space="preserve"> (17.82 s). This demonstrates that </w:t>
      </w:r>
      <w:proofErr w:type="spellStart"/>
      <w:r w:rsidRPr="007624D4">
        <w:t>SmileRender</w:t>
      </w:r>
      <w:proofErr w:type="spellEnd"/>
      <w:r w:rsidRPr="007624D4">
        <w:t xml:space="preserve"> provides a 10x-20x time-saving advantage over manual multi-site investigation.</w:t>
      </w:r>
    </w:p>
    <w:p w14:paraId="026A7CAE" w14:textId="77777777" w:rsidR="007624D4" w:rsidRPr="007624D4" w:rsidRDefault="007624D4" w:rsidP="007624D4">
      <w:pPr>
        <w:rPr>
          <w:b/>
          <w:bCs/>
        </w:rPr>
      </w:pPr>
      <w:r w:rsidRPr="007624D4">
        <w:rPr>
          <w:b/>
          <w:bCs/>
        </w:rPr>
        <w:t>3.3 Comparison with existing tools</w:t>
      </w:r>
    </w:p>
    <w:p w14:paraId="4A3DBE28" w14:textId="77777777" w:rsidR="007624D4" w:rsidRPr="007624D4" w:rsidRDefault="007624D4" w:rsidP="007624D4">
      <w:proofErr w:type="spellStart"/>
      <w:r w:rsidRPr="007624D4">
        <w:t>SmileRender</w:t>
      </w:r>
      <w:proofErr w:type="spellEnd"/>
      <w:r w:rsidRPr="007624D4">
        <w:t xml:space="preserve"> occupies a distinct niche as an </w:t>
      </w:r>
      <w:r w:rsidRPr="007624D4">
        <w:rPr>
          <w:i/>
          <w:iCs/>
        </w:rPr>
        <w:t>integration layer</w:t>
      </w:r>
      <w:r w:rsidRPr="007624D4">
        <w:t xml:space="preserve"> augmented with local processing capabilities.</w:t>
      </w:r>
    </w:p>
    <w:p w14:paraId="3DB4DF0C" w14:textId="77777777" w:rsidR="007624D4" w:rsidRPr="007624D4" w:rsidRDefault="007624D4" w:rsidP="007624D4">
      <w:r w:rsidRPr="007624D4">
        <w:rPr>
          <w:b/>
          <w:bCs/>
        </w:rPr>
        <w:t>Table 2.</w:t>
      </w:r>
      <w:r w:rsidRPr="007624D4">
        <w:t xml:space="preserve"> Feature comparison of </w:t>
      </w:r>
      <w:proofErr w:type="spellStart"/>
      <w:r w:rsidRPr="007624D4">
        <w:t>SmileRender</w:t>
      </w:r>
      <w:proofErr w:type="spellEnd"/>
      <w:r w:rsidRPr="007624D4">
        <w:t xml:space="preserve"> with existing computational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4"/>
        <w:gridCol w:w="1377"/>
        <w:gridCol w:w="1016"/>
        <w:gridCol w:w="1588"/>
        <w:gridCol w:w="1519"/>
      </w:tblGrid>
      <w:tr w:rsidR="007624D4" w:rsidRPr="007624D4" w14:paraId="08E4CD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DDAA05" w14:textId="77777777" w:rsidR="007624D4" w:rsidRPr="007624D4" w:rsidRDefault="007624D4" w:rsidP="007624D4">
            <w:r w:rsidRPr="007624D4">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079C6" w14:textId="77777777" w:rsidR="007624D4" w:rsidRPr="007624D4" w:rsidRDefault="007624D4" w:rsidP="007624D4">
            <w:proofErr w:type="spellStart"/>
            <w:r w:rsidRPr="007624D4">
              <w:rPr>
                <w:b/>
                <w:bCs/>
              </w:rPr>
              <w:t>SwissADME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0DC99B6" w14:textId="77777777" w:rsidR="007624D4" w:rsidRPr="007624D4" w:rsidRDefault="007624D4" w:rsidP="007624D4">
            <w:proofErr w:type="spellStart"/>
            <w:r w:rsidRPr="007624D4">
              <w:rPr>
                <w:b/>
                <w:bCs/>
              </w:rPr>
              <w:t>pkCSM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A01D3D3" w14:textId="77777777" w:rsidR="007624D4" w:rsidRPr="007624D4" w:rsidRDefault="007624D4" w:rsidP="007624D4">
            <w:proofErr w:type="spellStart"/>
            <w:r w:rsidRPr="007624D4">
              <w:rPr>
                <w:b/>
                <w:bCs/>
              </w:rPr>
              <w:t>ADMETlab</w:t>
            </w:r>
            <w:proofErr w:type="spellEnd"/>
            <w:r w:rsidRPr="007624D4">
              <w:rPr>
                <w:b/>
                <w:bCs/>
              </w:rPr>
              <w:t xml:space="preserve">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83779" w14:textId="77777777" w:rsidR="007624D4" w:rsidRPr="007624D4" w:rsidRDefault="007624D4" w:rsidP="007624D4">
            <w:proofErr w:type="spellStart"/>
            <w:r w:rsidRPr="007624D4">
              <w:rPr>
                <w:b/>
                <w:bCs/>
              </w:rPr>
              <w:t>SmileRender</w:t>
            </w:r>
            <w:proofErr w:type="spellEnd"/>
          </w:p>
        </w:tc>
      </w:tr>
      <w:tr w:rsidR="007624D4" w:rsidRPr="007624D4" w14:paraId="0E8ACC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9BA9D1" w14:textId="77777777" w:rsidR="007624D4" w:rsidRPr="007624D4" w:rsidRDefault="007624D4" w:rsidP="007624D4">
            <w:r w:rsidRPr="007624D4">
              <w:rPr>
                <w:b/>
                <w:bCs/>
              </w:rPr>
              <w:t>Multi-tool aggregation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E89F3"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EECA5"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946B6"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AACFA" w14:textId="77777777" w:rsidR="007624D4" w:rsidRPr="007624D4" w:rsidRDefault="007624D4" w:rsidP="007624D4">
            <w:r w:rsidRPr="007624D4">
              <w:rPr>
                <w:b/>
                <w:bCs/>
              </w:rPr>
              <w:t>✓ (5 tools)</w:t>
            </w:r>
          </w:p>
        </w:tc>
      </w:tr>
      <w:tr w:rsidR="007624D4" w:rsidRPr="007624D4" w14:paraId="7E4724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C901D7" w14:textId="77777777" w:rsidR="007624D4" w:rsidRPr="007624D4" w:rsidRDefault="007624D4" w:rsidP="007624D4">
            <w:r w:rsidRPr="007624D4">
              <w:rPr>
                <w:b/>
                <w:bCs/>
              </w:rPr>
              <w:t>Consolidated Excel export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88739"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861C3" w14:textId="77777777" w:rsidR="007624D4" w:rsidRPr="007624D4" w:rsidRDefault="007624D4" w:rsidP="007624D4">
            <w:r w:rsidRPr="007624D4">
              <w:t>CSV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B3753"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661EB" w14:textId="77777777" w:rsidR="007624D4" w:rsidRPr="007624D4" w:rsidRDefault="007624D4" w:rsidP="007624D4">
            <w:r w:rsidRPr="007624D4">
              <w:rPr>
                <w:b/>
                <w:bCs/>
              </w:rPr>
              <w:t>✓ (Pivot)</w:t>
            </w:r>
          </w:p>
        </w:tc>
      </w:tr>
      <w:tr w:rsidR="007624D4" w:rsidRPr="007624D4" w14:paraId="3CE5A6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40C7FA" w14:textId="77777777" w:rsidR="007624D4" w:rsidRPr="007624D4" w:rsidRDefault="007624D4" w:rsidP="007624D4">
            <w:r w:rsidRPr="007624D4">
              <w:rPr>
                <w:b/>
                <w:bCs/>
              </w:rPr>
              <w:t>Local Descriptor (16 variables)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473CB"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B38DE"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17BE1"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A61C6" w14:textId="77777777" w:rsidR="007624D4" w:rsidRPr="007624D4" w:rsidRDefault="007624D4" w:rsidP="007624D4">
            <w:r w:rsidRPr="007624D4">
              <w:rPr>
                <w:b/>
                <w:bCs/>
              </w:rPr>
              <w:t>✓</w:t>
            </w:r>
          </w:p>
        </w:tc>
      </w:tr>
      <w:tr w:rsidR="007624D4" w:rsidRPr="007624D4" w14:paraId="460EE2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298262" w14:textId="77777777" w:rsidR="007624D4" w:rsidRPr="007624D4" w:rsidRDefault="007624D4" w:rsidP="007624D4">
            <w:r w:rsidRPr="007624D4">
              <w:rPr>
                <w:b/>
                <w:bCs/>
              </w:rPr>
              <w:t>Morgan Similarity 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BBC19"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BE465"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5E450"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4A0EF" w14:textId="77777777" w:rsidR="007624D4" w:rsidRPr="007624D4" w:rsidRDefault="007624D4" w:rsidP="007624D4">
            <w:r w:rsidRPr="007624D4">
              <w:rPr>
                <w:b/>
                <w:bCs/>
              </w:rPr>
              <w:t>✓</w:t>
            </w:r>
          </w:p>
        </w:tc>
      </w:tr>
      <w:tr w:rsidR="007624D4" w:rsidRPr="007624D4" w14:paraId="76EA58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F43C9" w14:textId="77777777" w:rsidR="007624D4" w:rsidRPr="007624D4" w:rsidRDefault="007624D4" w:rsidP="007624D4">
            <w:r w:rsidRPr="007624D4">
              <w:rPr>
                <w:b/>
                <w:bCs/>
              </w:rPr>
              <w:t>Reaction Rendering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85F24"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6E235"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10E74"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45415" w14:textId="77777777" w:rsidR="007624D4" w:rsidRPr="007624D4" w:rsidRDefault="007624D4" w:rsidP="007624D4">
            <w:r w:rsidRPr="007624D4">
              <w:rPr>
                <w:b/>
                <w:bCs/>
              </w:rPr>
              <w:t>✓</w:t>
            </w:r>
          </w:p>
        </w:tc>
      </w:tr>
      <w:tr w:rsidR="007624D4" w:rsidRPr="007624D4" w14:paraId="5DC1FD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47CEE4" w14:textId="77777777" w:rsidR="007624D4" w:rsidRPr="007624D4" w:rsidRDefault="007624D4" w:rsidP="007624D4">
            <w:r w:rsidRPr="007624D4">
              <w:rPr>
                <w:b/>
                <w:bCs/>
              </w:rPr>
              <w:t>Real-time progress tracking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8B341"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1A7D1"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FE9A5" w14:textId="77777777" w:rsidR="007624D4" w:rsidRPr="007624D4" w:rsidRDefault="007624D4" w:rsidP="007624D4">
            <w:r w:rsidRPr="007624D4">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634E5C" w14:textId="77777777" w:rsidR="007624D4" w:rsidRPr="007624D4" w:rsidRDefault="007624D4" w:rsidP="007624D4">
            <w:r w:rsidRPr="007624D4">
              <w:rPr>
                <w:b/>
                <w:bCs/>
              </w:rPr>
              <w:t>✓</w:t>
            </w:r>
          </w:p>
        </w:tc>
      </w:tr>
    </w:tbl>
    <w:p w14:paraId="7619CA49" w14:textId="77777777" w:rsidR="007624D4" w:rsidRPr="007624D4" w:rsidRDefault="007624D4" w:rsidP="007624D4">
      <w:pPr>
        <w:rPr>
          <w:b/>
          <w:bCs/>
        </w:rPr>
      </w:pPr>
      <w:r w:rsidRPr="007624D4">
        <w:rPr>
          <w:b/>
          <w:bCs/>
        </w:rPr>
        <w:t>3.4 Limitations and future work</w:t>
      </w:r>
    </w:p>
    <w:p w14:paraId="56723BCB" w14:textId="77777777" w:rsidR="007624D4" w:rsidRPr="007624D4" w:rsidRDefault="007624D4" w:rsidP="007624D4">
      <w:proofErr w:type="spellStart"/>
      <w:r w:rsidRPr="007624D4">
        <w:t>SmileRender</w:t>
      </w:r>
      <w:proofErr w:type="spellEnd"/>
      <w:r w:rsidRPr="007624D4">
        <w:t xml:space="preserve"> relies on the continued availability and structural stability of external web services; changes to their HTML structure or API contracts require updates to the parser components. This is mitigated through our modular component design and fallback parsing strategies. Future planned enhancements include integration with </w:t>
      </w:r>
      <w:proofErr w:type="spellStart"/>
      <w:r w:rsidRPr="007624D4">
        <w:t>ChEMBL</w:t>
      </w:r>
      <w:proofErr w:type="spellEnd"/>
      <w:r w:rsidRPr="007624D4">
        <w:t xml:space="preserve"> for known bioactivity data enrichment, machine learning-based ADMET models (e.g., </w:t>
      </w:r>
      <w:proofErr w:type="spellStart"/>
      <w:r w:rsidRPr="007624D4">
        <w:t>ChemProp</w:t>
      </w:r>
      <w:proofErr w:type="spellEnd"/>
      <w:r w:rsidRPr="007624D4">
        <w:t>), and interactive dashboards with multi-dimensional radar charts.</w:t>
      </w:r>
    </w:p>
    <w:p w14:paraId="776CBC86" w14:textId="77777777" w:rsidR="007624D4" w:rsidRPr="007624D4" w:rsidRDefault="007624D4" w:rsidP="007624D4">
      <w:r w:rsidRPr="007624D4">
        <w:pict w14:anchorId="7B0523AB">
          <v:rect id="_x0000_i1058" style="width:0;height:1.5pt" o:hralign="center" o:hrstd="t" o:hr="t" fillcolor="#a0a0a0" stroked="f"/>
        </w:pict>
      </w:r>
    </w:p>
    <w:p w14:paraId="21896275" w14:textId="77777777" w:rsidR="007624D4" w:rsidRPr="007624D4" w:rsidRDefault="007624D4" w:rsidP="007624D4">
      <w:pPr>
        <w:rPr>
          <w:b/>
          <w:bCs/>
        </w:rPr>
      </w:pPr>
      <w:r w:rsidRPr="007624D4">
        <w:rPr>
          <w:b/>
          <w:bCs/>
        </w:rPr>
        <w:lastRenderedPageBreak/>
        <w:t>4 Conclusions</w:t>
      </w:r>
    </w:p>
    <w:p w14:paraId="2E92ED0F" w14:textId="77777777" w:rsidR="007624D4" w:rsidRPr="007624D4" w:rsidRDefault="007624D4" w:rsidP="007624D4">
      <w:proofErr w:type="spellStart"/>
      <w:r w:rsidRPr="007624D4">
        <w:t>SmileRender</w:t>
      </w:r>
      <w:proofErr w:type="spellEnd"/>
      <w:r w:rsidRPr="007624D4">
        <w:t xml:space="preserve"> provides a practical solution to a pervasive problem in computational drug discovery: the fragmentation of ADMET profiling and core cheminformatics analysis across multiple independent web platforms. By implementing a fault-tolerant reverse-proxy architecture, </w:t>
      </w:r>
      <w:proofErr w:type="spellStart"/>
      <w:r w:rsidRPr="007624D4">
        <w:t>SmileRender</w:t>
      </w:r>
      <w:proofErr w:type="spellEnd"/>
      <w:r w:rsidRPr="007624D4">
        <w:t xml:space="preserve"> enables researchers to perform comprehensive multi-endpoint ADMET profiling alongside local </w:t>
      </w:r>
      <w:proofErr w:type="spellStart"/>
      <w:r w:rsidRPr="007624D4">
        <w:t>RDKit</w:t>
      </w:r>
      <w:proofErr w:type="spellEnd"/>
      <w:r w:rsidRPr="007624D4">
        <w:t xml:space="preserve"> descriptor calculation and similarity search from a single browser interface.</w:t>
      </w:r>
    </w:p>
    <w:p w14:paraId="559D2806" w14:textId="77777777" w:rsidR="007624D4" w:rsidRPr="007624D4" w:rsidRDefault="007624D4" w:rsidP="007624D4">
      <w:r w:rsidRPr="007624D4">
        <w:t xml:space="preserve">The platform requires no programming expertise to operate, reduces analysis time to an average of ~36 seconds per compound, and automatically consolidates disparate results into a standardized Excel matrix. Released under the MIT open-source license, </w:t>
      </w:r>
      <w:proofErr w:type="spellStart"/>
      <w:r w:rsidRPr="007624D4">
        <w:t>SmileRender</w:t>
      </w:r>
      <w:proofErr w:type="spellEnd"/>
      <w:r w:rsidRPr="007624D4">
        <w:t xml:space="preserve"> shifts the focus from individual prediction capabilities to the efficient operationalization of existing, validated computational resources.</w:t>
      </w:r>
    </w:p>
    <w:p w14:paraId="09154447" w14:textId="77777777" w:rsidR="007624D4" w:rsidRPr="007624D4" w:rsidRDefault="007624D4" w:rsidP="007624D4">
      <w:r w:rsidRPr="007624D4">
        <w:pict w14:anchorId="0F364C76">
          <v:rect id="_x0000_i1059" style="width:0;height:1.5pt" o:hralign="center" o:hrstd="t" o:hr="t" fillcolor="#a0a0a0" stroked="f"/>
        </w:pict>
      </w:r>
    </w:p>
    <w:p w14:paraId="0FE8FFF5" w14:textId="77777777" w:rsidR="007624D4" w:rsidRPr="007624D4" w:rsidRDefault="007624D4" w:rsidP="007624D4">
      <w:pPr>
        <w:rPr>
          <w:b/>
          <w:bCs/>
        </w:rPr>
      </w:pPr>
      <w:r w:rsidRPr="007624D4">
        <w:rPr>
          <w:b/>
          <w:bCs/>
        </w:rPr>
        <w:t>Availability and requirements</w:t>
      </w:r>
    </w:p>
    <w:p w14:paraId="78B01B43" w14:textId="77777777" w:rsidR="007624D4" w:rsidRPr="007624D4" w:rsidRDefault="007624D4" w:rsidP="007624D4">
      <w:pPr>
        <w:numPr>
          <w:ilvl w:val="0"/>
          <w:numId w:val="2"/>
        </w:numPr>
      </w:pPr>
      <w:r w:rsidRPr="007624D4">
        <w:rPr>
          <w:b/>
          <w:bCs/>
        </w:rPr>
        <w:t>Project name:</w:t>
      </w:r>
      <w:r w:rsidRPr="007624D4">
        <w:t xml:space="preserve"> </w:t>
      </w:r>
      <w:proofErr w:type="spellStart"/>
      <w:r w:rsidRPr="007624D4">
        <w:t>SmileRender</w:t>
      </w:r>
      <w:proofErr w:type="spellEnd"/>
    </w:p>
    <w:p w14:paraId="1712E190" w14:textId="77777777" w:rsidR="007624D4" w:rsidRPr="007624D4" w:rsidRDefault="007624D4" w:rsidP="007624D4">
      <w:pPr>
        <w:numPr>
          <w:ilvl w:val="0"/>
          <w:numId w:val="2"/>
        </w:numPr>
      </w:pPr>
      <w:r w:rsidRPr="007624D4">
        <w:rPr>
          <w:b/>
          <w:bCs/>
        </w:rPr>
        <w:t>Project home page:</w:t>
      </w:r>
      <w:r w:rsidRPr="007624D4">
        <w:t xml:space="preserve"> </w:t>
      </w:r>
      <w:hyperlink r:id="rId6" w:tgtFrame="_blank" w:history="1">
        <w:r w:rsidRPr="007624D4">
          <w:rPr>
            <w:rStyle w:val="Hiperligao"/>
          </w:rPr>
          <w:t>https://github.com/rubithedev/smiles-render-web</w:t>
        </w:r>
      </w:hyperlink>
    </w:p>
    <w:p w14:paraId="4A640D7B" w14:textId="77777777" w:rsidR="007624D4" w:rsidRPr="007624D4" w:rsidRDefault="007624D4" w:rsidP="007624D4">
      <w:pPr>
        <w:numPr>
          <w:ilvl w:val="0"/>
          <w:numId w:val="2"/>
        </w:numPr>
      </w:pPr>
      <w:r w:rsidRPr="007624D4">
        <w:rPr>
          <w:b/>
          <w:bCs/>
        </w:rPr>
        <w:t>Operating system(s):</w:t>
      </w:r>
      <w:r w:rsidRPr="007624D4">
        <w:t xml:space="preserve"> Platform independent (Docker)</w:t>
      </w:r>
    </w:p>
    <w:p w14:paraId="7B65FC0D" w14:textId="77777777" w:rsidR="007624D4" w:rsidRPr="007624D4" w:rsidRDefault="007624D4" w:rsidP="007624D4">
      <w:pPr>
        <w:numPr>
          <w:ilvl w:val="0"/>
          <w:numId w:val="2"/>
        </w:numPr>
      </w:pPr>
      <w:proofErr w:type="gramStart"/>
      <w:r w:rsidRPr="007624D4">
        <w:rPr>
          <w:b/>
          <w:bCs/>
        </w:rPr>
        <w:t>Programming language</w:t>
      </w:r>
      <w:proofErr w:type="gramEnd"/>
      <w:r w:rsidRPr="007624D4">
        <w:rPr>
          <w:b/>
          <w:bCs/>
        </w:rPr>
        <w:t>:</w:t>
      </w:r>
      <w:r w:rsidRPr="007624D4">
        <w:t xml:space="preserve"> Python 3.12 (backend), TypeScript (frontend)</w:t>
      </w:r>
    </w:p>
    <w:p w14:paraId="12836CCC" w14:textId="77777777" w:rsidR="007624D4" w:rsidRPr="007624D4" w:rsidRDefault="007624D4" w:rsidP="007624D4">
      <w:pPr>
        <w:numPr>
          <w:ilvl w:val="0"/>
          <w:numId w:val="2"/>
        </w:numPr>
      </w:pPr>
      <w:r w:rsidRPr="007624D4">
        <w:rPr>
          <w:b/>
          <w:bCs/>
        </w:rPr>
        <w:t>Other requirements:</w:t>
      </w:r>
      <w:r w:rsidRPr="007624D4">
        <w:t xml:space="preserve"> Docker and Docker Compose; </w:t>
      </w:r>
      <w:proofErr w:type="gramStart"/>
      <w:r w:rsidRPr="007624D4">
        <w:t>alternatively</w:t>
      </w:r>
      <w:proofErr w:type="gramEnd"/>
      <w:r w:rsidRPr="007624D4">
        <w:t xml:space="preserve"> Node.js 18+ / Bun 1.1</w:t>
      </w:r>
    </w:p>
    <w:p w14:paraId="56F17B24" w14:textId="77777777" w:rsidR="007624D4" w:rsidRPr="007624D4" w:rsidRDefault="007624D4" w:rsidP="007624D4">
      <w:pPr>
        <w:numPr>
          <w:ilvl w:val="0"/>
          <w:numId w:val="2"/>
        </w:numPr>
      </w:pPr>
      <w:r w:rsidRPr="007624D4">
        <w:rPr>
          <w:b/>
          <w:bCs/>
        </w:rPr>
        <w:t>License:</w:t>
      </w:r>
      <w:r w:rsidRPr="007624D4">
        <w:t xml:space="preserve"> MIT</w:t>
      </w:r>
    </w:p>
    <w:p w14:paraId="090DF44A" w14:textId="77777777" w:rsidR="007624D4" w:rsidRPr="007624D4" w:rsidRDefault="007624D4" w:rsidP="007624D4">
      <w:pPr>
        <w:rPr>
          <w:b/>
          <w:bCs/>
        </w:rPr>
      </w:pPr>
      <w:r w:rsidRPr="007624D4">
        <w:rPr>
          <w:b/>
          <w:bCs/>
        </w:rPr>
        <w:t>Declarations</w:t>
      </w:r>
    </w:p>
    <w:p w14:paraId="7761770C" w14:textId="77777777" w:rsidR="007624D4" w:rsidRPr="007624D4" w:rsidRDefault="007624D4" w:rsidP="007624D4">
      <w:r w:rsidRPr="007624D4">
        <w:rPr>
          <w:b/>
          <w:bCs/>
        </w:rPr>
        <w:t>Availability of data and materials:</w:t>
      </w:r>
      <w:r w:rsidRPr="007624D4">
        <w:t xml:space="preserve"> All source code is available at </w:t>
      </w:r>
      <w:hyperlink r:id="rId7" w:tgtFrame="_blank" w:history="1">
        <w:r w:rsidRPr="007624D4">
          <w:rPr>
            <w:rStyle w:val="Hiperligao"/>
          </w:rPr>
          <w:t>https://github.com/rubithedev/smiles-render-web</w:t>
        </w:r>
      </w:hyperlink>
      <w:r w:rsidRPr="007624D4">
        <w:t xml:space="preserve"> under the MIT license. No datasets were generated during the current study.</w:t>
      </w:r>
    </w:p>
    <w:p w14:paraId="71210217" w14:textId="77777777" w:rsidR="007624D4" w:rsidRPr="007624D4" w:rsidRDefault="007624D4" w:rsidP="007624D4">
      <w:r w:rsidRPr="007624D4">
        <w:rPr>
          <w:b/>
          <w:bCs/>
        </w:rPr>
        <w:t>Competing interests:</w:t>
      </w:r>
      <w:r w:rsidRPr="007624D4">
        <w:t xml:space="preserve"> The authors declare that they have no competing interests.</w:t>
      </w:r>
    </w:p>
    <w:p w14:paraId="7D6E2DCA" w14:textId="77777777" w:rsidR="00BF678D" w:rsidRDefault="00BF678D"/>
    <w:sectPr w:rsidR="00BF6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5E3"/>
    <w:multiLevelType w:val="multilevel"/>
    <w:tmpl w:val="9F82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815F4E"/>
    <w:multiLevelType w:val="multilevel"/>
    <w:tmpl w:val="FD30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748621">
    <w:abstractNumId w:val="1"/>
  </w:num>
  <w:num w:numId="2" w16cid:durableId="1612516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C85"/>
    <w:rsid w:val="00654CD2"/>
    <w:rsid w:val="007624D4"/>
    <w:rsid w:val="00923011"/>
    <w:rsid w:val="00BF678D"/>
    <w:rsid w:val="00DF4C85"/>
    <w:rsid w:val="00F12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6CBB2"/>
  <w15:chartTrackingRefBased/>
  <w15:docId w15:val="{C617DD89-FF49-4C66-8F92-B2274728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DF4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DF4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DF4C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DF4C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DF4C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F4C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F4C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F4C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F4C85"/>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F4C85"/>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DF4C85"/>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DF4C85"/>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DF4C85"/>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DF4C85"/>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F4C85"/>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F4C85"/>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F4C85"/>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F4C85"/>
    <w:rPr>
      <w:rFonts w:eastAsiaTheme="majorEastAsia" w:cstheme="majorBidi"/>
      <w:color w:val="272727" w:themeColor="text1" w:themeTint="D8"/>
    </w:rPr>
  </w:style>
  <w:style w:type="paragraph" w:styleId="Ttulo">
    <w:name w:val="Title"/>
    <w:basedOn w:val="Normal"/>
    <w:next w:val="Normal"/>
    <w:link w:val="TtuloCarter"/>
    <w:uiPriority w:val="10"/>
    <w:qFormat/>
    <w:rsid w:val="00DF4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F4C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F4C85"/>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F4C85"/>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F4C8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F4C85"/>
    <w:rPr>
      <w:i/>
      <w:iCs/>
      <w:color w:val="404040" w:themeColor="text1" w:themeTint="BF"/>
    </w:rPr>
  </w:style>
  <w:style w:type="paragraph" w:styleId="PargrafodaLista">
    <w:name w:val="List Paragraph"/>
    <w:basedOn w:val="Normal"/>
    <w:uiPriority w:val="34"/>
    <w:qFormat/>
    <w:rsid w:val="00DF4C85"/>
    <w:pPr>
      <w:ind w:left="720"/>
      <w:contextualSpacing/>
    </w:pPr>
  </w:style>
  <w:style w:type="character" w:styleId="nfaseIntensa">
    <w:name w:val="Intense Emphasis"/>
    <w:basedOn w:val="Tipodeletrapredefinidodopargrafo"/>
    <w:uiPriority w:val="21"/>
    <w:qFormat/>
    <w:rsid w:val="00DF4C85"/>
    <w:rPr>
      <w:i/>
      <w:iCs/>
      <w:color w:val="0F4761" w:themeColor="accent1" w:themeShade="BF"/>
    </w:rPr>
  </w:style>
  <w:style w:type="paragraph" w:styleId="CitaoIntensa">
    <w:name w:val="Intense Quote"/>
    <w:basedOn w:val="Normal"/>
    <w:next w:val="Normal"/>
    <w:link w:val="CitaoIntensaCarter"/>
    <w:uiPriority w:val="30"/>
    <w:qFormat/>
    <w:rsid w:val="00DF4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F4C85"/>
    <w:rPr>
      <w:i/>
      <w:iCs/>
      <w:color w:val="0F4761" w:themeColor="accent1" w:themeShade="BF"/>
    </w:rPr>
  </w:style>
  <w:style w:type="character" w:styleId="RefernciaIntensa">
    <w:name w:val="Intense Reference"/>
    <w:basedOn w:val="Tipodeletrapredefinidodopargrafo"/>
    <w:uiPriority w:val="32"/>
    <w:qFormat/>
    <w:rsid w:val="00DF4C85"/>
    <w:rPr>
      <w:b/>
      <w:bCs/>
      <w:smallCaps/>
      <w:color w:val="0F4761" w:themeColor="accent1" w:themeShade="BF"/>
      <w:spacing w:val="5"/>
    </w:rPr>
  </w:style>
  <w:style w:type="character" w:styleId="Hiperligao">
    <w:name w:val="Hyperlink"/>
    <w:basedOn w:val="Tipodeletrapredefinidodopargrafo"/>
    <w:uiPriority w:val="99"/>
    <w:unhideWhenUsed/>
    <w:rsid w:val="007624D4"/>
    <w:rPr>
      <w:color w:val="467886" w:themeColor="hyperlink"/>
      <w:u w:val="single"/>
    </w:rPr>
  </w:style>
  <w:style w:type="character" w:styleId="MenoNoResolvida">
    <w:name w:val="Unresolved Mention"/>
    <w:basedOn w:val="Tipodeletrapredefinidodopargrafo"/>
    <w:uiPriority w:val="99"/>
    <w:semiHidden/>
    <w:unhideWhenUsed/>
    <w:rsid w:val="00762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ubithedev/smiles-render-we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ubithedev/smiles-render-web" TargetMode="External"/><Relationship Id="rId5" Type="http://schemas.openxmlformats.org/officeDocument/2006/relationships/hyperlink" Target="https://github.com/rubithedev/smiles-render-we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1565</Words>
  <Characters>10585</Characters>
  <Application>Microsoft Office Word</Application>
  <DocSecurity>0</DocSecurity>
  <Lines>246</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Shiraishi</dc:creator>
  <cp:keywords/>
  <dc:description/>
  <cp:lastModifiedBy>Carlos  Shiraishi</cp:lastModifiedBy>
  <cp:revision>2</cp:revision>
  <dcterms:created xsi:type="dcterms:W3CDTF">2026-04-05T11:56:00Z</dcterms:created>
  <dcterms:modified xsi:type="dcterms:W3CDTF">2026-04-05T11:56:00Z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3db89f91-5a3b-4c34-9e57-0528da30966c</vt:lpwstr>
  </property>
</Properties>
</file>