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565C0"/>
          <w:sz w:val="18"/>
          <w:szCs w:val="18"/>
        </w:rPr>
        <w:t xml:space="preserve">SOFTWARE ARTICLE  |  Journal of Cheminformatics</w:t>
      </w:r>
    </w:p>
    <w:p>
      <w:pPr>
        <w:pBdr>
          <w:bottom w:val="single" w:color="1565C0" w:sz="4" w:space="1"/>
        </w:pBdr>
        <w:spacing w:after="120" w:before="120"/>
      </w:pPr>
    </w:p>
    <w:p>
      <w:pPr>
        <w:spacing w:after="120" w:before="160"/>
      </w:pPr>
      <w:r>
        <w:rPr>
          <w:rFonts w:ascii="Arial" w:cs="Arial" w:eastAsia="Arial" w:hAnsi="Arial"/>
          <w:b/>
          <w:bCs/>
          <w:color w:val="212121"/>
          <w:sz w:val="36"/>
          <w:szCs w:val="36"/>
        </w:rPr>
        <w:t xml:space="preserve">SmileRender: an open-source web platform for unified multi-tool ADMET profiling and molecular visualization from SMILES notation</w:t>
      </w:r>
    </w:p>
    <w:p>
      <w:pPr>
        <w:spacing w:after="40" w:before="80"/>
      </w:pPr>
      <w:r>
        <w:rPr>
          <w:rFonts w:ascii="Arial" w:cs="Arial" w:eastAsia="Arial" w:hAnsi="Arial"/>
          <w:b/>
          <w:bCs/>
          <w:color w:val="212121"/>
          <w:sz w:val="22"/>
          <w:szCs w:val="22"/>
        </w:rPr>
        <w:t xml:space="preserve">Gabriel G. Grechuk</w:t>
      </w:r>
      <w:r>
        <w:rPr>
          <w:rFonts w:ascii="Arial" w:cs="Arial" w:eastAsia="Arial" w:hAnsi="Arial"/>
          <w:color w:val="5E5E5E"/>
          <w:sz w:val="22"/>
          <w:szCs w:val="22"/>
        </w:rPr>
        <w:t xml:space="preserve">  and  </w:t>
      </w:r>
      <w:r>
        <w:rPr>
          <w:rFonts w:ascii="Arial" w:cs="Arial" w:eastAsia="Arial" w:hAnsi="Arial"/>
          <w:b/>
          <w:bCs/>
          <w:color w:val="212121"/>
          <w:sz w:val="22"/>
          <w:szCs w:val="22"/>
        </w:rPr>
        <w:t xml:space="preserve">Rui A. B. Shiraishi</w:t>
      </w:r>
    </w:p>
    <w:p>
      <w:pPr>
        <w:spacing w:after="20" w:before="20"/>
      </w:pPr>
      <w:r>
        <w:rPr>
          <w:rFonts w:ascii="Arial" w:cs="Arial" w:eastAsia="Arial" w:hAnsi="Arial"/>
          <w:i/>
          <w:iCs/>
          <w:color w:val="5E5E5E"/>
          <w:sz w:val="20"/>
          <w:szCs w:val="20"/>
        </w:rPr>
        <w:t xml:space="preserve">¹ [Institution Name], [Department], [City, Country]</w:t>
      </w:r>
    </w:p>
    <w:p>
      <w:pPr>
        <w:spacing w:after="80" w:before="20"/>
      </w:pPr>
      <w:r>
        <w:rPr>
          <w:rFonts w:ascii="Arial" w:cs="Arial" w:eastAsia="Arial" w:hAnsi="Arial"/>
          <w:i/>
          <w:iCs/>
          <w:color w:val="5E5E5E"/>
          <w:sz w:val="20"/>
          <w:szCs w:val="20"/>
        </w:rPr>
        <w:t xml:space="preserve">Correspondence: [email@institution.edu]</w:t>
      </w:r>
    </w:p>
    <w:p>
      <w:pPr>
        <w:pBdr>
          <w:bottom w:val="single" w:color="1565C0" w:sz="4" w:space="1"/>
        </w:pBdr>
        <w:spacing w:after="120" w:before="120"/>
      </w:pPr>
    </w:p>
    <w:p>
      <w:pPr>
        <w:spacing w:after="100" w:before="0"/>
      </w:pPr>
    </w:p>
    <w:p>
      <w:pPr>
        <w:pStyle w:val="Heading1"/>
        <w:spacing w:after="120" w:before="340"/>
      </w:pPr>
      <w:r>
        <w:rPr>
          <w:rFonts w:ascii="Arial" w:cs="Arial" w:eastAsia="Arial" w:hAnsi="Arial"/>
          <w:b/>
          <w:bCs/>
          <w:color w:val="1565C0"/>
          <w:sz w:val="28"/>
          <w:szCs w:val="28"/>
        </w:rPr>
        <w:t xml:space="preserve">Abstract</w:t>
      </w:r>
    </w:p>
    <w:p>
      <w:pPr>
        <w:spacing w:after="80" w:before="60" w:line="360" w:lineRule="auto"/>
        <w:jc w:val="both"/>
      </w:pPr>
      <w:r>
        <w:rPr>
          <w:rFonts w:ascii="Arial" w:cs="Arial" w:eastAsia="Arial" w:hAnsi="Arial"/>
          <w:b/>
          <w:bCs/>
          <w:color w:val="1565C0"/>
          <w:sz w:val="22"/>
          <w:szCs w:val="22"/>
        </w:rPr>
        <w:t xml:space="preserve">Background: </w:t>
      </w:r>
      <w:r>
        <w:rPr>
          <w:rFonts w:ascii="Arial" w:cs="Arial" w:eastAsia="Arial" w:hAnsi="Arial"/>
          <w:color w:val="212121"/>
          <w:sz w:val="22"/>
          <w:szCs w:val="22"/>
        </w:rPr>
        <w:t xml:space="preserve">The early-stage evaluation of Absorption, Distribution, Metabolism, Excretion, and Toxicity (ADMET) properties is a critical bottleneck in the drug discovery pipeline. Although several widely adopted web-based prediction tools exist—including StopTox, SwissADME, StopLight, pkCSM, and ADMETlab 3.0—researchers are forced to interact with each platform individually, leading to fragmented workflows, manual data transcription errors, and an inability to perform systematic cross-tool comparisons for compound libraries.</w:t>
      </w:r>
    </w:p>
    <w:p>
      <w:pPr>
        <w:spacing w:after="80" w:before="60" w:line="360" w:lineRule="auto"/>
        <w:jc w:val="both"/>
      </w:pPr>
      <w:r>
        <w:rPr>
          <w:rFonts w:ascii="Arial" w:cs="Arial" w:eastAsia="Arial" w:hAnsi="Arial"/>
          <w:b/>
          <w:bCs/>
          <w:color w:val="1565C0"/>
          <w:sz w:val="22"/>
          <w:szCs w:val="22"/>
        </w:rPr>
        <w:t xml:space="preserve">Results: </w:t>
      </w:r>
      <w:r>
        <w:rPr>
          <w:rFonts w:ascii="Arial" w:cs="Arial" w:eastAsia="Arial" w:hAnsi="Arial"/>
          <w:color w:val="212121"/>
          <w:sz w:val="22"/>
          <w:szCs w:val="22"/>
        </w:rPr>
        <w:t xml:space="preserve">We present SmileRender, an open-source web platform that unifies five established ADMET prediction engines within a single, browser-based interface. SmileRender employs a reverse-proxy architecture built on Flask (Python) to transparently handle cross-origin restrictions, CSRF authentication, cookie management, and asynchronous result polling across heterogeneous external services. The React-based frontend provides three operational modes: (i) direct SMILES-to-2D structure rendering, (ii) batch conversion from CSV files, and (iii) automated multi-tool ADMET profiling with real-time progress tracking. All prediction results are normalized into a unified schema (SMILES, Tool, Category, Property, Value, Unit) and exported as a professionally formatted, multi-sheet Excel workbook containing both a pivoted comparison matrix and comprehensive detailed data. The platform supports high-throughput analysis of compound libraries and is deployable via Docker.</w:t>
      </w:r>
    </w:p>
    <w:p>
      <w:pPr>
        <w:spacing w:after="80" w:before="60" w:line="360" w:lineRule="auto"/>
        <w:jc w:val="both"/>
      </w:pPr>
      <w:r>
        <w:rPr>
          <w:rFonts w:ascii="Arial" w:cs="Arial" w:eastAsia="Arial" w:hAnsi="Arial"/>
          <w:b/>
          <w:bCs/>
          <w:color w:val="1565C0"/>
          <w:sz w:val="22"/>
          <w:szCs w:val="22"/>
        </w:rPr>
        <w:t xml:space="preserve">Conclusions: </w:t>
      </w:r>
      <w:r>
        <w:rPr>
          <w:rFonts w:ascii="Arial" w:cs="Arial" w:eastAsia="Arial" w:hAnsi="Arial"/>
          <w:color w:val="212121"/>
          <w:sz w:val="22"/>
          <w:szCs w:val="22"/>
        </w:rPr>
        <w:t xml:space="preserve">SmileRender addresses a significant gap in the cheminformatics tooling landscape by providing the first open-source platform that integrates five complementary ADMET prediction services with consolidated data export. By eliminating the need for manual interaction with multiple web interfaces, SmileRender reduces analysis time and transcription errors while enabling systematic multi-tool comparison. The platform is released under the MIT license and is freely available at https://github.com/rubithedev/smiles-render-web.</w:t>
      </w:r>
    </w:p>
    <w:p>
      <w:pPr>
        <w:spacing w:after="60" w:before="0"/>
      </w:pPr>
    </w:p>
    <w:p>
      <w:pPr>
        <w:spacing w:after="120" w:before="60"/>
      </w:pPr>
      <w:r>
        <w:rPr>
          <w:rFonts w:ascii="Arial" w:cs="Arial" w:eastAsia="Arial" w:hAnsi="Arial"/>
          <w:b/>
          <w:bCs/>
          <w:color w:val="212121"/>
          <w:sz w:val="22"/>
          <w:szCs w:val="22"/>
        </w:rPr>
        <w:t xml:space="preserve">Keywords: </w:t>
      </w:r>
      <w:r>
        <w:rPr>
          <w:rFonts w:ascii="Arial" w:cs="Arial" w:eastAsia="Arial" w:hAnsi="Arial"/>
          <w:color w:val="212121"/>
          <w:sz w:val="22"/>
          <w:szCs w:val="22"/>
        </w:rPr>
        <w:t xml:space="preserve">ADMET prediction; SMILES; cheminformatics; web platform; drug discovery; multi-tool integration; molecular visualization; open-source; high-throughput screening</w:t>
      </w:r>
    </w:p>
    <w:p>
      <w:pPr>
        <w:pBdr>
          <w:bottom w:val="single" w:color="1565C0" w:sz="4" w:space="1"/>
        </w:pBdr>
        <w:spacing w:after="120" w:before="120"/>
      </w:pPr>
    </w:p>
    <w:p>
      <w:pPr>
        <w:spacing w:after="100" w:before="0"/>
      </w:pPr>
    </w:p>
    <w:p>
      <w:pPr>
        <w:pStyle w:val="Heading1"/>
        <w:spacing w:after="120" w:before="340"/>
      </w:pPr>
      <w:r>
        <w:rPr>
          <w:rFonts w:ascii="Arial" w:cs="Arial" w:eastAsia="Arial" w:hAnsi="Arial"/>
          <w:b/>
          <w:bCs/>
          <w:color w:val="1565C0"/>
          <w:sz w:val="28"/>
          <w:szCs w:val="28"/>
        </w:rPr>
        <w:t xml:space="preserve">1  Background</w:t>
      </w:r>
    </w:p>
    <w:p>
      <w:pPr>
        <w:spacing w:after="80" w:before="60" w:line="360" w:lineRule="auto"/>
        <w:jc w:val="both"/>
      </w:pPr>
      <w:r>
        <w:rPr>
          <w:rFonts w:ascii="Arial" w:cs="Arial" w:eastAsia="Arial" w:hAnsi="Arial"/>
          <w:color w:val="212121"/>
          <w:sz w:val="22"/>
          <w:szCs w:val="22"/>
        </w:rPr>
        <w:t xml:space="preserve">The cheminformatics community has produced a substantial number of high-quality, freely accessible web-based tools for the prediction of Absorption, Distribution, Metabolism, Excretion, and Toxicity (ADMET) properties. Many of these tools have been developed by domain experts, rigorously validated, and published in high-impact journals. StopTox, published in Environmental Health Perspectives, provides in silico alternatives to animal testing for acute systemic and topical toxicity [3]. SwissADME, published in Scientific Reports, evaluates pharmacokinetics, drug-likeness, and medicinal chemistry friendliness [4]. pkCSM, published in the Journal of Medicinal Chemistry, predicts pharmacokinetic and toxicity properties using graph-based signatures [5]. ADMETlab 3.0, published in Nucleic Acids Research, offers one of the most comprehensive ADMET evaluation platforms available, covering over 80 endpoints [6]. StopLight, developed at the Molecular Modeling Lab of the University of North Carolina, provides an intuitive traffic-light scoring system for rapid molecular triage.</w:t>
      </w:r>
    </w:p>
    <w:p>
      <w:pPr>
        <w:spacing w:after="80" w:before="60" w:line="360" w:lineRule="auto"/>
        <w:jc w:val="both"/>
      </w:pPr>
      <w:r>
        <w:rPr>
          <w:rFonts w:ascii="Arial" w:cs="Arial" w:eastAsia="Arial" w:hAnsi="Arial"/>
          <w:color w:val="212121"/>
          <w:sz w:val="22"/>
          <w:szCs w:val="22"/>
        </w:rPr>
        <w:t xml:space="preserve">Despite the quality and breadth of these individual tools, no platform currently exists that centralizes their use. Researchers seeking a comprehensive ADMET profile must navigate each tool independently—entering the same SMILES string into five separate web interfaces, waiting for each to process, mentally comparing results presented in different formats, and manually transcribing data into spreadsheets. This fragmented workflow scales poorly with compound library size, is inherently error-prone, and consumes significant research time that could be allocated to higher-value analytical tasks.</w:t>
      </w:r>
    </w:p>
    <w:p>
      <w:pPr>
        <w:spacing w:after="80" w:before="60" w:line="360" w:lineRule="auto"/>
        <w:jc w:val="both"/>
      </w:pPr>
      <w:r>
        <w:rPr>
          <w:rFonts w:ascii="Arial" w:cs="Arial" w:eastAsia="Arial" w:hAnsi="Arial"/>
          <w:color w:val="212121"/>
          <w:sz w:val="22"/>
          <w:szCs w:val="22"/>
        </w:rPr>
        <w:t xml:space="preserve">The problem is not a lack of predictive capability—the tools exist, are validated, and are freely available. The problem is the absence of an integration layer that brings them together. Existing unified platforms such as ADMET-AI [7] and ADMET Predictor [8] address this partially by implementing their own predictive models, but they do not aggregate predictions from multiple established, independently validated services. Each tool's unique strengths—StopTox's FDA-relevant toxicity endpoints, SwissADME's BOILED-Egg model, pkCSM's graph-based signatures, ADMETlab 3.0's Tox21 pathway coverage—remain siloed.</w:t>
      </w:r>
    </w:p>
    <w:p>
      <w:pPr>
        <w:spacing w:after="80" w:before="60" w:line="360" w:lineRule="auto"/>
        <w:jc w:val="both"/>
      </w:pPr>
      <w:r>
        <w:rPr>
          <w:rFonts w:ascii="Arial" w:cs="Arial" w:eastAsia="Arial" w:hAnsi="Arial"/>
          <w:color w:val="212121"/>
          <w:sz w:val="22"/>
          <w:szCs w:val="22"/>
        </w:rPr>
        <w:t xml:space="preserve">In this work, we present SmileRender, an open-source web platform designed to fill this gap. SmileRender integrates five established ADMET prediction services within a single browser-based interface, normalizes their heterogeneous outputs into a common schema, and provides consolidated export in a professionally formatted Excel workbook suitable for downstream analysis.</w:t>
      </w:r>
    </w:p>
    <w:p>
      <w:pPr>
        <w:spacing w:after="60" w:before="0"/>
      </w:pPr>
    </w:p>
    <w:p>
      <w:pPr>
        <w:pStyle w:val="Heading1"/>
        <w:spacing w:after="120" w:before="340"/>
      </w:pPr>
      <w:r>
        <w:rPr>
          <w:rFonts w:ascii="Arial" w:cs="Arial" w:eastAsia="Arial" w:hAnsi="Arial"/>
          <w:b/>
          <w:bCs/>
          <w:color w:val="1565C0"/>
          <w:sz w:val="28"/>
          <w:szCs w:val="28"/>
        </w:rPr>
        <w:t xml:space="preserve">2  Implementation</w:t>
      </w:r>
    </w:p>
    <w:p>
      <w:pPr>
        <w:pStyle w:val="Heading2"/>
        <w:spacing w:after="80" w:before="260"/>
      </w:pPr>
      <w:r>
        <w:rPr>
          <w:rFonts w:ascii="Arial" w:cs="Arial" w:eastAsia="Arial" w:hAnsi="Arial"/>
          <w:b/>
          <w:bCs/>
          <w:color w:val="212121"/>
          <w:sz w:val="24"/>
          <w:szCs w:val="24"/>
        </w:rPr>
        <w:t xml:space="preserve">2.1  System architecture</w:t>
      </w:r>
    </w:p>
    <w:p>
      <w:pPr>
        <w:spacing w:after="80" w:before="60" w:line="360" w:lineRule="auto"/>
        <w:jc w:val="both"/>
      </w:pPr>
      <w:r>
        <w:rPr>
          <w:rFonts w:ascii="Arial" w:cs="Arial" w:eastAsia="Arial" w:hAnsi="Arial"/>
          <w:color w:val="212121"/>
          <w:sz w:val="22"/>
          <w:szCs w:val="22"/>
        </w:rPr>
        <w:t xml:space="preserve">SmileRender adopts a two-tier client-server architecture comprising a React/TypeScript frontend and a Flask/Python backend, connected via standard HTTP (Fig. 1). The architectural design separates concerns into three functional layers: user interaction (frontend), service mediation (backend proxy), and data consolidation (export pipeline).</w:t>
      </w:r>
    </w:p>
    <w:p>
      <w:pPr>
        <w:spacing w:after="60" w:before="120"/>
      </w:pPr>
      <w:r>
        <w:rPr>
          <w:rFonts w:ascii="Arial" w:cs="Arial" w:eastAsia="Arial" w:hAnsi="Arial"/>
          <w:i/>
          <w:iCs/>
          <w:color w:val="5E5E5E"/>
          <w:sz w:val="20"/>
          <w:szCs w:val="20"/>
        </w:rPr>
        <w:t xml:space="preserve">Figure 1 — System Architecture (see Figure Legends)</w:t>
      </w:r>
    </w:p>
    <w:p>
      <w:pPr>
        <w:pStyle w:val="Heading2"/>
        <w:spacing w:after="80" w:before="260"/>
      </w:pPr>
      <w:r>
        <w:rPr>
          <w:rFonts w:ascii="Arial" w:cs="Arial" w:eastAsia="Arial" w:hAnsi="Arial"/>
          <w:b/>
          <w:bCs/>
          <w:color w:val="212121"/>
          <w:sz w:val="24"/>
          <w:szCs w:val="24"/>
        </w:rPr>
        <w:t xml:space="preserve">2.2  Reverse-proxy design pattern</w:t>
      </w:r>
    </w:p>
    <w:p>
      <w:pPr>
        <w:spacing w:after="80" w:before="60" w:line="360" w:lineRule="auto"/>
        <w:jc w:val="both"/>
      </w:pPr>
      <w:r>
        <w:rPr>
          <w:rFonts w:ascii="Arial" w:cs="Arial" w:eastAsia="Arial" w:hAnsi="Arial"/>
          <w:color w:val="212121"/>
          <w:sz w:val="22"/>
          <w:szCs w:val="22"/>
        </w:rPr>
        <w:t xml:space="preserve">A central technical contribution of SmileRender is the use of a reverse-proxy pattern to mediate communication between the browser-based frontend and external prediction services. Direct browser-to-service communication is prevented by Cross-Origin Resource Sharing (CORS) policies enforced by the external servers. The Flask backend resolves this by acting as a same-origin intermediary, forwarding requests with appropriate headers, managing authentication state, and returning responses to the frontend for client-side parsing.</w:t>
      </w:r>
    </w:p>
    <w:p>
      <w:pPr>
        <w:spacing w:after="80" w:before="60" w:line="360" w:lineRule="auto"/>
        <w:jc w:val="both"/>
      </w:pPr>
      <w:r>
        <w:rPr>
          <w:rFonts w:ascii="Arial" w:cs="Arial" w:eastAsia="Arial" w:hAnsi="Arial"/>
          <w:color w:val="212121"/>
          <w:sz w:val="22"/>
          <w:szCs w:val="22"/>
        </w:rPr>
        <w:t xml:space="preserve">Each external service requires a distinct communication protocol, which the proxy layer abstracts, as summarized in Table 1 below.</w:t>
      </w:r>
    </w:p>
    <w:p>
      <w:pPr>
        <w:spacing w:after="80" w:before="0"/>
      </w:pPr>
    </w:p>
    <w:p>
      <w:pPr>
        <w:spacing w:after="40" w:before="40"/>
        <w:jc w:val="center"/>
      </w:pPr>
      <w:r>
        <w:rPr>
          <w:rFonts w:ascii="Arial" w:cs="Arial" w:eastAsia="Arial" w:hAnsi="Arial"/>
          <w:b/>
          <w:bCs/>
          <w:color w:val="212121"/>
          <w:sz w:val="22"/>
          <w:szCs w:val="22"/>
        </w:rPr>
        <w:t xml:space="preserve">Table 1. </w:t>
      </w:r>
      <w:r>
        <w:rPr>
          <w:rFonts w:ascii="Arial" w:cs="Arial" w:eastAsia="Arial" w:hAnsi="Arial"/>
          <w:color w:val="212121"/>
          <w:sz w:val="22"/>
          <w:szCs w:val="22"/>
        </w:rPr>
        <w:t xml:space="preserve">Communication protocols for integrated ADMET prediction services.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700"/>
        <w:gridCol w:w="2460"/>
      </w:tblGrid>
      <w:tr>
        <w:tc>
          <w:tcPr>
            <w:tcW w:type="dxa" w:w="14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12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6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Authentication</w:t>
            </w:r>
          </w:p>
        </w:tc>
        <w:tc>
          <w:tcPr>
            <w:tcW w:type="dxa" w:w="17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Response Format</w:t>
            </w:r>
          </w:p>
        </w:tc>
        <w:tc>
          <w:tcPr>
            <w:tcW w:type="dxa" w:w="246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Parsing Strategy</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StopTox</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HTTP GET</w:t>
            </w:r>
          </w:p>
        </w:tc>
        <w:tc>
          <w:tcPr>
            <w:tcW w:type="dxa" w:w="16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None</w:t>
            </w:r>
          </w:p>
        </w:tc>
        <w:tc>
          <w:tcPr>
            <w:tcW w:type="dxa" w:w="17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HTML (tables)</w:t>
            </w:r>
          </w:p>
        </w:tc>
        <w:tc>
          <w:tcPr>
            <w:tcW w:type="dxa" w:w="2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DOM #tablePreview + DOMParser</w:t>
            </w:r>
          </w:p>
        </w:tc>
      </w:tr>
      <w:tr>
        <w:tc>
          <w:tcPr>
            <w:tcW w:type="dxa" w:w="14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SwissADME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HTTP POST</w:t>
            </w:r>
          </w:p>
        </w:tc>
        <w:tc>
          <w:tcPr>
            <w:tcW w:type="dxa" w:w="16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None</w:t>
            </w:r>
          </w:p>
        </w:tc>
        <w:tc>
          <w:tcPr>
            <w:tcW w:type="dxa" w:w="17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HTML (tables)</w:t>
            </w:r>
          </w:p>
        </w:tc>
        <w:tc>
          <w:tcPr>
            <w:tcW w:type="dxa" w:w="2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DOM #content table extraction</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StopLight</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HTTP POST (JSON)</w:t>
            </w:r>
          </w:p>
        </w:tc>
        <w:tc>
          <w:tcPr>
            <w:tcW w:type="dxa" w:w="16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None</w:t>
            </w:r>
          </w:p>
        </w:tc>
        <w:tc>
          <w:tcPr>
            <w:tcW w:type="dxa" w:w="17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JSON / HTML (legacy)</w:t>
            </w:r>
          </w:p>
        </w:tc>
        <w:tc>
          <w:tcPr>
            <w:tcW w:type="dxa" w:w="2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JSON.parse() with HTML fallback</w:t>
            </w:r>
          </w:p>
        </w:tc>
      </w:tr>
      <w:tr>
        <w:tc>
          <w:tcPr>
            <w:tcW w:type="dxa" w:w="14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pkCSM</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HTTP POST → Redirect → Polling</w:t>
            </w:r>
          </w:p>
        </w:tc>
        <w:tc>
          <w:tcPr>
            <w:tcW w:type="dxa" w:w="16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None (session-based)</w:t>
            </w:r>
          </w:p>
        </w:tc>
        <w:tc>
          <w:tcPr>
            <w:tcW w:type="dxa" w:w="17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HTML (tables)</w:t>
            </w:r>
          </w:p>
        </w:tc>
        <w:tc>
          <w:tcPr>
            <w:tcW w:type="dxa" w:w="2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Async polling at 3s intervals</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ADMETlab 3.0</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HTTP GET → POST</w:t>
            </w:r>
          </w:p>
        </w:tc>
        <w:tc>
          <w:tcPr>
            <w:tcW w:type="dxa" w:w="16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Django CSRF token + session cookies</w:t>
            </w:r>
          </w:p>
        </w:tc>
        <w:tc>
          <w:tcPr>
            <w:tcW w:type="dxa" w:w="17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HTML (tables)</w:t>
            </w:r>
          </w:p>
        </w:tc>
        <w:tc>
          <w:tcPr>
            <w:tcW w:type="dxa" w:w="2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DOM .sub-title + CookieJar</w:t>
            </w:r>
          </w:p>
        </w:tc>
      </w:tr>
    </w:tbl>
    <w:p>
      <w:pPr>
        <w:spacing w:after="80" w:before="0"/>
      </w:pPr>
    </w:p>
    <w:p>
      <w:pPr>
        <w:spacing w:after="80" w:before="60" w:line="360" w:lineRule="auto"/>
        <w:jc w:val="both"/>
      </w:pPr>
      <w:r>
        <w:rPr>
          <w:rFonts w:ascii="Arial" w:cs="Arial" w:eastAsia="Arial" w:hAnsi="Arial"/>
          <w:color w:val="212121"/>
          <w:sz w:val="22"/>
          <w:szCs w:val="22"/>
        </w:rPr>
        <w:t xml:space="preserve">For ADMETlab 3.0, the proxy implements a two-phase authentication flow: (1) an initial GET request to the evaluation page extracts the csrfmiddlewaretoken via regular expression matching, while http.cookiejar.CookieJar captures the session cookies; (2) a subsequent POST request submits the SMILES string along with the extracted CSRF token and session cookies. For pkCSM, which processes molecules asynchronously on the server side, the platform implements a polling architecture: the initial submission returns a unique result URL (via HTTP redirect), which the frontend polls at 3-second intervals via a dedicated /predict/pkcsm/fetch proxy endpoint until all predictive models report completion.</w:t>
      </w:r>
    </w:p>
    <w:p>
      <w:pPr>
        <w:pStyle w:val="Heading2"/>
        <w:spacing w:after="80" w:before="260"/>
      </w:pPr>
      <w:r>
        <w:rPr>
          <w:rFonts w:ascii="Arial" w:cs="Arial" w:eastAsia="Arial" w:hAnsi="Arial"/>
          <w:b/>
          <w:bCs/>
          <w:color w:val="212121"/>
          <w:sz w:val="24"/>
          <w:szCs w:val="24"/>
        </w:rPr>
        <w:t xml:space="preserve">2.3  Frontend components</w:t>
      </w:r>
    </w:p>
    <w:p>
      <w:pPr>
        <w:spacing w:after="80" w:before="60" w:line="360" w:lineRule="auto"/>
        <w:jc w:val="both"/>
      </w:pPr>
      <w:r>
        <w:rPr>
          <w:rFonts w:ascii="Arial" w:cs="Arial" w:eastAsia="Arial" w:hAnsi="Arial"/>
          <w:color w:val="212121"/>
          <w:sz w:val="22"/>
          <w:szCs w:val="22"/>
        </w:rPr>
        <w:t xml:space="preserve">The frontend is implemented in React with TypeScript and comprises three primary functional modules, each encapsulated as a reusable component:</w:t>
      </w:r>
    </w:p>
    <w:p>
      <w:pPr>
        <w:pStyle w:val="ListParagraph"/>
        <w:numPr>
          <w:ilvl w:val="0"/>
          <w:numId w:val="2"/>
        </w:numPr>
        <w:spacing w:after="40" w:before="40" w:line="320" w:lineRule="auto"/>
      </w:pPr>
      <w:r>
        <w:rPr>
          <w:rFonts w:ascii="Arial" w:cs="Arial" w:eastAsia="Arial" w:hAnsi="Arial"/>
          <w:b/>
          <w:bCs/>
          <w:color w:val="212121"/>
          <w:sz w:val="22"/>
          <w:szCs w:val="22"/>
        </w:rPr>
        <w:t xml:space="preserve">Module 1 — SMILES to 2D Molecule. </w:t>
      </w:r>
      <w:r>
        <w:rPr>
          <w:rFonts w:ascii="Arial" w:cs="Arial" w:eastAsia="Arial" w:hAnsi="Arial"/>
          <w:color w:val="212121"/>
          <w:sz w:val="22"/>
          <w:szCs w:val="22"/>
        </w:rPr>
        <w:t xml:space="preserve">Accepts one or more SMILES strings as free-text input, renders each molecule as a 2D structural image via RDKit on the backend, and provides batch download as a ZIP archive.</w:t>
      </w:r>
    </w:p>
    <w:p>
      <w:pPr>
        <w:pStyle w:val="ListParagraph"/>
        <w:numPr>
          <w:ilvl w:val="0"/>
          <w:numId w:val="2"/>
        </w:numPr>
        <w:spacing w:after="40" w:before="40" w:line="320" w:lineRule="auto"/>
      </w:pPr>
      <w:r>
        <w:rPr>
          <w:rFonts w:ascii="Arial" w:cs="Arial" w:eastAsia="Arial" w:hAnsi="Arial"/>
          <w:b/>
          <w:bCs/>
          <w:color w:val="212121"/>
          <w:sz w:val="22"/>
          <w:szCs w:val="22"/>
        </w:rPr>
        <w:t xml:space="preserve">Module 2 — CSV Batch Converter. </w:t>
      </w:r>
      <w:r>
        <w:rPr>
          <w:rFonts w:ascii="Arial" w:cs="Arial" w:eastAsia="Arial" w:hAnsi="Arial"/>
          <w:color w:val="212121"/>
          <w:sz w:val="22"/>
          <w:szCs w:val="22"/>
        </w:rPr>
        <w:t xml:space="preserve">Accepts a CSV file upload with user-selectable columns for SMILES and molecule names. The system auto-detects the CSV delimiter, provides a preview with column highlighting, and supports both in-browser rendering and batch ZIP download.</w:t>
      </w:r>
    </w:p>
    <w:p>
      <w:pPr>
        <w:pStyle w:val="ListParagraph"/>
        <w:numPr>
          <w:ilvl w:val="0"/>
          <w:numId w:val="2"/>
        </w:numPr>
        <w:spacing w:after="40" w:before="40" w:line="320" w:lineRule="auto"/>
      </w:pPr>
      <w:r>
        <w:rPr>
          <w:rFonts w:ascii="Arial" w:cs="Arial" w:eastAsia="Arial" w:hAnsi="Arial"/>
          <w:b/>
          <w:bCs/>
          <w:color w:val="212121"/>
          <w:sz w:val="22"/>
          <w:szCs w:val="22"/>
        </w:rPr>
        <w:t xml:space="preserve">Module 3 — Multi-Tool ADMET Profiling. </w:t>
      </w:r>
      <w:r>
        <w:rPr>
          <w:rFonts w:ascii="Arial" w:cs="Arial" w:eastAsia="Arial" w:hAnsi="Arial"/>
          <w:color w:val="212121"/>
          <w:sz w:val="22"/>
          <w:szCs w:val="22"/>
        </w:rPr>
        <w:t xml:space="preserve">The core analytical module, implemented in PredictWithStopTox.tsx, which orchestrates five parallel prediction components. Each component independently queries its respective backend proxy endpoint, parses the response, renders results in a styled card layout, and invokes an onDataLoaded callback to push normalized data to the parent component's collection state.</w:t>
      </w:r>
    </w:p>
    <w:p>
      <w:pPr>
        <w:spacing w:after="60" w:before="0"/>
      </w:pPr>
    </w:p>
    <w:p>
      <w:pPr>
        <w:pStyle w:val="Heading2"/>
        <w:spacing w:after="80" w:before="260"/>
      </w:pPr>
      <w:r>
        <w:rPr>
          <w:rFonts w:ascii="Arial" w:cs="Arial" w:eastAsia="Arial" w:hAnsi="Arial"/>
          <w:b/>
          <w:bCs/>
          <w:color w:val="212121"/>
          <w:sz w:val="24"/>
          <w:szCs w:val="24"/>
        </w:rPr>
        <w:t xml:space="preserve">2.4  Data normalization schema</w:t>
      </w:r>
    </w:p>
    <w:p>
      <w:pPr>
        <w:spacing w:after="80" w:before="60" w:line="360" w:lineRule="auto"/>
        <w:jc w:val="both"/>
      </w:pPr>
      <w:r>
        <w:rPr>
          <w:rFonts w:ascii="Arial" w:cs="Arial" w:eastAsia="Arial" w:hAnsi="Arial"/>
          <w:color w:val="212121"/>
          <w:sz w:val="22"/>
          <w:szCs w:val="22"/>
        </w:rPr>
        <w:t xml:space="preserve">All prediction results are normalized into a unified six-field schema prior to export: SMILES (input notation), Tool (source platform identifier), Category (ADMET category, e.g., "Absorption"), Property (specific property name), Value (predicted value), and Unit (unit of measurement). This normalization step is performed at the component level, where each prediction component maps its tool-specific response format into the common schema, ensuring that downstream export operations are agnostic to the heterogeneity of upstream data sources.</w:t>
      </w:r>
    </w:p>
    <w:p>
      <w:pPr>
        <w:pStyle w:val="Heading2"/>
        <w:spacing w:after="80" w:before="260"/>
      </w:pPr>
      <w:r>
        <w:rPr>
          <w:rFonts w:ascii="Arial" w:cs="Arial" w:eastAsia="Arial" w:hAnsi="Arial"/>
          <w:b/>
          <w:bCs/>
          <w:color w:val="212121"/>
          <w:sz w:val="24"/>
          <w:szCs w:val="24"/>
        </w:rPr>
        <w:t xml:space="preserve">2.5  Progress tracking and export pipeline</w:t>
      </w:r>
    </w:p>
    <w:p>
      <w:pPr>
        <w:spacing w:after="80" w:before="60" w:line="360" w:lineRule="auto"/>
        <w:jc w:val="both"/>
      </w:pPr>
      <w:r>
        <w:rPr>
          <w:rFonts w:ascii="Arial" w:cs="Arial" w:eastAsia="Arial" w:hAnsi="Arial"/>
          <w:color w:val="212121"/>
          <w:sz w:val="22"/>
          <w:szCs w:val="22"/>
        </w:rPr>
        <w:t xml:space="preserve">The platform implements real-time progress tracking based on a completion model: for N unique SMILES and K = 5 integrated tools, the expected total is N x K result sets. The completion percentage is displayed dynamically, with a color-coded export button (amber during compilation, green upon completion) and a progress bar. The export is blocked until 100% completion to prevent generation of incomplete reports.</w:t>
      </w:r>
    </w:p>
    <w:p>
      <w:pPr>
        <w:spacing w:after="80" w:before="60" w:line="360" w:lineRule="auto"/>
        <w:jc w:val="both"/>
      </w:pPr>
      <w:r>
        <w:rPr>
          <w:rFonts w:ascii="Arial" w:cs="Arial" w:eastAsia="Arial" w:hAnsi="Arial"/>
          <w:color w:val="212121"/>
          <w:sz w:val="22"/>
          <w:szCs w:val="22"/>
        </w:rPr>
        <w:t xml:space="preserve">The /export/excel endpoint receives the consolidated array of PredictionRecord objects and generates a multi-sheet Excel workbook using Pandas and Openpyxl: Sheet 1 ("SMILES Comparison") is a pivot table where rows represent unique SMILES strings and columns represent Tool_Property composite keys; Sheet 2 ("All Detailed Data") contains the complete, un-pivoted dataset with all six schema fields. Both sheets include automatic column-width adjustment for readability.</w:t>
      </w:r>
    </w:p>
    <w:p>
      <w:pPr>
        <w:pStyle w:val="Heading2"/>
        <w:spacing w:after="80" w:before="260"/>
      </w:pPr>
      <w:r>
        <w:rPr>
          <w:rFonts w:ascii="Arial" w:cs="Arial" w:eastAsia="Arial" w:hAnsi="Arial"/>
          <w:b/>
          <w:bCs/>
          <w:color w:val="212121"/>
          <w:sz w:val="24"/>
          <w:szCs w:val="24"/>
        </w:rPr>
        <w:t xml:space="preserve">2.6  Security considerations</w:t>
      </w:r>
    </w:p>
    <w:p>
      <w:pPr>
        <w:spacing w:after="80" w:before="60" w:line="360" w:lineRule="auto"/>
        <w:jc w:val="both"/>
      </w:pPr>
      <w:r>
        <w:rPr>
          <w:rFonts w:ascii="Arial" w:cs="Arial" w:eastAsia="Arial" w:hAnsi="Arial"/>
          <w:color w:val="212121"/>
          <w:sz w:val="22"/>
          <w:szCs w:val="22"/>
        </w:rPr>
        <w:t xml:space="preserve">All HTML responses from external services are sanitized on the client side prior to DOM parsing, with &lt;script&gt; and &lt;iframe&gt; tags removed via regular expression replacement to mitigate cross-site scripting (XSS) and content injection risks. SMILES strings are transmitted in the URL path as Base64-encoded strings to avoid ambiguity from special characters commonly present in SMILES notation.</w:t>
      </w:r>
    </w:p>
    <w:p>
      <w:pPr>
        <w:pStyle w:val="Heading2"/>
        <w:spacing w:after="80" w:before="260"/>
      </w:pPr>
      <w:r>
        <w:rPr>
          <w:rFonts w:ascii="Arial" w:cs="Arial" w:eastAsia="Arial" w:hAnsi="Arial"/>
          <w:b/>
          <w:bCs/>
          <w:color w:val="212121"/>
          <w:sz w:val="24"/>
          <w:szCs w:val="24"/>
        </w:rPr>
        <w:t xml:space="preserve">2.7  Technology stack</w:t>
      </w:r>
    </w:p>
    <w:p>
      <w:pPr>
        <w:spacing w:after="80" w:before="0"/>
      </w:pPr>
    </w:p>
    <w:p>
      <w:pPr>
        <w:spacing w:after="40" w:before="40"/>
        <w:jc w:val="center"/>
      </w:pPr>
      <w:r>
        <w:rPr>
          <w:rFonts w:ascii="Arial" w:cs="Arial" w:eastAsia="Arial" w:hAnsi="Arial"/>
          <w:b/>
          <w:bCs/>
          <w:color w:val="212121"/>
          <w:sz w:val="22"/>
          <w:szCs w:val="22"/>
        </w:rPr>
        <w:t xml:space="preserve">Table 2. </w:t>
      </w:r>
      <w:r>
        <w:rPr>
          <w:rFonts w:ascii="Arial" w:cs="Arial" w:eastAsia="Arial" w:hAnsi="Arial"/>
          <w:color w:val="212121"/>
          <w:sz w:val="22"/>
          <w:szCs w:val="22"/>
        </w:rPr>
        <w:t xml:space="preserve">Technology stack and dependencies.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4460"/>
      </w:tblGrid>
      <w:tr>
        <w:tc>
          <w:tcPr>
            <w:tcW w:type="dxa" w:w="14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5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10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446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Frontend</w:t>
            </w:r>
          </w:p>
        </w:tc>
        <w:tc>
          <w:tcPr>
            <w:tcW w:type="dxa" w:w="15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React</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18.x</w:t>
            </w:r>
          </w:p>
        </w:tc>
        <w:tc>
          <w:tcPr>
            <w:tcW w:type="dxa" w:w="4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Component-based UI framework</w:t>
            </w:r>
          </w:p>
        </w:tc>
      </w:tr>
      <w:tr>
        <w:tc>
          <w:tcPr>
            <w:tcW w:type="dxa" w:w="14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Language</w:t>
            </w:r>
          </w:p>
        </w:tc>
        <w:tc>
          <w:tcPr>
            <w:tcW w:type="dxa" w:w="15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TypeScript</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5.x</w:t>
            </w:r>
          </w:p>
        </w:tc>
        <w:tc>
          <w:tcPr>
            <w:tcW w:type="dxa" w:w="4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Type-safe client-side logic</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Bundler</w:t>
            </w:r>
          </w:p>
        </w:tc>
        <w:tc>
          <w:tcPr>
            <w:tcW w:type="dxa" w:w="15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esbuild</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0.x</w:t>
            </w:r>
          </w:p>
        </w:tc>
        <w:tc>
          <w:tcPr>
            <w:tcW w:type="dxa" w:w="4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Ultra-fast JavaScript bundling</w:t>
            </w:r>
          </w:p>
        </w:tc>
      </w:tr>
      <w:tr>
        <w:tc>
          <w:tcPr>
            <w:tcW w:type="dxa" w:w="14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Backend</w:t>
            </w:r>
          </w:p>
        </w:tc>
        <w:tc>
          <w:tcPr>
            <w:tcW w:type="dxa" w:w="15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Flask</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3.x</w:t>
            </w:r>
          </w:p>
        </w:tc>
        <w:tc>
          <w:tcPr>
            <w:tcW w:type="dxa" w:w="4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Lightweight Python web framework</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Runtime</w:t>
            </w:r>
          </w:p>
        </w:tc>
        <w:tc>
          <w:tcPr>
            <w:tcW w:type="dxa" w:w="15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Python</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3.12</w:t>
            </w:r>
          </w:p>
        </w:tc>
        <w:tc>
          <w:tcPr>
            <w:tcW w:type="dxa" w:w="4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Server-side execution</w:t>
            </w:r>
          </w:p>
        </w:tc>
      </w:tr>
      <w:tr>
        <w:tc>
          <w:tcPr>
            <w:tcW w:type="dxa" w:w="14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Data export</w:t>
            </w:r>
          </w:p>
        </w:tc>
        <w:tc>
          <w:tcPr>
            <w:tcW w:type="dxa" w:w="15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Pandas + Openpyxl</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2.x / 3.x</w:t>
            </w:r>
          </w:p>
        </w:tc>
        <w:tc>
          <w:tcPr>
            <w:tcW w:type="dxa" w:w="4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DataFrame manipulation + Excel generation</w:t>
            </w:r>
          </w:p>
        </w:tc>
      </w:tr>
      <w:tr>
        <w:tc>
          <w:tcPr>
            <w:tcW w:type="dxa" w:w="14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Molecular rendering</w:t>
            </w:r>
          </w:p>
        </w:tc>
        <w:tc>
          <w:tcPr>
            <w:tcW w:type="dxa" w:w="15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RDKit</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2024.x</w:t>
            </w:r>
          </w:p>
        </w:tc>
        <w:tc>
          <w:tcPr>
            <w:tcW w:type="dxa" w:w="4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SMILES-to-image conversion</w:t>
            </w:r>
          </w:p>
        </w:tc>
      </w:tr>
      <w:tr>
        <w:tc>
          <w:tcPr>
            <w:tcW w:type="dxa" w:w="14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Containerization</w:t>
            </w:r>
          </w:p>
        </w:tc>
        <w:tc>
          <w:tcPr>
            <w:tcW w:type="dxa" w:w="15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Docker + Docker Compose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w:t>
            </w:r>
          </w:p>
        </w:tc>
        <w:tc>
          <w:tcPr>
            <w:tcW w:type="dxa" w:w="4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Reproducible deployment</w:t>
            </w:r>
          </w:p>
        </w:tc>
      </w:tr>
    </w:tbl>
    <w:p>
      <w:pPr>
        <w:spacing w:after="100" w:before="0"/>
      </w:pPr>
    </w:p>
    <w:p>
      <w:pPr>
        <w:pStyle w:val="Heading1"/>
        <w:spacing w:after="120" w:before="340"/>
      </w:pPr>
      <w:r>
        <w:rPr>
          <w:rFonts w:ascii="Arial" w:cs="Arial" w:eastAsia="Arial" w:hAnsi="Arial"/>
          <w:b/>
          <w:bCs/>
          <w:color w:val="1565C0"/>
          <w:sz w:val="28"/>
          <w:szCs w:val="28"/>
        </w:rPr>
        <w:t xml:space="preserve">3  Results and Discussion</w:t>
      </w:r>
    </w:p>
    <w:p>
      <w:pPr>
        <w:pStyle w:val="Heading2"/>
        <w:spacing w:after="80" w:before="260"/>
      </w:pPr>
      <w:r>
        <w:rPr>
          <w:rFonts w:ascii="Arial" w:cs="Arial" w:eastAsia="Arial" w:hAnsi="Arial"/>
          <w:b/>
          <w:bCs/>
          <w:color w:val="212121"/>
          <w:sz w:val="24"/>
          <w:szCs w:val="24"/>
        </w:rPr>
        <w:t xml:space="preserve">3.1  Integrated prediction coverage</w:t>
      </w:r>
    </w:p>
    <w:p>
      <w:pPr>
        <w:spacing w:after="80" w:before="60" w:line="360" w:lineRule="auto"/>
        <w:jc w:val="both"/>
      </w:pPr>
      <w:r>
        <w:rPr>
          <w:rFonts w:ascii="Arial" w:cs="Arial" w:eastAsia="Arial" w:hAnsi="Arial"/>
          <w:color w:val="212121"/>
          <w:sz w:val="22"/>
          <w:szCs w:val="22"/>
        </w:rPr>
        <w:t xml:space="preserve">SmileRender provides access to a combined set of over 120 distinct ADMET endpoints across five platforms. Table 3 summarizes the prediction coverage by ADMET category, demonstrating the complementary nature of the integrated tools: StopTox provides specialized FDA-relevant toxicity endpoints, SwissADME excels in drug-likeness evaluation with the BOILED-Egg model for gastrointestinal absorption and BBB penetration prediction, StopLight offers an intuitive traffic-light scoring system for rapid triage, pkCSM provides unique graph-based signature predictions, and ADMETlab 3.0 delivers the broadest endpoint coverage including Tox21 pathway assays.</w:t>
      </w:r>
    </w:p>
    <w:p>
      <w:pPr>
        <w:spacing w:after="80" w:before="0"/>
      </w:pPr>
    </w:p>
    <w:p>
      <w:pPr>
        <w:spacing w:after="40" w:before="40"/>
        <w:jc w:val="center"/>
      </w:pPr>
      <w:r>
        <w:rPr>
          <w:rFonts w:ascii="Arial" w:cs="Arial" w:eastAsia="Arial" w:hAnsi="Arial"/>
          <w:b/>
          <w:bCs/>
          <w:color w:val="212121"/>
          <w:sz w:val="22"/>
          <w:szCs w:val="22"/>
        </w:rPr>
        <w:t xml:space="preserve">Table 3. </w:t>
      </w:r>
      <w:r>
        <w:rPr>
          <w:rFonts w:ascii="Arial" w:cs="Arial" w:eastAsia="Arial" w:hAnsi="Arial"/>
          <w:color w:val="212121"/>
          <w:sz w:val="22"/>
          <w:szCs w:val="22"/>
        </w:rPr>
        <w:t xml:space="preserve">Prediction coverage by ADMET category across integrated tools.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000"/>
        <w:gridCol w:w="900"/>
        <w:gridCol w:w="1460"/>
      </w:tblGrid>
      <w:tr>
        <w:tc>
          <w:tcPr>
            <w:tcW w:type="dxa" w:w="22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10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StopTox</w:t>
            </w:r>
          </w:p>
        </w:tc>
        <w:tc>
          <w:tcPr>
            <w:tcW w:type="dxa" w:w="12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SwissADME</w:t>
            </w:r>
          </w:p>
        </w:tc>
        <w:tc>
          <w:tcPr>
            <w:tcW w:type="dxa" w:w="10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StopLight</w:t>
            </w:r>
          </w:p>
        </w:tc>
        <w:tc>
          <w:tcPr>
            <w:tcW w:type="dxa" w:w="9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pkCSM</w:t>
            </w:r>
          </w:p>
        </w:tc>
        <w:tc>
          <w:tcPr>
            <w:tcW w:type="dxa" w:w="146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ADMETlab 3.0</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Physicochemical properties</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Lipophilicity</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Solubility</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Absorption</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Distribution</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Metabolism (CYP)</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Excretion / Clearance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Acute toxicity</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Mutagenicity (Ames)</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hERG inhibition</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Hepatotoxicity</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Skin sensitization</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Eye irritation</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Drug-likeness rules</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Medicinal chemistry alerts</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Tox21 pathway assays</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Environmental ecotoxicity</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Overall molecular score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r>
    </w:tbl>
    <w:p>
      <w:pPr>
        <w:spacing w:after="100" w:before="0"/>
      </w:pPr>
    </w:p>
    <w:p>
      <w:pPr>
        <w:pStyle w:val="Heading2"/>
        <w:spacing w:after="80" w:before="260"/>
      </w:pPr>
      <w:r>
        <w:rPr>
          <w:rFonts w:ascii="Arial" w:cs="Arial" w:eastAsia="Arial" w:hAnsi="Arial"/>
          <w:b/>
          <w:bCs/>
          <w:color w:val="212121"/>
          <w:sz w:val="24"/>
          <w:szCs w:val="24"/>
        </w:rPr>
        <w:t xml:space="preserve">3.2  Comparison with existing tools</w:t>
      </w:r>
    </w:p>
    <w:p>
      <w:pPr>
        <w:spacing w:after="80" w:before="60" w:line="360" w:lineRule="auto"/>
        <w:jc w:val="both"/>
      </w:pPr>
      <w:r>
        <w:rPr>
          <w:rFonts w:ascii="Arial" w:cs="Arial" w:eastAsia="Arial" w:hAnsi="Arial"/>
          <w:color w:val="212121"/>
          <w:sz w:val="22"/>
          <w:szCs w:val="22"/>
        </w:rPr>
        <w:t xml:space="preserve">SmileRender occupies a distinct niche in the ADMET tooling ecosystem as an integration layer rather than a standalone prediction engine. Table 4 positions SmileRender relative to existing platforms. The key differentiators are multi-tool aggregation, a cross-tool comparison matrix via pivot table, and consolidated multi-sheet Excel export—features absent from all compared platforms.</w:t>
      </w:r>
    </w:p>
    <w:p>
      <w:pPr>
        <w:spacing w:after="80" w:before="0"/>
      </w:pPr>
    </w:p>
    <w:p>
      <w:pPr>
        <w:spacing w:after="40" w:before="40"/>
        <w:jc w:val="center"/>
      </w:pPr>
      <w:r>
        <w:rPr>
          <w:rFonts w:ascii="Arial" w:cs="Arial" w:eastAsia="Arial" w:hAnsi="Arial"/>
          <w:b/>
          <w:bCs/>
          <w:color w:val="212121"/>
          <w:sz w:val="22"/>
          <w:szCs w:val="22"/>
        </w:rPr>
        <w:t xml:space="preserve">Table 4. </w:t>
      </w:r>
      <w:r>
        <w:rPr>
          <w:rFonts w:ascii="Arial" w:cs="Arial" w:eastAsia="Arial" w:hAnsi="Arial"/>
          <w:color w:val="212121"/>
          <w:sz w:val="22"/>
          <w:szCs w:val="22"/>
        </w:rPr>
        <w:t xml:space="preserve">Feature comparison of SmileRender with existing ADMET prediction platforms.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300"/>
        <w:gridCol w:w="1000"/>
        <w:gridCol w:w="1460"/>
      </w:tblGrid>
      <w:tr>
        <w:tc>
          <w:tcPr>
            <w:tcW w:type="dxa" w:w="22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9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SwissADME</w:t>
            </w:r>
          </w:p>
        </w:tc>
        <w:tc>
          <w:tcPr>
            <w:tcW w:type="dxa" w:w="9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pkCSM</w:t>
            </w:r>
          </w:p>
        </w:tc>
        <w:tc>
          <w:tcPr>
            <w:tcW w:type="dxa" w:w="13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ADMETlab 3.0</w:t>
            </w:r>
          </w:p>
        </w:tc>
        <w:tc>
          <w:tcPr>
            <w:tcW w:type="dxa" w:w="10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ADMET-AI</w:t>
            </w:r>
          </w:p>
        </w:tc>
        <w:tc>
          <w:tcPr>
            <w:tcW w:type="dxa" w:w="146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SmileRender</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Multi-compound input</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Multi-tool aggregation</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 (5 tools)</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Consolidated Excel export</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CSV only</w:t>
            </w:r>
          </w:p>
        </w:tc>
        <w:tc>
          <w:tcPr>
            <w:tcW w:type="dxa" w:w="13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 (multi-sheet)</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Cross-tool comparison matrix</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 (pivot table)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2D structure rendering</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 (+ ZIP batch)</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CSV batch processing</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REST API</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Open-source (MIT)</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Real-time progress tracking</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w:t>
            </w:r>
          </w:p>
        </w:tc>
      </w:tr>
      <w:tr>
        <w:tc>
          <w:tcPr>
            <w:tcW w:type="dxa" w:w="22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left"/>
            </w:pPr>
            <w:r>
              <w:rPr>
                <w:rFonts w:ascii="Arial" w:cs="Arial" w:eastAsia="Arial" w:hAnsi="Arial"/>
                <w:color w:val="212121"/>
                <w:sz w:val="18"/>
                <w:szCs w:val="18"/>
              </w:rPr>
              <w:t xml:space="preserve">Docker deployment</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9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3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0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pPr>
              <w:jc w:val="center"/>
            </w:pPr>
            <w:r>
              <w:rPr>
                <w:rFonts w:ascii="Arial" w:cs="Arial" w:eastAsia="Arial" w:hAnsi="Arial"/>
                <w:color w:val="212121"/>
                <w:sz w:val="18"/>
                <w:szCs w:val="18"/>
              </w:rPr>
              <w:t xml:space="preserve">✓</w:t>
            </w:r>
          </w:p>
        </w:tc>
        <w:tc>
          <w:tcPr>
            <w:tcW w:type="dxa" w:w="14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w:t>
            </w:r>
          </w:p>
        </w:tc>
      </w:tr>
    </w:tbl>
    <w:p>
      <w:pPr>
        <w:spacing w:after="100" w:before="0"/>
      </w:pPr>
    </w:p>
    <w:p>
      <w:pPr>
        <w:pStyle w:val="Heading2"/>
        <w:spacing w:after="80" w:before="260"/>
      </w:pPr>
      <w:r>
        <w:rPr>
          <w:rFonts w:ascii="Arial" w:cs="Arial" w:eastAsia="Arial" w:hAnsi="Arial"/>
          <w:b/>
          <w:bCs/>
          <w:color w:val="212121"/>
          <w:sz w:val="24"/>
          <w:szCs w:val="24"/>
        </w:rPr>
        <w:t xml:space="preserve">3.3  Workflow example</w:t>
      </w:r>
    </w:p>
    <w:p>
      <w:pPr>
        <w:spacing w:after="80" w:before="60" w:line="360" w:lineRule="auto"/>
        <w:jc w:val="both"/>
      </w:pPr>
      <w:r>
        <w:rPr>
          <w:rFonts w:ascii="Arial" w:cs="Arial" w:eastAsia="Arial" w:hAnsi="Arial"/>
          <w:color w:val="212121"/>
          <w:sz w:val="22"/>
          <w:szCs w:val="22"/>
        </w:rPr>
        <w:t xml:space="preserve">A typical SmileRender workflow proceeds as follows:</w:t>
      </w:r>
    </w:p>
    <w:p>
      <w:pPr>
        <w:pStyle w:val="ListParagraph"/>
        <w:numPr>
          <w:ilvl w:val="0"/>
          <w:numId w:val="3"/>
        </w:numPr>
        <w:spacing w:after="40" w:before="40"/>
      </w:pPr>
      <w:r>
        <w:rPr>
          <w:rFonts w:ascii="Arial" w:cs="Arial" w:eastAsia="Arial" w:hAnsi="Arial"/>
          <w:color w:val="212121"/>
          <w:sz w:val="22"/>
          <w:szCs w:val="22"/>
        </w:rPr>
        <w:t xml:space="preserve">The user navigates to the Multi-Tool Prediction module and enters one or more SMILES strings (e.g., CCO, c1ccccc1, CC(=O)Oc1ccccc1C(=O)O).</w:t>
      </w:r>
    </w:p>
    <w:p>
      <w:pPr>
        <w:pStyle w:val="ListParagraph"/>
        <w:numPr>
          <w:ilvl w:val="0"/>
          <w:numId w:val="3"/>
        </w:numPr>
        <w:spacing w:after="40" w:before="40"/>
      </w:pPr>
      <w:r>
        <w:rPr>
          <w:rFonts w:ascii="Arial" w:cs="Arial" w:eastAsia="Arial" w:hAnsi="Arial"/>
          <w:color w:val="212121"/>
          <w:sz w:val="22"/>
          <w:szCs w:val="22"/>
        </w:rPr>
        <w:t xml:space="preserve">Upon clicking "Run All Predictions", the interface switches to the Results tab and simultaneously dispatches requests to all five backend proxy endpoints.</w:t>
      </w:r>
    </w:p>
    <w:p>
      <w:pPr>
        <w:pStyle w:val="ListParagraph"/>
        <w:numPr>
          <w:ilvl w:val="0"/>
          <w:numId w:val="3"/>
        </w:numPr>
        <w:spacing w:after="40" w:before="40"/>
      </w:pPr>
      <w:r>
        <w:rPr>
          <w:rFonts w:ascii="Arial" w:cs="Arial" w:eastAsia="Arial" w:hAnsi="Arial"/>
          <w:color w:val="212121"/>
          <w:sz w:val="22"/>
          <w:szCs w:val="22"/>
        </w:rPr>
        <w:t xml:space="preserve">Each prediction component independently loads, parses, and renders its results. The progress bar updates in real time as each tool completes.</w:t>
      </w:r>
    </w:p>
    <w:p>
      <w:pPr>
        <w:pStyle w:val="ListParagraph"/>
        <w:numPr>
          <w:ilvl w:val="0"/>
          <w:numId w:val="3"/>
        </w:numPr>
        <w:spacing w:after="40" w:before="40"/>
      </w:pPr>
      <w:r>
        <w:rPr>
          <w:rFonts w:ascii="Arial" w:cs="Arial" w:eastAsia="Arial" w:hAnsi="Arial"/>
          <w:color w:val="212121"/>
          <w:sz w:val="22"/>
          <w:szCs w:val="22"/>
        </w:rPr>
        <w:t xml:space="preserve">Once all 5 x N result sets are collected (100%), the "Export to Excel" button turns green.</w:t>
      </w:r>
    </w:p>
    <w:p>
      <w:pPr>
        <w:pStyle w:val="ListParagraph"/>
        <w:numPr>
          <w:ilvl w:val="0"/>
          <w:numId w:val="3"/>
        </w:numPr>
        <w:spacing w:after="80" w:before="40"/>
      </w:pPr>
      <w:r>
        <w:rPr>
          <w:rFonts w:ascii="Arial" w:cs="Arial" w:eastAsia="Arial" w:hAnsi="Arial"/>
          <w:color w:val="212121"/>
          <w:sz w:val="22"/>
          <w:szCs w:val="22"/>
        </w:rPr>
        <w:t xml:space="preserve">The user clicks to download a consolidated .xlsx file containing the pivot comparison and detailed data sheets.</w:t>
      </w:r>
    </w:p>
    <w:p>
      <w:pPr>
        <w:spacing w:after="80" w:before="60" w:line="360" w:lineRule="auto"/>
        <w:jc w:val="both"/>
      </w:pPr>
      <w:r>
        <w:rPr>
          <w:rFonts w:ascii="Arial" w:cs="Arial" w:eastAsia="Arial" w:hAnsi="Arial"/>
          <w:color w:val="212121"/>
          <w:sz w:val="22"/>
          <w:szCs w:val="22"/>
        </w:rPr>
        <w:t xml:space="preserve">This workflow reduces what would typically require 5 x N manual web interactions—each involving page navigation, SMILES entry, result transcription—into a single operation.</w:t>
      </w:r>
    </w:p>
    <w:p>
      <w:pPr>
        <w:pStyle w:val="Heading2"/>
        <w:spacing w:after="80" w:before="260"/>
      </w:pPr>
      <w:r>
        <w:rPr>
          <w:rFonts w:ascii="Arial" w:cs="Arial" w:eastAsia="Arial" w:hAnsi="Arial"/>
          <w:b/>
          <w:bCs/>
          <w:color w:val="212121"/>
          <w:sz w:val="24"/>
          <w:szCs w:val="24"/>
        </w:rPr>
        <w:t xml:space="preserve">3.4  Limitations and future work</w:t>
      </w:r>
    </w:p>
    <w:p>
      <w:pPr>
        <w:spacing w:after="80" w:before="60" w:line="360" w:lineRule="auto"/>
        <w:jc w:val="both"/>
      </w:pPr>
      <w:r>
        <w:rPr>
          <w:rFonts w:ascii="Arial" w:cs="Arial" w:eastAsia="Arial" w:hAnsi="Arial"/>
          <w:color w:val="212121"/>
          <w:sz w:val="22"/>
          <w:szCs w:val="22"/>
        </w:rPr>
        <w:t xml:space="preserve">Several limitations should be acknowledged. First, SmileRender relies on the continued availability and structural stability of five external web services; changes to their HTML structure, CSS selectors, or API contracts may require updates to the corresponding parser components. This is mitigated through modular component design, where each tool's parser is encapsulated in an independent React component, and through fallback parsing strategies. Second, sequential queries to five external services introduce cumulative latency; the total analysis time is bounded by the slowest service. Future work will explore parallel Web Worker execution and client-side result caching. Third, SmileRender delegates all predictions to external services and does not implement its own ML models—this is by design, as the platform's value lies in integration rather than prediction.</w:t>
      </w:r>
    </w:p>
    <w:p>
      <w:pPr>
        <w:spacing w:after="80" w:before="60" w:line="360" w:lineRule="auto"/>
        <w:jc w:val="both"/>
      </w:pPr>
      <w:r>
        <w:rPr>
          <w:rFonts w:ascii="Arial" w:cs="Arial" w:eastAsia="Arial" w:hAnsi="Arial"/>
          <w:color w:val="212121"/>
          <w:sz w:val="22"/>
          <w:szCs w:val="22"/>
        </w:rPr>
        <w:t xml:space="preserve">Planned enhancements include: (i) result caching to avoid redundant API calls; (ii) an interactive dashboard with radar charts and scatter plots for multi-dimensional property visualization; (iii) integration with ChEMBL for enrichment with known bioactivity data; (iv) support for InChI notation as an alternative input format; and (v) a plugin architecture to facilitate community-driven integration of additional prediction services.</w:t>
      </w:r>
    </w:p>
    <w:p>
      <w:pPr>
        <w:spacing w:after="60" w:before="0"/>
      </w:pPr>
    </w:p>
    <w:p>
      <w:pPr>
        <w:pStyle w:val="Heading1"/>
        <w:spacing w:after="120" w:before="340"/>
      </w:pPr>
      <w:r>
        <w:rPr>
          <w:rFonts w:ascii="Arial" w:cs="Arial" w:eastAsia="Arial" w:hAnsi="Arial"/>
          <w:b/>
          <w:bCs/>
          <w:color w:val="1565C0"/>
          <w:sz w:val="28"/>
          <w:szCs w:val="28"/>
        </w:rPr>
        <w:t xml:space="preserve">4  Conclusions</w:t>
      </w:r>
    </w:p>
    <w:p>
      <w:pPr>
        <w:spacing w:after="80" w:before="60" w:line="360" w:lineRule="auto"/>
        <w:jc w:val="both"/>
      </w:pPr>
      <w:r>
        <w:rPr>
          <w:rFonts w:ascii="Arial" w:cs="Arial" w:eastAsia="Arial" w:hAnsi="Arial"/>
          <w:color w:val="212121"/>
          <w:sz w:val="22"/>
          <w:szCs w:val="22"/>
        </w:rPr>
        <w:t xml:space="preserve">SmileRender provides a practical solution to a pervasive problem in computational drug discovery: the fragmentation of ADMET profiling across multiple independent web platforms. By implementing a reverse-proxy architecture that transparently handles the heterogeneous communication protocols, authentication mechanisms, and response formats of five established prediction tools, SmileRender enables researchers to perform comprehensive multi-endpoint ADMET profiling from a single browser interface with consolidated, standardized data export.</w:t>
      </w:r>
    </w:p>
    <w:p>
      <w:pPr>
        <w:spacing w:after="80" w:before="60" w:line="360" w:lineRule="auto"/>
        <w:jc w:val="both"/>
      </w:pPr>
      <w:r>
        <w:rPr>
          <w:rFonts w:ascii="Arial" w:cs="Arial" w:eastAsia="Arial" w:hAnsi="Arial"/>
          <w:color w:val="212121"/>
          <w:sz w:val="22"/>
          <w:szCs w:val="22"/>
        </w:rPr>
        <w:t xml:space="preserve">The platform is designed for accessibility—it requires no installation via Docker deployment, no programming expertise to operate, and no registration on external services. Its open-source license (MIT) ensures that the scientific community can freely use, modify, and extend the platform to accommodate evolving needs.</w:t>
      </w:r>
    </w:p>
    <w:p>
      <w:pPr>
        <w:spacing w:after="80" w:before="60" w:line="360" w:lineRule="auto"/>
        <w:jc w:val="both"/>
      </w:pPr>
      <w:r>
        <w:rPr>
          <w:rFonts w:ascii="Arial" w:cs="Arial" w:eastAsia="Arial" w:hAnsi="Arial"/>
          <w:color w:val="212121"/>
          <w:sz w:val="22"/>
          <w:szCs w:val="22"/>
        </w:rPr>
        <w:t xml:space="preserve">SmileRender fills a meaningful gap in the cheminformatics tooling ecosystem by shifting the focus from individual prediction capabilities to the integration and operationalization of existing, validated services.</w:t>
      </w:r>
    </w:p>
    <w:p>
      <w:pPr>
        <w:spacing w:after="80" w:before="0"/>
      </w:pPr>
    </w:p>
    <w:p>
      <w:pPr>
        <w:pStyle w:val="Heading1"/>
        <w:spacing w:after="120" w:before="340"/>
      </w:pPr>
      <w:r>
        <w:rPr>
          <w:rFonts w:ascii="Arial" w:cs="Arial" w:eastAsia="Arial" w:hAnsi="Arial"/>
          <w:b/>
          <w:bCs/>
          <w:color w:val="1565C0"/>
          <w:sz w:val="28"/>
          <w:szCs w:val="28"/>
        </w:rPr>
        <w:t xml:space="preserve">Availability and Requirements</w:t>
      </w:r>
    </w:p>
    <w:p>
      <w:pPr>
        <w:spacing w:after="4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C5D8EE" w:sz="1"/>
              <w:left w:val="single" w:color="C5D8EE" w:sz="1"/>
              <w:bottom w:val="single" w:color="C5D8EE" w:sz="1"/>
              <w:right w:val="single" w:color="C5D8EE" w:sz="1"/>
            </w:tcBorders>
            <w:shd w:fill="E3F0FB"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Availability and Requirements</w:t>
            </w:r>
          </w:p>
          <w:p>
            <w:pPr>
              <w:spacing w:after="40" w:before="40"/>
            </w:pPr>
            <w:r>
              <w:rPr>
                <w:rFonts w:ascii="Arial" w:cs="Arial" w:eastAsia="Arial" w:hAnsi="Arial"/>
                <w:b/>
                <w:bCs/>
                <w:color w:val="212121"/>
                <w:sz w:val="22"/>
                <w:szCs w:val="22"/>
              </w:rPr>
              <w:t xml:space="preserve">Project name: </w:t>
            </w:r>
            <w:r>
              <w:rPr>
                <w:rFonts w:ascii="Arial" w:cs="Arial" w:eastAsia="Arial" w:hAnsi="Arial"/>
                <w:color w:val="212121"/>
                <w:sz w:val="22"/>
                <w:szCs w:val="22"/>
              </w:rPr>
              <w:t xml:space="preserve">SmileRender</w:t>
            </w:r>
          </w:p>
          <w:p>
            <w:pPr>
              <w:spacing w:after="40" w:before="40"/>
            </w:pPr>
            <w:r>
              <w:rPr>
                <w:rFonts w:ascii="Arial" w:cs="Arial" w:eastAsia="Arial" w:hAnsi="Arial"/>
                <w:b/>
                <w:bCs/>
                <w:color w:val="212121"/>
                <w:sz w:val="22"/>
                <w:szCs w:val="22"/>
              </w:rPr>
              <w:t xml:space="preserve">Project homepage: </w:t>
            </w:r>
            <w:hyperlink w:history="1" r:id="rIdzfjdkl7nvlzijirwzsjum">
              <w:r>
                <w:rPr>
                  <w:rFonts w:ascii="Arial" w:cs="Arial" w:eastAsia="Arial" w:hAnsi="Arial"/>
                  <w:color w:val="1565C0"/>
                  <w:sz w:val="22"/>
                  <w:szCs w:val="22"/>
                  <w:u w:val="single"/>
                </w:rPr>
                <w:t xml:space="preserve">https://github.com/rubithedev/smiles-render-web</w:t>
              </w:r>
            </w:hyperlink>
          </w:p>
          <w:p>
            <w:pPr>
              <w:spacing w:after="40" w:before="40"/>
            </w:pPr>
            <w:r>
              <w:rPr>
                <w:rFonts w:ascii="Arial" w:cs="Arial" w:eastAsia="Arial" w:hAnsi="Arial"/>
                <w:b/>
                <w:bCs/>
                <w:color w:val="212121"/>
                <w:sz w:val="22"/>
                <w:szCs w:val="22"/>
              </w:rPr>
              <w:t xml:space="preserve">Live instance: </w:t>
            </w:r>
            <w:hyperlink w:history="1" r:id="rId6k-okak2wr41oufflmuyq">
              <w:r>
                <w:rPr>
                  <w:rFonts w:ascii="Arial" w:cs="Arial" w:eastAsia="Arial" w:hAnsi="Arial"/>
                  <w:color w:val="1565C0"/>
                  <w:sz w:val="22"/>
                  <w:szCs w:val="22"/>
                  <w:u w:val="single"/>
                </w:rPr>
                <w:t xml:space="preserve">https://smiles-render.onrender.com</w:t>
              </w:r>
            </w:hyperlink>
          </w:p>
          <w:p>
            <w:pPr>
              <w:spacing w:after="40" w:before="40"/>
            </w:pPr>
            <w:r>
              <w:rPr>
                <w:rFonts w:ascii="Arial" w:cs="Arial" w:eastAsia="Arial" w:hAnsi="Arial"/>
                <w:b/>
                <w:bCs/>
                <w:color w:val="212121"/>
                <w:sz w:val="22"/>
                <w:szCs w:val="22"/>
              </w:rPr>
              <w:t xml:space="preserve">Operating system: </w:t>
            </w:r>
            <w:r>
              <w:rPr>
                <w:rFonts w:ascii="Arial" w:cs="Arial" w:eastAsia="Arial" w:hAnsi="Arial"/>
                <w:color w:val="212121"/>
                <w:sz w:val="22"/>
                <w:szCs w:val="22"/>
              </w:rPr>
              <w:t xml:space="preserve">Platform independent (Docker); developed on Windows</w:t>
            </w:r>
          </w:p>
          <w:p>
            <w:pPr>
              <w:spacing w:after="40" w:before="40"/>
            </w:pPr>
            <w:r>
              <w:rPr>
                <w:rFonts w:ascii="Arial" w:cs="Arial" w:eastAsia="Arial" w:hAnsi="Arial"/>
                <w:b/>
                <w:bCs/>
                <w:color w:val="212121"/>
                <w:sz w:val="22"/>
                <w:szCs w:val="22"/>
              </w:rPr>
              <w:t xml:space="preserve">Programming language: </w:t>
            </w:r>
            <w:r>
              <w:rPr>
                <w:rFonts w:ascii="Arial" w:cs="Arial" w:eastAsia="Arial" w:hAnsi="Arial"/>
                <w:color w:val="212121"/>
                <w:sz w:val="22"/>
                <w:szCs w:val="22"/>
              </w:rPr>
              <w:t xml:space="preserve">Python 3.12 (backend), TypeScript (frontend)</w:t>
            </w:r>
          </w:p>
          <w:p>
            <w:pPr>
              <w:spacing w:after="40" w:before="40"/>
            </w:pPr>
            <w:r>
              <w:rPr>
                <w:rFonts w:ascii="Arial" w:cs="Arial" w:eastAsia="Arial" w:hAnsi="Arial"/>
                <w:b/>
                <w:bCs/>
                <w:color w:val="212121"/>
                <w:sz w:val="22"/>
                <w:szCs w:val="22"/>
              </w:rPr>
              <w:t xml:space="preserve">Other requirements: </w:t>
            </w:r>
            <w:r>
              <w:rPr>
                <w:rFonts w:ascii="Arial" w:cs="Arial" w:eastAsia="Arial" w:hAnsi="Arial"/>
                <w:color w:val="212121"/>
                <w:sz w:val="22"/>
                <w:szCs w:val="22"/>
              </w:rPr>
              <w:t xml:space="preserve">Docker and Docker Compose; alternatively Node.js 18+ and Python 3.12+</w:t>
            </w:r>
          </w:p>
          <w:p>
            <w:pPr>
              <w:spacing w:after="40" w:before="40"/>
            </w:pPr>
            <w:r>
              <w:rPr>
                <w:rFonts w:ascii="Arial" w:cs="Arial" w:eastAsia="Arial" w:hAnsi="Arial"/>
                <w:b/>
                <w:bCs/>
                <w:color w:val="212121"/>
                <w:sz w:val="22"/>
                <w:szCs w:val="22"/>
              </w:rPr>
              <w:t xml:space="preserve">License: </w:t>
            </w:r>
            <w:r>
              <w:rPr>
                <w:rFonts w:ascii="Arial" w:cs="Arial" w:eastAsia="Arial" w:hAnsi="Arial"/>
                <w:color w:val="212121"/>
                <w:sz w:val="22"/>
                <w:szCs w:val="22"/>
              </w:rPr>
              <w:t xml:space="preserve">MIT</w:t>
            </w:r>
          </w:p>
          <w:p>
            <w:pPr>
              <w:spacing w:after="40" w:before="40"/>
            </w:pPr>
            <w:r>
              <w:rPr>
                <w:rFonts w:ascii="Arial" w:cs="Arial" w:eastAsia="Arial" w:hAnsi="Arial"/>
                <w:b/>
                <w:bCs/>
                <w:color w:val="212121"/>
                <w:sz w:val="22"/>
                <w:szCs w:val="22"/>
              </w:rPr>
              <w:t xml:space="preserve">Restrictions to use by non-academics: </w:t>
            </w:r>
            <w:r>
              <w:rPr>
                <w:rFonts w:ascii="Arial" w:cs="Arial" w:eastAsia="Arial" w:hAnsi="Arial"/>
                <w:color w:val="212121"/>
                <w:sz w:val="22"/>
                <w:szCs w:val="22"/>
              </w:rPr>
              <w:t xml:space="preserve">None</w:t>
            </w:r>
          </w:p>
        </w:tc>
      </w:tr>
    </w:tbl>
    <w:p>
      <w:pPr>
        <w:spacing w:after="100" w:before="0"/>
      </w:pPr>
    </w:p>
    <w:p>
      <w:pPr>
        <w:pStyle w:val="Heading1"/>
        <w:spacing w:after="120" w:before="340"/>
      </w:pPr>
      <w:r>
        <w:rPr>
          <w:rFonts w:ascii="Arial" w:cs="Arial" w:eastAsia="Arial" w:hAnsi="Arial"/>
          <w:b/>
          <w:bCs/>
          <w:color w:val="1565C0"/>
          <w:sz w:val="28"/>
          <w:szCs w:val="28"/>
        </w:rPr>
        <w:t xml:space="preserve">List of Abbreviations</w:t>
      </w:r>
    </w:p>
    <w:p>
      <w:pPr>
        <w:spacing w:after="4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c>
          <w:tcPr>
            <w:tcW w:type="dxa" w:w="180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Abbreviation</w:t>
            </w:r>
          </w:p>
        </w:tc>
        <w:tc>
          <w:tcPr>
            <w:tcW w:type="dxa" w:w="6560"/>
            <w:tcBorders>
              <w:top w:val="single" w:color="C5D8EE" w:sz="1"/>
              <w:left w:val="single" w:color="C5D8EE" w:sz="1"/>
              <w:bottom w:val="single" w:color="C5D8EE" w:sz="1"/>
              <w:right w:val="single" w:color="C5D8EE"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ADMET</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Absorption, Distribution, Metabolism, Excretion, and Toxicity</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BBB</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Blood-Brain Barrier</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CORS</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Cross-Origin Resource Sharing</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CSRF</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Cross-Site Request Forgery</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CSV</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Comma-Separated Values</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CYP</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Cytochrome P450</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DOM</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Document Object Model</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hERG</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Human Ether-a-go-go-Related Gene</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HTTP</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Hypertext Transfer Protocol</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ML</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Machine Learning</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PBPK</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Physiologically Based Pharmacokinetic</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SMILES</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Simplified Molecular-Input Line-Entry System</w:t>
            </w:r>
          </w:p>
        </w:tc>
      </w:tr>
      <w:tr>
        <w:tc>
          <w:tcPr>
            <w:tcW w:type="dxa" w:w="180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TPSA</w:t>
            </w:r>
          </w:p>
        </w:tc>
        <w:tc>
          <w:tcPr>
            <w:tcW w:type="dxa" w:w="6560"/>
            <w:tcBorders>
              <w:top w:val="single" w:color="C5D8EE" w:sz="1"/>
              <w:left w:val="single" w:color="C5D8EE" w:sz="1"/>
              <w:bottom w:val="single" w:color="C5D8EE" w:sz="1"/>
              <w:right w:val="single" w:color="C5D8EE" w:sz="1"/>
            </w:tcBorders>
            <w:shd w:fill="FFFFFF" w:val="clear"/>
            <w:tcMar>
              <w:top w:type="dxa" w:w="60"/>
              <w:left w:type="dxa" w:w="120"/>
              <w:bottom w:type="dxa" w:w="60"/>
              <w:right w:type="dxa" w:w="120"/>
            </w:tcMar>
            <w:vAlign w:val="center"/>
          </w:tcPr>
          <w:p>
            <w:r>
              <w:rPr>
                <w:rFonts w:ascii="Arial" w:cs="Arial" w:eastAsia="Arial" w:hAnsi="Arial"/>
                <w:b/>
                <w:bCs/>
                <w:color w:val="212121"/>
                <w:sz w:val="18"/>
                <w:szCs w:val="18"/>
              </w:rPr>
              <w:t xml:space="preserve">Topological Polar Surface Area</w:t>
            </w:r>
          </w:p>
        </w:tc>
      </w:tr>
      <w:tr>
        <w:tc>
          <w:tcPr>
            <w:tcW w:type="dxa" w:w="180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XSS</w:t>
            </w:r>
          </w:p>
        </w:tc>
        <w:tc>
          <w:tcPr>
            <w:tcW w:type="dxa" w:w="6560"/>
            <w:tcBorders>
              <w:top w:val="single" w:color="C5D8EE" w:sz="1"/>
              <w:left w:val="single" w:color="C5D8EE" w:sz="1"/>
              <w:bottom w:val="single" w:color="C5D8EE" w:sz="1"/>
              <w:right w:val="single" w:color="C5D8EE" w:sz="1"/>
            </w:tcBorders>
            <w:shd w:fill="F5F8FC" w:val="clear"/>
            <w:tcMar>
              <w:top w:type="dxa" w:w="60"/>
              <w:left w:type="dxa" w:w="120"/>
              <w:bottom w:type="dxa" w:w="60"/>
              <w:right w:type="dxa" w:w="120"/>
            </w:tcMar>
            <w:vAlign w:val="center"/>
          </w:tcPr>
          <w:p>
            <w:r>
              <w:rPr>
                <w:rFonts w:ascii="Arial" w:cs="Arial" w:eastAsia="Arial" w:hAnsi="Arial"/>
                <w:b/>
                <w:bCs/>
                <w:color w:val="212121"/>
                <w:sz w:val="18"/>
                <w:szCs w:val="18"/>
              </w:rPr>
              <w:t xml:space="preserve">Cross-Site Scripting</w:t>
            </w:r>
          </w:p>
        </w:tc>
      </w:tr>
    </w:tbl>
    <w:p>
      <w:pPr>
        <w:spacing w:after="100" w:before="0"/>
      </w:pPr>
    </w:p>
    <w:p>
      <w:pPr>
        <w:pStyle w:val="Heading1"/>
        <w:spacing w:after="120" w:before="340"/>
      </w:pPr>
      <w:r>
        <w:rPr>
          <w:rFonts w:ascii="Arial" w:cs="Arial" w:eastAsia="Arial" w:hAnsi="Arial"/>
          <w:b/>
          <w:bCs/>
          <w:color w:val="1565C0"/>
          <w:sz w:val="28"/>
          <w:szCs w:val="28"/>
        </w:rPr>
        <w:t xml:space="preserve">Declarations</w:t>
      </w:r>
    </w:p>
    <w:p>
      <w:pPr>
        <w:pStyle w:val="Heading2"/>
        <w:spacing w:after="80" w:before="260"/>
      </w:pPr>
      <w:r>
        <w:rPr>
          <w:rFonts w:ascii="Arial" w:cs="Arial" w:eastAsia="Arial" w:hAnsi="Arial"/>
          <w:b/>
          <w:bCs/>
          <w:color w:val="212121"/>
          <w:sz w:val="24"/>
          <w:szCs w:val="24"/>
        </w:rPr>
        <w:t xml:space="preserve">Ethics approval and consent to participate</w:t>
      </w:r>
    </w:p>
    <w:p>
      <w:pPr>
        <w:spacing w:after="80" w:before="60" w:line="360" w:lineRule="auto"/>
        <w:jc w:val="both"/>
      </w:pPr>
      <w:r>
        <w:rPr>
          <w:rFonts w:ascii="Arial" w:cs="Arial" w:eastAsia="Arial" w:hAnsi="Arial"/>
          <w:color w:val="212121"/>
          <w:sz w:val="22"/>
          <w:szCs w:val="22"/>
        </w:rPr>
        <w:t xml:space="preserve">Not applicable.</w:t>
      </w:r>
    </w:p>
    <w:p>
      <w:pPr>
        <w:pStyle w:val="Heading2"/>
        <w:spacing w:after="80" w:before="260"/>
      </w:pPr>
      <w:r>
        <w:rPr>
          <w:rFonts w:ascii="Arial" w:cs="Arial" w:eastAsia="Arial" w:hAnsi="Arial"/>
          <w:b/>
          <w:bCs/>
          <w:color w:val="212121"/>
          <w:sz w:val="24"/>
          <w:szCs w:val="24"/>
        </w:rPr>
        <w:t xml:space="preserve">Consent for publication</w:t>
      </w:r>
    </w:p>
    <w:p>
      <w:pPr>
        <w:spacing w:after="80" w:before="60" w:line="360" w:lineRule="auto"/>
        <w:jc w:val="both"/>
      </w:pPr>
      <w:r>
        <w:rPr>
          <w:rFonts w:ascii="Arial" w:cs="Arial" w:eastAsia="Arial" w:hAnsi="Arial"/>
          <w:color w:val="212121"/>
          <w:sz w:val="22"/>
          <w:szCs w:val="22"/>
        </w:rPr>
        <w:t xml:space="preserve">Not applicable.</w:t>
      </w:r>
    </w:p>
    <w:p>
      <w:pPr>
        <w:pStyle w:val="Heading2"/>
        <w:spacing w:after="80" w:before="260"/>
      </w:pPr>
      <w:r>
        <w:rPr>
          <w:rFonts w:ascii="Arial" w:cs="Arial" w:eastAsia="Arial" w:hAnsi="Arial"/>
          <w:b/>
          <w:bCs/>
          <w:color w:val="212121"/>
          <w:sz w:val="24"/>
          <w:szCs w:val="24"/>
        </w:rPr>
        <w:t xml:space="preserve">Availability of data and materials</w:t>
      </w:r>
    </w:p>
    <w:p>
      <w:pPr>
        <w:spacing w:after="80" w:before="60" w:line="360" w:lineRule="auto"/>
        <w:jc w:val="both"/>
      </w:pPr>
      <w:r>
        <w:rPr>
          <w:rFonts w:ascii="Arial" w:cs="Arial" w:eastAsia="Arial" w:hAnsi="Arial"/>
          <w:color w:val="212121"/>
          <w:sz w:val="22"/>
          <w:szCs w:val="22"/>
        </w:rPr>
        <w:t xml:space="preserve">All source code is available at </w:t>
      </w:r>
      <w:hyperlink w:history="1" r:id="rId-uvriopfobze6gbhe6_of">
        <w:r>
          <w:rPr>
            <w:rFonts w:ascii="Arial" w:cs="Arial" w:eastAsia="Arial" w:hAnsi="Arial"/>
            <w:color w:val="1565C0"/>
            <w:sz w:val="22"/>
            <w:szCs w:val="22"/>
            <w:u w:val="single"/>
          </w:rPr>
          <w:t xml:space="preserve">https://github.com/rubithedev/smiles-render-web</w:t>
        </w:r>
      </w:hyperlink>
      <w:r>
        <w:rPr>
          <w:rFonts w:ascii="Arial" w:cs="Arial" w:eastAsia="Arial" w:hAnsi="Arial"/>
          <w:color w:val="212121"/>
          <w:sz w:val="22"/>
          <w:szCs w:val="22"/>
        </w:rPr>
        <w:t xml:space="preserve"> under the MIT license. No datasets were generated during the current study.</w:t>
      </w:r>
    </w:p>
    <w:p>
      <w:pPr>
        <w:pStyle w:val="Heading2"/>
        <w:spacing w:after="80" w:before="260"/>
      </w:pPr>
      <w:r>
        <w:rPr>
          <w:rFonts w:ascii="Arial" w:cs="Arial" w:eastAsia="Arial" w:hAnsi="Arial"/>
          <w:b/>
          <w:bCs/>
          <w:color w:val="212121"/>
          <w:sz w:val="24"/>
          <w:szCs w:val="24"/>
        </w:rPr>
        <w:t xml:space="preserve">Competing interests</w:t>
      </w:r>
    </w:p>
    <w:p>
      <w:pPr>
        <w:spacing w:after="80" w:before="60" w:line="360" w:lineRule="auto"/>
        <w:jc w:val="both"/>
      </w:pPr>
      <w:r>
        <w:rPr>
          <w:rFonts w:ascii="Arial" w:cs="Arial" w:eastAsia="Arial" w:hAnsi="Arial"/>
          <w:color w:val="212121"/>
          <w:sz w:val="22"/>
          <w:szCs w:val="22"/>
        </w:rPr>
        <w:t xml:space="preserve">The authors declare that they have no competing interests.</w:t>
      </w:r>
    </w:p>
    <w:p>
      <w:pPr>
        <w:pStyle w:val="Heading2"/>
        <w:spacing w:after="80" w:before="260"/>
      </w:pPr>
      <w:r>
        <w:rPr>
          <w:rFonts w:ascii="Arial" w:cs="Arial" w:eastAsia="Arial" w:hAnsi="Arial"/>
          <w:b/>
          <w:bCs/>
          <w:color w:val="212121"/>
          <w:sz w:val="24"/>
          <w:szCs w:val="24"/>
        </w:rPr>
        <w:t xml:space="preserve">Funding</w:t>
      </w:r>
    </w:p>
    <w:p>
      <w:pPr>
        <w:spacing w:after="80" w:before="60" w:line="360" w:lineRule="auto"/>
        <w:jc w:val="both"/>
      </w:pPr>
      <w:r>
        <w:rPr>
          <w:rFonts w:ascii="Arial" w:cs="Arial" w:eastAsia="Arial" w:hAnsi="Arial"/>
          <w:color w:val="212121"/>
          <w:sz w:val="22"/>
          <w:szCs w:val="22"/>
        </w:rPr>
        <w:t xml:space="preserve">[To be completed by the authors]</w:t>
      </w:r>
    </w:p>
    <w:p>
      <w:pPr>
        <w:pStyle w:val="Heading2"/>
        <w:spacing w:after="80" w:before="260"/>
      </w:pPr>
      <w:r>
        <w:rPr>
          <w:rFonts w:ascii="Arial" w:cs="Arial" w:eastAsia="Arial" w:hAnsi="Arial"/>
          <w:b/>
          <w:bCs/>
          <w:color w:val="212121"/>
          <w:sz w:val="24"/>
          <w:szCs w:val="24"/>
        </w:rPr>
        <w:t xml:space="preserve">Authors' contributions</w:t>
      </w:r>
    </w:p>
    <w:p>
      <w:pPr>
        <w:spacing w:after="80" w:before="60" w:line="360" w:lineRule="auto"/>
        <w:jc w:val="both"/>
      </w:pPr>
      <w:r>
        <w:rPr>
          <w:rFonts w:ascii="Arial" w:cs="Arial" w:eastAsia="Arial" w:hAnsi="Arial"/>
          <w:color w:val="212121"/>
          <w:sz w:val="22"/>
          <w:szCs w:val="22"/>
        </w:rPr>
        <w:t xml:space="preserve">[To be completed by the authors]</w:t>
      </w:r>
    </w:p>
    <w:p>
      <w:pPr>
        <w:pStyle w:val="Heading2"/>
        <w:spacing w:after="80" w:before="260"/>
      </w:pPr>
      <w:r>
        <w:rPr>
          <w:rFonts w:ascii="Arial" w:cs="Arial" w:eastAsia="Arial" w:hAnsi="Arial"/>
          <w:b/>
          <w:bCs/>
          <w:color w:val="212121"/>
          <w:sz w:val="24"/>
          <w:szCs w:val="24"/>
        </w:rPr>
        <w:t xml:space="preserve">Acknowledgements</w:t>
      </w:r>
    </w:p>
    <w:p>
      <w:pPr>
        <w:spacing w:after="80" w:before="60" w:line="360" w:lineRule="auto"/>
        <w:jc w:val="both"/>
      </w:pPr>
      <w:r>
        <w:rPr>
          <w:rFonts w:ascii="Arial" w:cs="Arial" w:eastAsia="Arial" w:hAnsi="Arial"/>
          <w:color w:val="212121"/>
          <w:sz w:val="22"/>
          <w:szCs w:val="22"/>
        </w:rPr>
        <w:t xml:space="preserve">The authors acknowledge the developers and maintainers of StopTox, SwissADME, StopLight, pkCSM, and ADMETlab 3.0 for providing the freely accessible web services that form the predictive backbone of this platform. PubChem data were accessed via the PUG REST API provided by the National Center for Biotechnology Information (NCBI).</w:t>
      </w:r>
    </w:p>
    <w:p>
      <w:pPr>
        <w:spacing w:after="100" w:before="0"/>
      </w:pPr>
    </w:p>
    <w:p>
      <w:pPr>
        <w:pStyle w:val="Heading1"/>
        <w:spacing w:after="120" w:before="340"/>
      </w:pPr>
      <w:r>
        <w:rPr>
          <w:rFonts w:ascii="Arial" w:cs="Arial" w:eastAsia="Arial" w:hAnsi="Arial"/>
          <w:b/>
          <w:bCs/>
          <w:color w:val="1565C0"/>
          <w:sz w:val="28"/>
          <w:szCs w:val="28"/>
        </w:rPr>
        <w:t xml:space="preserve">References</w:t>
      </w:r>
    </w:p>
    <w:p>
      <w:pPr>
        <w:spacing w:after="40" w:before="0"/>
      </w:pPr>
    </w:p>
    <w:p>
      <w:pPr>
        <w:spacing w:after="40" w:before="40" w:line="320" w:lineRule="auto"/>
        <w:ind w:left="360" w:hanging="360"/>
      </w:pPr>
      <w:r>
        <w:rPr>
          <w:rFonts w:ascii="Arial" w:cs="Arial" w:eastAsia="Arial" w:hAnsi="Arial"/>
          <w:b/>
          <w:bCs/>
          <w:color w:val="1565C0"/>
          <w:sz w:val="20"/>
          <w:szCs w:val="20"/>
        </w:rPr>
        <w:t xml:space="preserve">1. </w:t>
      </w:r>
      <w:r>
        <w:rPr>
          <w:rFonts w:ascii="Arial" w:cs="Arial" w:eastAsia="Arial" w:hAnsi="Arial"/>
          <w:color w:val="212121"/>
          <w:sz w:val="20"/>
          <w:szCs w:val="20"/>
        </w:rPr>
        <w:t xml:space="preserve">DiMasi JA, Grabowski HG, Hansen RW. Innovation in the pharmaceutical industry: new estimates of R&amp;D costs. J Health Econ. 2016;47:20-33. doi:10.1016/j.jhealeco.2016.01.012</w:t>
      </w:r>
    </w:p>
    <w:p>
      <w:pPr>
        <w:spacing w:after="40" w:before="40" w:line="320" w:lineRule="auto"/>
        <w:ind w:left="360" w:hanging="360"/>
      </w:pPr>
      <w:r>
        <w:rPr>
          <w:rFonts w:ascii="Arial" w:cs="Arial" w:eastAsia="Arial" w:hAnsi="Arial"/>
          <w:b/>
          <w:bCs/>
          <w:color w:val="1565C0"/>
          <w:sz w:val="20"/>
          <w:szCs w:val="20"/>
        </w:rPr>
        <w:t xml:space="preserve">2. </w:t>
      </w:r>
      <w:r>
        <w:rPr>
          <w:rFonts w:ascii="Arial" w:cs="Arial" w:eastAsia="Arial" w:hAnsi="Arial"/>
          <w:color w:val="212121"/>
          <w:sz w:val="20"/>
          <w:szCs w:val="20"/>
        </w:rPr>
        <w:t xml:space="preserve">Kola I, Landis J. Can the pharmaceutical industry reduce attrition rates? Nat Rev Drug Discov. 2004;3(8):711-715. doi:10.1038/nrd1470</w:t>
      </w:r>
    </w:p>
    <w:p>
      <w:pPr>
        <w:spacing w:after="40" w:before="40" w:line="320" w:lineRule="auto"/>
        <w:ind w:left="360" w:hanging="360"/>
      </w:pPr>
      <w:r>
        <w:rPr>
          <w:rFonts w:ascii="Arial" w:cs="Arial" w:eastAsia="Arial" w:hAnsi="Arial"/>
          <w:b/>
          <w:bCs/>
          <w:color w:val="1565C0"/>
          <w:sz w:val="20"/>
          <w:szCs w:val="20"/>
        </w:rPr>
        <w:t xml:space="preserve">3. </w:t>
      </w:r>
      <w:r>
        <w:rPr>
          <w:rFonts w:ascii="Arial" w:cs="Arial" w:eastAsia="Arial" w:hAnsi="Arial"/>
          <w:color w:val="212121"/>
          <w:sz w:val="20"/>
          <w:szCs w:val="20"/>
        </w:rPr>
        <w:t xml:space="preserve">Borba JVB, Alves VM, Braga RC, et al. STopTox: an in silico alternative to animal testing for acute systemic and topical toxicity. Environ Health Perspect. 2022;130(2):27012. doi:10.1289/EHP9341</w:t>
      </w:r>
    </w:p>
    <w:p>
      <w:pPr>
        <w:spacing w:after="40" w:before="40" w:line="320" w:lineRule="auto"/>
        <w:ind w:left="360" w:hanging="360"/>
      </w:pPr>
      <w:r>
        <w:rPr>
          <w:rFonts w:ascii="Arial" w:cs="Arial" w:eastAsia="Arial" w:hAnsi="Arial"/>
          <w:b/>
          <w:bCs/>
          <w:color w:val="1565C0"/>
          <w:sz w:val="20"/>
          <w:szCs w:val="20"/>
        </w:rPr>
        <w:t xml:space="preserve">4. </w:t>
      </w:r>
      <w:r>
        <w:rPr>
          <w:rFonts w:ascii="Arial" w:cs="Arial" w:eastAsia="Arial" w:hAnsi="Arial"/>
          <w:color w:val="212121"/>
          <w:sz w:val="20"/>
          <w:szCs w:val="20"/>
        </w:rPr>
        <w:t xml:space="preserve">Daina A, Michielin O, Zoete V. SwissADME: a free web tool to evaluate pharmacokinetics, drug-likeness and medicinal chemistry friendliness of small molecules. Sci Rep. 2017;7:42717. doi:10.1038/srep42717</w:t>
      </w:r>
    </w:p>
    <w:p>
      <w:pPr>
        <w:spacing w:after="40" w:before="40" w:line="320" w:lineRule="auto"/>
        <w:ind w:left="360" w:hanging="360"/>
      </w:pPr>
      <w:r>
        <w:rPr>
          <w:rFonts w:ascii="Arial" w:cs="Arial" w:eastAsia="Arial" w:hAnsi="Arial"/>
          <w:b/>
          <w:bCs/>
          <w:color w:val="1565C0"/>
          <w:sz w:val="20"/>
          <w:szCs w:val="20"/>
        </w:rPr>
        <w:t xml:space="preserve">5. </w:t>
      </w:r>
      <w:r>
        <w:rPr>
          <w:rFonts w:ascii="Arial" w:cs="Arial" w:eastAsia="Arial" w:hAnsi="Arial"/>
          <w:color w:val="212121"/>
          <w:sz w:val="20"/>
          <w:szCs w:val="20"/>
        </w:rPr>
        <w:t xml:space="preserve">Pires DEV, Blundell TL, Ascher DB. pkCSM: predicting small-molecule pharmacokinetic and toxicity properties using graph-based signatures. J Med Chem. 2015;58(9):4066-4072. doi:10.1021/acs.jmedchem.5b00104</w:t>
      </w:r>
    </w:p>
    <w:p>
      <w:pPr>
        <w:spacing w:after="40" w:before="40" w:line="320" w:lineRule="auto"/>
        <w:ind w:left="360" w:hanging="360"/>
      </w:pPr>
      <w:r>
        <w:rPr>
          <w:rFonts w:ascii="Arial" w:cs="Arial" w:eastAsia="Arial" w:hAnsi="Arial"/>
          <w:b/>
          <w:bCs/>
          <w:color w:val="1565C0"/>
          <w:sz w:val="20"/>
          <w:szCs w:val="20"/>
        </w:rPr>
        <w:t xml:space="preserve">6. </w:t>
      </w:r>
      <w:r>
        <w:rPr>
          <w:rFonts w:ascii="Arial" w:cs="Arial" w:eastAsia="Arial" w:hAnsi="Arial"/>
          <w:color w:val="212121"/>
          <w:sz w:val="20"/>
          <w:szCs w:val="20"/>
        </w:rPr>
        <w:t xml:space="preserve">Fu L, Shi S, Yi J, et al. ADMETlab 3.0: an updated comprehensive online ADMET prediction platform enhanced with broader coverage, improved performance, API functionality and decision support. Nucleic Acids Res. 2024;52(W1):W422-W431. doi:10.1093/nar/gkae236</w:t>
      </w:r>
    </w:p>
    <w:p>
      <w:pPr>
        <w:spacing w:after="40" w:before="40" w:line="320" w:lineRule="auto"/>
        <w:ind w:left="360" w:hanging="360"/>
      </w:pPr>
      <w:r>
        <w:rPr>
          <w:rFonts w:ascii="Arial" w:cs="Arial" w:eastAsia="Arial" w:hAnsi="Arial"/>
          <w:b/>
          <w:bCs/>
          <w:color w:val="1565C0"/>
          <w:sz w:val="20"/>
          <w:szCs w:val="20"/>
        </w:rPr>
        <w:t xml:space="preserve">7. </w:t>
      </w:r>
      <w:r>
        <w:rPr>
          <w:rFonts w:ascii="Arial" w:cs="Arial" w:eastAsia="Arial" w:hAnsi="Arial"/>
          <w:color w:val="212121"/>
          <w:sz w:val="20"/>
          <w:szCs w:val="20"/>
        </w:rPr>
        <w:t xml:space="preserve">Swanson K, Walther P, Leitz J, et al. ADMET-AI: a machine learning ADMET platform for evaluation of large-scale chemical libraries. Bioinformatics. 2024;40(7):btae416. doi:10.1093/bioinformatics/btae416</w:t>
      </w:r>
    </w:p>
    <w:p>
      <w:pPr>
        <w:spacing w:after="40" w:before="40" w:line="320" w:lineRule="auto"/>
        <w:ind w:left="360" w:hanging="360"/>
      </w:pPr>
      <w:r>
        <w:rPr>
          <w:rFonts w:ascii="Arial" w:cs="Arial" w:eastAsia="Arial" w:hAnsi="Arial"/>
          <w:b/>
          <w:bCs/>
          <w:color w:val="1565C0"/>
          <w:sz w:val="20"/>
          <w:szCs w:val="20"/>
        </w:rPr>
        <w:t xml:space="preserve">8. </w:t>
      </w:r>
      <w:r>
        <w:rPr>
          <w:rFonts w:ascii="Arial" w:cs="Arial" w:eastAsia="Arial" w:hAnsi="Arial"/>
          <w:color w:val="212121"/>
          <w:sz w:val="20"/>
          <w:szCs w:val="20"/>
        </w:rPr>
        <w:t xml:space="preserve">Simulations Plus. ADMET Predictor: AI/ML-powered ADMET property predictions. https://www.simulations-plus.com/software/admet-predictor/. Accessed 3 Apr 2026.</w:t>
      </w:r>
    </w:p>
    <w:p>
      <w:pPr>
        <w:spacing w:after="40" w:before="40" w:line="320" w:lineRule="auto"/>
        <w:ind w:left="360" w:hanging="360"/>
      </w:pPr>
      <w:r>
        <w:rPr>
          <w:rFonts w:ascii="Arial" w:cs="Arial" w:eastAsia="Arial" w:hAnsi="Arial"/>
          <w:b/>
          <w:bCs/>
          <w:color w:val="1565C0"/>
          <w:sz w:val="20"/>
          <w:szCs w:val="20"/>
        </w:rPr>
        <w:t xml:space="preserve">9. </w:t>
      </w:r>
      <w:r>
        <w:rPr>
          <w:rFonts w:ascii="Arial" w:cs="Arial" w:eastAsia="Arial" w:hAnsi="Arial"/>
          <w:color w:val="212121"/>
          <w:sz w:val="20"/>
          <w:szCs w:val="20"/>
        </w:rPr>
        <w:t xml:space="preserve">Weininger D. SMILES, a chemical language and information system. 1. Introduction to methodology and encoding rules. J Chem Inf Comput Sci. 1988;28(1):31-36. doi:10.1021/ci00057a005</w:t>
      </w:r>
    </w:p>
    <w:p>
      <w:pPr>
        <w:spacing w:after="40" w:before="40" w:line="320" w:lineRule="auto"/>
        <w:ind w:left="360" w:hanging="360"/>
      </w:pPr>
      <w:r>
        <w:rPr>
          <w:rFonts w:ascii="Arial" w:cs="Arial" w:eastAsia="Arial" w:hAnsi="Arial"/>
          <w:b/>
          <w:bCs/>
          <w:color w:val="1565C0"/>
          <w:sz w:val="20"/>
          <w:szCs w:val="20"/>
        </w:rPr>
        <w:t xml:space="preserve">10. </w:t>
      </w:r>
      <w:r>
        <w:rPr>
          <w:rFonts w:ascii="Arial" w:cs="Arial" w:eastAsia="Arial" w:hAnsi="Arial"/>
          <w:color w:val="212121"/>
          <w:sz w:val="20"/>
          <w:szCs w:val="20"/>
        </w:rPr>
        <w:t xml:space="preserve">Lipinski CA, Lombardo F, Dominy BW, Feeney PJ. Experimental and computational approaches to estimate solubility and permeability in drug discovery and development settings. Adv Drug Deliv Rev. 2001;46(1-3):3-26. doi:10.1016/S0169-409X(00)00129-0</w:t>
      </w:r>
    </w:p>
    <w:p>
      <w:pPr>
        <w:spacing w:after="40" w:before="40" w:line="320" w:lineRule="auto"/>
        <w:ind w:left="360" w:hanging="360"/>
      </w:pPr>
      <w:r>
        <w:rPr>
          <w:rFonts w:ascii="Arial" w:cs="Arial" w:eastAsia="Arial" w:hAnsi="Arial"/>
          <w:b/>
          <w:bCs/>
          <w:color w:val="1565C0"/>
          <w:sz w:val="20"/>
          <w:szCs w:val="20"/>
        </w:rPr>
        <w:t xml:space="preserve">11. </w:t>
      </w:r>
      <w:r>
        <w:rPr>
          <w:rFonts w:ascii="Arial" w:cs="Arial" w:eastAsia="Arial" w:hAnsi="Arial"/>
          <w:color w:val="212121"/>
          <w:sz w:val="20"/>
          <w:szCs w:val="20"/>
        </w:rPr>
        <w:t xml:space="preserve">Xiong G, Wu Z, Yi J, et al. ADMETlab 2.0: an integrated online platform for accurate and comprehensive predictions of ADMET properties. Nucleic Acids Res. 2021;49(W1):W5-W14. doi:10.1093/nar/gkab255</w:t>
      </w:r>
    </w:p>
    <w:p>
      <w:pPr>
        <w:spacing w:after="40" w:before="40" w:line="320" w:lineRule="auto"/>
        <w:ind w:left="360" w:hanging="360"/>
      </w:pPr>
      <w:r>
        <w:rPr>
          <w:rFonts w:ascii="Arial" w:cs="Arial" w:eastAsia="Arial" w:hAnsi="Arial"/>
          <w:b/>
          <w:bCs/>
          <w:color w:val="1565C0"/>
          <w:sz w:val="20"/>
          <w:szCs w:val="20"/>
        </w:rPr>
        <w:t xml:space="preserve">12. </w:t>
      </w:r>
      <w:r>
        <w:rPr>
          <w:rFonts w:ascii="Arial" w:cs="Arial" w:eastAsia="Arial" w:hAnsi="Arial"/>
          <w:color w:val="212121"/>
          <w:sz w:val="20"/>
          <w:szCs w:val="20"/>
        </w:rPr>
        <w:t xml:space="preserve">Veber DF, Johnson SR, Cheng H-Y, et al. Molecular properties that influence the oral bioavailability of drug candidates. J Med Chem. 2002;45(12):2615-2623. doi:10.1021/jm020017n</w:t>
      </w:r>
    </w:p>
    <w:p>
      <w:pPr>
        <w:spacing w:after="40" w:before="40" w:line="320" w:lineRule="auto"/>
        <w:ind w:left="360" w:hanging="360"/>
      </w:pPr>
      <w:r>
        <w:rPr>
          <w:rFonts w:ascii="Arial" w:cs="Arial" w:eastAsia="Arial" w:hAnsi="Arial"/>
          <w:b/>
          <w:bCs/>
          <w:color w:val="1565C0"/>
          <w:sz w:val="20"/>
          <w:szCs w:val="20"/>
        </w:rPr>
        <w:t xml:space="preserve">13. </w:t>
      </w:r>
      <w:r>
        <w:rPr>
          <w:rFonts w:ascii="Arial" w:cs="Arial" w:eastAsia="Arial" w:hAnsi="Arial"/>
          <w:color w:val="212121"/>
          <w:sz w:val="20"/>
          <w:szCs w:val="20"/>
        </w:rPr>
        <w:t xml:space="preserve">RDKit: Open-source cheminformatics. https://www.rdkit.org/. Accessed 3 Apr 2026.</w:t>
      </w:r>
    </w:p>
    <w:p>
      <w:pPr>
        <w:spacing w:after="40" w:before="40" w:line="320" w:lineRule="auto"/>
        <w:ind w:left="360" w:hanging="360"/>
      </w:pPr>
      <w:r>
        <w:rPr>
          <w:rFonts w:ascii="Arial" w:cs="Arial" w:eastAsia="Arial" w:hAnsi="Arial"/>
          <w:b/>
          <w:bCs/>
          <w:color w:val="1565C0"/>
          <w:sz w:val="20"/>
          <w:szCs w:val="20"/>
        </w:rPr>
        <w:t xml:space="preserve">14. </w:t>
      </w:r>
      <w:r>
        <w:rPr>
          <w:rFonts w:ascii="Arial" w:cs="Arial" w:eastAsia="Arial" w:hAnsi="Arial"/>
          <w:color w:val="212121"/>
          <w:sz w:val="20"/>
          <w:szCs w:val="20"/>
        </w:rPr>
        <w:t xml:space="preserve">Willighagen EL, Mayfield JW, Alvarsson J, et al. The Chemistry Development Kit (CDK) v2.0: atom typing, depiction, molecular formulas, and substructure searching. J Cheminform. 2017;9:33. doi:10.1186/s13321-017-0220-4</w:t>
      </w:r>
    </w:p>
    <w:p>
      <w:pPr>
        <w:spacing w:after="100" w:before="0"/>
      </w:pPr>
    </w:p>
    <w:p>
      <w:pPr>
        <w:pStyle w:val="Heading1"/>
        <w:spacing w:after="120" w:before="340"/>
      </w:pPr>
      <w:r>
        <w:rPr>
          <w:rFonts w:ascii="Arial" w:cs="Arial" w:eastAsia="Arial" w:hAnsi="Arial"/>
          <w:b/>
          <w:bCs/>
          <w:color w:val="1565C0"/>
          <w:sz w:val="28"/>
          <w:szCs w:val="28"/>
        </w:rPr>
        <w:t xml:space="preserve">Figure Legends</w:t>
      </w:r>
    </w:p>
    <w:p>
      <w:pPr>
        <w:spacing w:after="60" w:before="60"/>
      </w:pPr>
      <w:r>
        <w:rPr>
          <w:rFonts w:ascii="Arial" w:cs="Arial" w:eastAsia="Arial" w:hAnsi="Arial"/>
          <w:b/>
          <w:bCs/>
          <w:color w:val="212121"/>
          <w:sz w:val="22"/>
          <w:szCs w:val="22"/>
        </w:rPr>
        <w:t xml:space="preserve">Figure 1. </w:t>
      </w:r>
      <w:r>
        <w:rPr>
          <w:rFonts w:ascii="Arial" w:cs="Arial" w:eastAsia="Arial" w:hAnsi="Arial"/>
          <w:color w:val="212121"/>
          <w:sz w:val="22"/>
          <w:szCs w:val="22"/>
        </w:rPr>
        <w:t xml:space="preserve">SmileRender system architecture showing the three-tier design: React frontend, Flask reverse-proxy backend with five prediction endpoints, and external ADMET services. The /export/excel endpoint consolidates all results into a standardized multi-sheet workbook.</w:t>
      </w:r>
    </w:p>
    <w:p>
      <w:pPr>
        <w:spacing w:after="60" w:before="60"/>
      </w:pPr>
      <w:r>
        <w:rPr>
          <w:rFonts w:ascii="Arial" w:cs="Arial" w:eastAsia="Arial" w:hAnsi="Arial"/>
          <w:b/>
          <w:bCs/>
          <w:color w:val="212121"/>
          <w:sz w:val="22"/>
          <w:szCs w:val="22"/>
        </w:rPr>
        <w:t xml:space="preserve">Figure 2. </w:t>
      </w:r>
      <w:r>
        <w:rPr>
          <w:rFonts w:ascii="Arial" w:cs="Arial" w:eastAsia="Arial" w:hAnsi="Arial"/>
          <w:color w:val="212121"/>
          <w:sz w:val="22"/>
          <w:szCs w:val="22"/>
        </w:rPr>
        <w:t xml:space="preserve">SmileRender hub interface. (A) SMILES to 2D Molecule — batch 2D image generation. (B) CSV Batch Converter — CSV upload with column mapping. (C) Multi-Tool ADMET Profiling — five-tool parallel prediction with real-time progress tracking and Excel export.</w:t>
      </w:r>
    </w:p>
    <w:p>
      <w:pPr>
        <w:spacing w:after="60" w:before="60"/>
      </w:pPr>
      <w:r>
        <w:rPr>
          <w:rFonts w:ascii="Arial" w:cs="Arial" w:eastAsia="Arial" w:hAnsi="Arial"/>
          <w:b/>
          <w:bCs/>
          <w:color w:val="212121"/>
          <w:sz w:val="22"/>
          <w:szCs w:val="22"/>
        </w:rPr>
        <w:t xml:space="preserve">Figure 3. </w:t>
      </w:r>
      <w:r>
        <w:rPr>
          <w:rFonts w:ascii="Arial" w:cs="Arial" w:eastAsia="Arial" w:hAnsi="Arial"/>
          <w:color w:val="212121"/>
          <w:sz w:val="22"/>
          <w:szCs w:val="22"/>
        </w:rPr>
        <w:t xml:space="preserve">Example consolidated Excel export generated by SmileRender for a three-compound library, showing (A) the pivot comparison sheet and (B) the detailed data sheet.</w:t>
      </w:r>
    </w:p>
    <w:p>
      <w:pPr>
        <w:spacing w:after="100" w:before="0"/>
      </w:pPr>
    </w:p>
    <w:p>
      <w:pPr>
        <w:pStyle w:val="Heading1"/>
        <w:spacing w:after="120" w:before="340"/>
      </w:pPr>
      <w:r>
        <w:rPr>
          <w:rFonts w:ascii="Arial" w:cs="Arial" w:eastAsia="Arial" w:hAnsi="Arial"/>
          <w:b/>
          <w:bCs/>
          <w:color w:val="1565C0"/>
          <w:sz w:val="28"/>
          <w:szCs w:val="28"/>
        </w:rPr>
        <w:t xml:space="preserve">Additional Files</w:t>
      </w:r>
    </w:p>
    <w:p>
      <w:pPr>
        <w:pStyle w:val="ListParagraph"/>
        <w:numPr>
          <w:ilvl w:val="0"/>
          <w:numId w:val="2"/>
        </w:numPr>
        <w:spacing w:after="40" w:before="40" w:line="320" w:lineRule="auto"/>
      </w:pPr>
      <w:r>
        <w:rPr>
          <w:rFonts w:ascii="Arial" w:cs="Arial" w:eastAsia="Arial" w:hAnsi="Arial"/>
          <w:color w:val="212121"/>
          <w:sz w:val="22"/>
          <w:szCs w:val="22"/>
        </w:rPr>
        <w:t xml:space="preserve">Additional file 1: Supplementary Table S1 — Complete list of all ADMET endpoints accessible through SmileRender, organized by tool and category.</w:t>
      </w:r>
    </w:p>
    <w:p>
      <w:pPr>
        <w:pStyle w:val="ListParagraph"/>
        <w:numPr>
          <w:ilvl w:val="0"/>
          <w:numId w:val="2"/>
        </w:numPr>
        <w:spacing w:after="40" w:before="40" w:line="320" w:lineRule="auto"/>
      </w:pPr>
      <w:r>
        <w:rPr>
          <w:rFonts w:ascii="Arial" w:cs="Arial" w:eastAsia="Arial" w:hAnsi="Arial"/>
          <w:color w:val="212121"/>
          <w:sz w:val="22"/>
          <w:szCs w:val="22"/>
        </w:rPr>
        <w:t xml:space="preserve">Additional file 2: Supplementary Figure S1 — Screenshot gallery of the SmileRender interface showing the three operational modules.</w:t>
      </w:r>
    </w:p>
    <w:p>
      <w:pPr>
        <w:pStyle w:val="ListParagraph"/>
        <w:numPr>
          <w:ilvl w:val="0"/>
          <w:numId w:val="2"/>
        </w:numPr>
        <w:spacing w:after="40" w:before="40" w:line="320" w:lineRule="auto"/>
      </w:pPr>
      <w:r>
        <w:rPr>
          <w:rFonts w:ascii="Arial" w:cs="Arial" w:eastAsia="Arial" w:hAnsi="Arial"/>
          <w:color w:val="212121"/>
          <w:sz w:val="22"/>
          <w:szCs w:val="22"/>
        </w:rPr>
        <w:t xml:space="preserve">Additional file 3: Example Excel output file generated by SmileRender for a three-compound library (ethanol, benzene, aspirin).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8"/>
        <w:szCs w:val="18"/>
      </w:rPr>
      <w:t xml:space="preserve">Grechuk &amp; Shiraishi | SmileRender | </w:t>
    </w:r>
    <w:r>
      <w:rPr>
        <w:rFonts w:ascii="Arial" w:cs="Arial" w:eastAsia="Arial" w:hAnsi="Arial"/>
        <w:i/>
        <w:iCs/>
        <w:color w:val="5E5E5E"/>
        <w:sz w:val="18"/>
        <w:szCs w:val="18"/>
      </w:rPr>
      <w:t xml:space="preserve">Journal of Cheminformatics</w:t>
    </w:r>
    <w:r>
      <w:rPr>
        <w:rFonts w:ascii="Arial" w:cs="Arial" w:eastAsia="Arial" w:hAnsi="Arial"/>
        <w:color w:val="5E5E5E"/>
        <w:sz w:val="18"/>
        <w:szCs w:val="18"/>
      </w:rPr>
      <w:t xml:space="preserve"> | Page </w:t>
    </w:r>
    <w:r>
      <w:rPr>
        <w:rFonts w:ascii="Arial" w:cs="Arial" w:eastAsia="Arial" w:hAnsi="Arial"/>
        <w:color w:val="5E5E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565C0"/>
      <w:sz w:val="28"/>
      <w:szCs w:val="28"/>
    </w:rPr>
  </w:style>
  <w:style w:type="paragraph" w:styleId="Heading2">
    <w:name w:val="Heading 2"/>
    <w:basedOn w:val="Normal"/>
    <w:next w:val="Normal"/>
    <w:qFormat/>
    <w:pPr>
      <w:spacing w:after="80" w:before="260"/>
      <w:outlineLvl w:val="1"/>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fjdkl7nvlzijirwzsjum" Type="http://schemas.openxmlformats.org/officeDocument/2006/relationships/hyperlink" Target="https://github.com/rubithedev/smiles-render-web" TargetMode="External"/><Relationship Id="rId6k-okak2wr41oufflmuyq" Type="http://schemas.openxmlformats.org/officeDocument/2006/relationships/hyperlink" Target="https://smiles-render.onrender.com" TargetMode="External"/><Relationship Id="rId-uvriopfobze6gbhe6_of" Type="http://schemas.openxmlformats.org/officeDocument/2006/relationships/hyperlink" Target="https://github.com/rubithedev/smiles-render-web"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2026-04-05T10:40:46.221Z</dcterms:created>
  <dcterms:modified xsi:type="dcterms:W3CDTF">2026-04-05T10:40:46.222Z</dcterms:modified>
</cp:coreProperties>
</file>

<file path=docProps/custom.xml><?xml version="1.0" encoding="utf-8"?>
<Properties xmlns="http://schemas.openxmlformats.org/officeDocument/2006/custom-properties" xmlns:vt="http://schemas.openxmlformats.org/officeDocument/2006/docPropsVTypes"/>
</file>