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Chameleon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Intercalar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Mestrado Integrado em Engenharia Informática e Computação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Programação em Lógica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Chameleon_3: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Cristóvão Alexandre Coutinho Silva - 201109252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Vasco Marques Lopes Teixeira - 201802112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Faculdade de Engenharia da Universidade do Porto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 Roberto Frias, sn, 4200-465 Porto, Portugal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de Outubro de 2019</w:t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  <w:tab/>
        <w:tab/>
        <w:t xml:space="preserve">O Jogo Chameleon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4714875</wp:posOffset>
            </wp:positionH>
            <wp:positionV relativeFrom="paragraph">
              <wp:posOffset>285750</wp:posOffset>
            </wp:positionV>
            <wp:extent cx="1252538" cy="1603248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603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Chameleon é um jogo de tabuleiro inventado por Mitsuo Yamamoto e publicado por uma empresa japonesa intitulada Logy Games, do qual o primeiro é fundador, no ano de 2019.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Este é um jogo para dois jogadores, jogado num tabuleiro 5x5 e em que cada movimento de uma determinada peça é alterado baseado na cor do quadrado onde esteja.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O Chameleon é um jogo ao estilo do xadrez mas onde o padrão </w:t>
        <w:tab/>
        <w:t xml:space="preserve">do tabuleiro (preto e branco) não determina apenas o início do jogo. As suas peças têm uma cor central e a sua própria cor. Esta última altera a forma como cada peça se pode mexer consoante o quadrado onde esteja. Portanto, e como um camaleão(chameleon), cada peça altera o seu comportamento mediante o que se encontra à sua volta, criando um jogo dinâmico.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As peças só se podem mover um espaço em qualquer uma das oito direções, como o Rei faz num jogo de xadrez. Contudo, e dependendo de onde se encontram, as peças podem adquirir capacidade de se moverem de uma forma diferente, podendo mover-se como o Bispo se estiverem num quadrado da mesma cor ou como um Cavalo se estiverem num quadrado da cor oposta.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Existem três maneiras de se sair vencedor: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jogador que conseguir capturar todas as peças adversárias ganha o jogo;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jogador que conseguir mover alguma peça sua até à área do adversário, sendo considerado os últimos 5 quadrados, e não for capturado imediatamente, ganha o jogo;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657225</wp:posOffset>
            </wp:positionV>
            <wp:extent cx="2795588" cy="182038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820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um jogador só tiver uma peça no tabuleiro mas conseguir movê-la até à área do adversário, ganha automaticamente sem ter que esperar pelo turno seguinte do adversário;</w:t>
      </w:r>
    </w:p>
    <w:p w:rsidR="00000000" w:rsidDel="00000000" w:rsidP="00000000" w:rsidRDefault="00000000" w:rsidRPr="00000000" w14:paraId="00000027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6480" w:firstLine="0"/>
        <w:jc w:val="left"/>
        <w:rPr/>
      </w:pPr>
      <w:r w:rsidDel="00000000" w:rsidR="00000000" w:rsidRPr="00000000">
        <w:rPr>
          <w:rtl w:val="0"/>
        </w:rPr>
        <w:t xml:space="preserve">Figura 1 - Setup Inicial</w:t>
      </w:r>
    </w:p>
    <w:p w:rsidR="00000000" w:rsidDel="00000000" w:rsidP="00000000" w:rsidRDefault="00000000" w:rsidRPr="00000000" w14:paraId="0000002B">
      <w:pPr>
        <w:spacing w:line="360" w:lineRule="auto"/>
        <w:ind w:left="64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  <w:tab/>
        <w:t xml:space="preserve">Representação do Estado do Jogo</w:t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representar o estado de jogo é usado uma lista de listas.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vazio será representado pelo número “0” e as peças serão representadas pelos caracteres “A” e “V”, respectivamente as peças azuis e vermelhas, que têm no centro a cor branca. As peças com cor central preta serão representadas pelos caracteres “Ap” e “Vp”.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1200150</wp:posOffset>
            </wp:positionV>
            <wp:extent cx="1443038" cy="115443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154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Figura 2 - Exemplo do estado do jogo na posição inicial</w:t>
      </w:r>
    </w:p>
    <w:p w:rsidR="00000000" w:rsidDel="00000000" w:rsidP="00000000" w:rsidRDefault="00000000" w:rsidRPr="00000000" w14:paraId="00000036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133350</wp:posOffset>
            </wp:positionV>
            <wp:extent cx="1438613" cy="1152525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613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Figura 3 - Exemplo do estado do jogo numa posição intermédia</w:t>
      </w:r>
    </w:p>
    <w:p w:rsidR="00000000" w:rsidDel="00000000" w:rsidP="00000000" w:rsidRDefault="00000000" w:rsidRPr="00000000" w14:paraId="0000003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1690688</wp:posOffset>
            </wp:positionH>
            <wp:positionV relativeFrom="paragraph">
              <wp:posOffset>257175</wp:posOffset>
            </wp:positionV>
            <wp:extent cx="1554521" cy="1281113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521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Figura 4 - Exemplo do estado do jogo numa posição final</w:t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  <w:tab/>
        <w:t xml:space="preserve">Visualização do Tabuleiro</w:t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predicados construídos para se poder visualizar o tabuleiro foram os seguintes: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color w:val="795da3"/>
          <w:sz w:val="24"/>
          <w:szCs w:val="24"/>
          <w:highlight w:val="white"/>
        </w:rPr>
      </w:pPr>
      <w:r w:rsidDel="00000000" w:rsidR="00000000" w:rsidRPr="00000000">
        <w:rPr>
          <w:color w:val="795da3"/>
          <w:sz w:val="24"/>
          <w:szCs w:val="24"/>
          <w:highlight w:val="white"/>
          <w:rtl w:val="0"/>
        </w:rPr>
        <w:t xml:space="preserve">dbDrawBoard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ed6a43"/>
          <w:sz w:val="24"/>
          <w:szCs w:val="24"/>
          <w:highlight w:val="white"/>
          <w:rtl w:val="0"/>
        </w:rPr>
        <w:t xml:space="preserve">Board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795da3"/>
          <w:sz w:val="24"/>
          <w:szCs w:val="24"/>
          <w:highlight w:val="white"/>
          <w:rtl w:val="0"/>
        </w:rPr>
        <w:t xml:space="preserve">dbDrawLine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([</w:t>
      </w:r>
      <w:r w:rsidDel="00000000" w:rsidR="00000000" w:rsidRPr="00000000">
        <w:rPr>
          <w:color w:val="ed6a4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|</w:t>
      </w:r>
      <w:r w:rsidDel="00000000" w:rsidR="00000000" w:rsidRPr="00000000">
        <w:rPr>
          <w:color w:val="ed6a43"/>
          <w:sz w:val="24"/>
          <w:szCs w:val="24"/>
          <w:highlight w:val="white"/>
          <w:rtl w:val="0"/>
        </w:rPr>
        <w:t xml:space="preserve">Xs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], </w:t>
      </w:r>
      <w:r w:rsidDel="00000000" w:rsidR="00000000" w:rsidRPr="00000000">
        <w:rPr>
          <w:color w:val="ed6a43"/>
          <w:sz w:val="24"/>
          <w:szCs w:val="24"/>
          <w:highlight w:val="white"/>
          <w:rtl w:val="0"/>
        </w:rPr>
        <w:t xml:space="preserve">Row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795da3"/>
          <w:sz w:val="24"/>
          <w:szCs w:val="24"/>
          <w:highlight w:val="white"/>
          <w:rtl w:val="0"/>
        </w:rPr>
        <w:t xml:space="preserve">dbDrawCell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([</w:t>
      </w:r>
      <w:r w:rsidDel="00000000" w:rsidR="00000000" w:rsidRPr="00000000">
        <w:rPr>
          <w:color w:val="ed6a4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|</w:t>
      </w:r>
      <w:r w:rsidDel="00000000" w:rsidR="00000000" w:rsidRPr="00000000">
        <w:rPr>
          <w:color w:val="ed6a43"/>
          <w:sz w:val="24"/>
          <w:szCs w:val="24"/>
          <w:highlight w:val="white"/>
          <w:rtl w:val="0"/>
        </w:rPr>
        <w:t xml:space="preserve">Xs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predicado dbDrawBoard começa por escrever as letras de A a E com o espaçamento necessário para identificar cada coluna. De seguida chama o predicado dbDrawLine.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predicado dbDrawLine é responsável por representar as divisões entre cada linha da tabela. Também chama o predicado dbDrawCell entre cada uma das divisões. No final de cada linha ele desenha o número correspondente ao identificador dessa linha.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 predicado dbDrawCell desenha cada célula do tabuleiro, entre os divisores feitos pelo predicado dbDrawLine. Ele acede à lista de listas que representa o tabuleiro e converte a informação em espaços em branco ou peças.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combinação destes predicados resultam numa apresentação do tabuleiro de jogo conforme se pode ver na figura 5, abaixo apresentada.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São também usados predicados iguais mas que contém como parâmetro uma lista vazia, para representar corretamente o fim de cada um dos ciclos de escrita.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1957388</wp:posOffset>
            </wp:positionH>
            <wp:positionV relativeFrom="paragraph">
              <wp:posOffset>733425</wp:posOffset>
            </wp:positionV>
            <wp:extent cx="1814513" cy="1449174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449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Figura 5 - Representação do tabuleiro vazio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