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A76AE" w14:textId="77777777" w:rsidR="00274C5A" w:rsidRDefault="0019427F">
      <w:pPr>
        <w:pStyle w:val="berschrift1"/>
        <w:spacing w:before="360" w:after="120"/>
      </w:pPr>
      <w:r>
        <w:t>3. Architektur im Rechenzentrum</w:t>
      </w:r>
    </w:p>
    <w:p w14:paraId="1A27DF49" w14:textId="77777777" w:rsidR="00274C5A" w:rsidRDefault="0019427F">
      <w:pPr>
        <w:pStyle w:val="berschrift2"/>
        <w:spacing w:before="240" w:after="120"/>
      </w:pPr>
      <w:r>
        <w:t>3.1 Storage-Architektur im Rechenzentrum: Überblick</w:t>
      </w:r>
    </w:p>
    <w:p w14:paraId="06ADA07B" w14:textId="77777777" w:rsidR="00274C5A" w:rsidRDefault="0019427F">
      <w:pPr>
        <w:spacing w:after="120"/>
      </w:pPr>
      <w:r>
        <w:t>Kapitel 2 hat die Grundbausteine von Storage beschrieben: Speicherarten, Anbindungsformen, Protokolle und Kennzahlen. Diese Bausteine existieren im Rechenzentrum aber nicht isoliert. Sie sind Teil einer Gesamtarchitektur, in der Hosts, Netzwerk, Storage-Systeme und Datenpfade zusammenwirken.</w:t>
      </w:r>
    </w:p>
    <w:p w14:paraId="4DF2418F" w14:textId="3F963B4D" w:rsidR="00274C5A" w:rsidRDefault="0019427F">
      <w:pPr>
        <w:spacing w:after="120"/>
      </w:pPr>
      <w:r>
        <w:t xml:space="preserve">Dieses Kapitel zeigt, wie diese Bausteine im </w:t>
      </w:r>
      <w:proofErr w:type="spellStart"/>
      <w:r>
        <w:t>realen</w:t>
      </w:r>
      <w:proofErr w:type="spellEnd"/>
      <w:r>
        <w:t xml:space="preserve"> RZ-</w:t>
      </w:r>
      <w:proofErr w:type="spellStart"/>
      <w:r>
        <w:t>Betrieb</w:t>
      </w:r>
      <w:proofErr w:type="spellEnd"/>
      <w:r>
        <w:t xml:space="preserve"> </w:t>
      </w:r>
      <w:proofErr w:type="spellStart"/>
      <w:r>
        <w:t>angeordnet</w:t>
      </w:r>
      <w:proofErr w:type="spellEnd"/>
      <w:r>
        <w:t xml:space="preserve"> </w:t>
      </w:r>
      <w:proofErr w:type="spellStart"/>
      <w:r>
        <w:t>sind</w:t>
      </w:r>
      <w:proofErr w:type="spellEnd"/>
      <w:r>
        <w:t xml:space="preserve"> und </w:t>
      </w:r>
      <w:proofErr w:type="spellStart"/>
      <w:r>
        <w:t>welche</w:t>
      </w:r>
      <w:proofErr w:type="spellEnd"/>
      <w:r>
        <w:t xml:space="preserve"> </w:t>
      </w:r>
      <w:proofErr w:type="spellStart"/>
      <w:r>
        <w:t>Entscheidungen</w:t>
      </w:r>
      <w:proofErr w:type="spellEnd"/>
      <w:r>
        <w:t xml:space="preserve"> dabei für KI-Workloads besonders relevant sind. Der Fokus </w:t>
      </w:r>
      <w:proofErr w:type="spellStart"/>
      <w:r>
        <w:t>liegt</w:t>
      </w:r>
      <w:proofErr w:type="spellEnd"/>
      <w:r>
        <w:t xml:space="preserve"> nicht auf de</w:t>
      </w:r>
      <w:r w:rsidR="009C4A50">
        <w:t xml:space="preserve">r </w:t>
      </w:r>
      <w:proofErr w:type="spellStart"/>
      <w:r w:rsidR="009C4A50">
        <w:t>einzelnen</w:t>
      </w:r>
      <w:proofErr w:type="spellEnd"/>
      <w:r w:rsidR="009C4A50">
        <w:t xml:space="preserve"> </w:t>
      </w:r>
      <w:proofErr w:type="spellStart"/>
      <w:r w:rsidR="009C4A50">
        <w:t>Komponente</w:t>
      </w:r>
      <w:proofErr w:type="spellEnd"/>
      <w:r>
        <w:t xml:space="preserve">, </w:t>
      </w:r>
      <w:proofErr w:type="spellStart"/>
      <w:r>
        <w:t>sondern</w:t>
      </w:r>
      <w:proofErr w:type="spellEnd"/>
      <w:r>
        <w:t xml:space="preserve"> auf dem Zusammenspiel.</w:t>
      </w:r>
    </w:p>
    <w:p w14:paraId="61C9F199" w14:textId="77777777" w:rsidR="00274C5A" w:rsidRDefault="0019427F">
      <w:pPr>
        <w:spacing w:after="120"/>
      </w:pPr>
      <w:r>
        <w:t>Eine Storage-Architektur im Rechenzentrum lässt sich in sechs Schichten beschreiben:</w:t>
      </w:r>
    </w:p>
    <w:tbl>
      <w:tblPr>
        <w:tblStyle w:val="Tabellenraster"/>
        <w:tblW w:w="0" w:type="auto"/>
        <w:tblLook w:val="04A0" w:firstRow="1" w:lastRow="0" w:firstColumn="1" w:lastColumn="0" w:noHBand="0" w:noVBand="1"/>
      </w:tblPr>
      <w:tblGrid>
        <w:gridCol w:w="3135"/>
        <w:gridCol w:w="3135"/>
        <w:gridCol w:w="3135"/>
      </w:tblGrid>
      <w:tr w:rsidR="00274C5A" w14:paraId="0CE539CA" w14:textId="77777777">
        <w:tc>
          <w:tcPr>
            <w:tcW w:w="3135" w:type="dxa"/>
          </w:tcPr>
          <w:p w14:paraId="1B4674F1" w14:textId="77777777" w:rsidR="00274C5A" w:rsidRDefault="0019427F">
            <w:pPr>
              <w:jc w:val="center"/>
            </w:pPr>
            <w:r>
              <w:rPr>
                <w:b/>
              </w:rPr>
              <w:t>Schicht</w:t>
            </w:r>
          </w:p>
        </w:tc>
        <w:tc>
          <w:tcPr>
            <w:tcW w:w="3135" w:type="dxa"/>
          </w:tcPr>
          <w:p w14:paraId="79010CC7" w14:textId="77777777" w:rsidR="00274C5A" w:rsidRDefault="0019427F">
            <w:pPr>
              <w:jc w:val="center"/>
            </w:pPr>
            <w:r>
              <w:rPr>
                <w:b/>
              </w:rPr>
              <w:t>Inhalt</w:t>
            </w:r>
          </w:p>
        </w:tc>
        <w:tc>
          <w:tcPr>
            <w:tcW w:w="3135" w:type="dxa"/>
          </w:tcPr>
          <w:p w14:paraId="38541638" w14:textId="77777777" w:rsidR="00274C5A" w:rsidRDefault="0019427F">
            <w:pPr>
              <w:jc w:val="center"/>
            </w:pPr>
            <w:r>
              <w:rPr>
                <w:b/>
              </w:rPr>
              <w:t>Relevanz für AI</w:t>
            </w:r>
          </w:p>
        </w:tc>
      </w:tr>
      <w:tr w:rsidR="00274C5A" w14:paraId="13F66E44" w14:textId="77777777">
        <w:tc>
          <w:tcPr>
            <w:tcW w:w="3135" w:type="dxa"/>
          </w:tcPr>
          <w:p w14:paraId="50E6ACE2" w14:textId="77777777" w:rsidR="00274C5A" w:rsidRDefault="0019427F">
            <w:r>
              <w:t>Hosts</w:t>
            </w:r>
          </w:p>
        </w:tc>
        <w:tc>
          <w:tcPr>
            <w:tcW w:w="3135" w:type="dxa"/>
          </w:tcPr>
          <w:p w14:paraId="3C834447" w14:textId="77777777" w:rsidR="00274C5A" w:rsidRDefault="0019427F">
            <w:r>
              <w:t>Server, GPU-Nodes, Compute</w:t>
            </w:r>
          </w:p>
        </w:tc>
        <w:tc>
          <w:tcPr>
            <w:tcW w:w="3135" w:type="dxa"/>
          </w:tcPr>
          <w:p w14:paraId="12DF1A08" w14:textId="77777777" w:rsidR="00274C5A" w:rsidRDefault="0019427F">
            <w:r>
              <w:t>Greifen auf Storage zu – Anbindungsart entscheidet über Latenz</w:t>
            </w:r>
          </w:p>
        </w:tc>
      </w:tr>
      <w:tr w:rsidR="00274C5A" w14:paraId="06BA6C54" w14:textId="77777777">
        <w:tc>
          <w:tcPr>
            <w:tcW w:w="3135" w:type="dxa"/>
          </w:tcPr>
          <w:p w14:paraId="6FF0D382" w14:textId="77777777" w:rsidR="00274C5A" w:rsidRDefault="0019427F">
            <w:r>
              <w:t>Netzwerk</w:t>
            </w:r>
          </w:p>
        </w:tc>
        <w:tc>
          <w:tcPr>
            <w:tcW w:w="3135" w:type="dxa"/>
          </w:tcPr>
          <w:p w14:paraId="04EF13E6" w14:textId="77777777" w:rsidR="00274C5A" w:rsidRDefault="0019427F">
            <w:r>
              <w:t>Ethernet, InfiniBand, FC-Fabric</w:t>
            </w:r>
          </w:p>
        </w:tc>
        <w:tc>
          <w:tcPr>
            <w:tcW w:w="3135" w:type="dxa"/>
          </w:tcPr>
          <w:p w14:paraId="62DB00CC" w14:textId="77777777" w:rsidR="00274C5A" w:rsidRDefault="0019427F">
            <w:r>
              <w:t>Verbindet Hosts und Storage – Flaschenhals bei falscher Dimensionierung</w:t>
            </w:r>
          </w:p>
        </w:tc>
      </w:tr>
      <w:tr w:rsidR="00274C5A" w14:paraId="00F969EF" w14:textId="77777777">
        <w:tc>
          <w:tcPr>
            <w:tcW w:w="3135" w:type="dxa"/>
          </w:tcPr>
          <w:p w14:paraId="38DA7A4E" w14:textId="77777777" w:rsidR="00274C5A" w:rsidRDefault="0019427F">
            <w:r>
              <w:t>Storage-Systeme</w:t>
            </w:r>
          </w:p>
        </w:tc>
        <w:tc>
          <w:tcPr>
            <w:tcW w:w="3135" w:type="dxa"/>
          </w:tcPr>
          <w:p w14:paraId="3092C71F" w14:textId="77777777" w:rsidR="00274C5A" w:rsidRDefault="0019427F">
            <w:r>
              <w:t>All-Flash, Scale-out NAS, Object Storage</w:t>
            </w:r>
          </w:p>
        </w:tc>
        <w:tc>
          <w:tcPr>
            <w:tcW w:w="3135" w:type="dxa"/>
          </w:tcPr>
          <w:p w14:paraId="09EDC05D" w14:textId="77777777" w:rsidR="00274C5A" w:rsidRDefault="0019427F">
            <w:r>
              <w:t>Unterschiedliche Systeme für unterschiedliche Datenschichten</w:t>
            </w:r>
          </w:p>
        </w:tc>
      </w:tr>
      <w:tr w:rsidR="00274C5A" w14:paraId="6463D965" w14:textId="77777777">
        <w:tc>
          <w:tcPr>
            <w:tcW w:w="3135" w:type="dxa"/>
          </w:tcPr>
          <w:p w14:paraId="7B61A780" w14:textId="77777777" w:rsidR="00274C5A" w:rsidRDefault="0019427F">
            <w:r>
              <w:t>Datenpfade</w:t>
            </w:r>
          </w:p>
        </w:tc>
        <w:tc>
          <w:tcPr>
            <w:tcW w:w="3135" w:type="dxa"/>
          </w:tcPr>
          <w:p w14:paraId="6C63C3BF" w14:textId="77777777" w:rsidR="00274C5A" w:rsidRDefault="0019427F">
            <w:r>
              <w:t>Wie Daten von Storage zur GPU kommen</w:t>
            </w:r>
          </w:p>
        </w:tc>
        <w:tc>
          <w:tcPr>
            <w:tcW w:w="3135" w:type="dxa"/>
          </w:tcPr>
          <w:p w14:paraId="4A59717E" w14:textId="77777777" w:rsidR="00274C5A" w:rsidRDefault="0019427F">
            <w:r>
              <w:t>Direkt über GPUDirect oder klassisch über CPU</w:t>
            </w:r>
          </w:p>
        </w:tc>
      </w:tr>
      <w:tr w:rsidR="00274C5A" w14:paraId="225EB488" w14:textId="77777777">
        <w:tc>
          <w:tcPr>
            <w:tcW w:w="3135" w:type="dxa"/>
          </w:tcPr>
          <w:p w14:paraId="6597E3BC" w14:textId="77777777" w:rsidR="00274C5A" w:rsidRDefault="0019427F">
            <w:r>
              <w:t>Schutzmechanismen</w:t>
            </w:r>
          </w:p>
        </w:tc>
        <w:tc>
          <w:tcPr>
            <w:tcW w:w="3135" w:type="dxa"/>
          </w:tcPr>
          <w:p w14:paraId="0F08A0A8" w14:textId="77777777" w:rsidR="00274C5A" w:rsidRDefault="0019427F">
            <w:r>
              <w:t>RAID, Replikation, Snapshots</w:t>
            </w:r>
          </w:p>
        </w:tc>
        <w:tc>
          <w:tcPr>
            <w:tcW w:w="3135" w:type="dxa"/>
          </w:tcPr>
          <w:p w14:paraId="5907FC16" w14:textId="77777777" w:rsidR="00274C5A" w:rsidRDefault="0019427F">
            <w:r>
              <w:t>Verfügbarkeit der Wissensbasis und Modellgewichte sicherstellen</w:t>
            </w:r>
          </w:p>
        </w:tc>
      </w:tr>
      <w:tr w:rsidR="00274C5A" w14:paraId="54EE79E0" w14:textId="77777777">
        <w:tc>
          <w:tcPr>
            <w:tcW w:w="3135" w:type="dxa"/>
          </w:tcPr>
          <w:p w14:paraId="26408566" w14:textId="77777777" w:rsidR="00274C5A" w:rsidRDefault="0019427F">
            <w:r>
              <w:t>Skalierung &amp; Betrieb</w:t>
            </w:r>
          </w:p>
        </w:tc>
        <w:tc>
          <w:tcPr>
            <w:tcW w:w="3135" w:type="dxa"/>
          </w:tcPr>
          <w:p w14:paraId="144A522E" w14:textId="77777777" w:rsidR="00274C5A" w:rsidRDefault="0019427F">
            <w:r>
              <w:t>Scale-up vs. Scale-out, On-Prem vs. Hybrid</w:t>
            </w:r>
          </w:p>
        </w:tc>
        <w:tc>
          <w:tcPr>
            <w:tcW w:w="3135" w:type="dxa"/>
          </w:tcPr>
          <w:p w14:paraId="023F6410" w14:textId="77777777" w:rsidR="00274C5A" w:rsidRDefault="0019427F">
            <w:r>
              <w:t>Wachstum von Modellen und Datenmengen abfangen</w:t>
            </w:r>
          </w:p>
        </w:tc>
      </w:tr>
    </w:tbl>
    <w:p w14:paraId="5BC66BD4" w14:textId="77777777" w:rsidR="00274C5A" w:rsidRDefault="00274C5A"/>
    <w:p w14:paraId="6623929C" w14:textId="66613F09" w:rsidR="00274C5A" w:rsidRDefault="0019427F">
      <w:pPr>
        <w:spacing w:after="120"/>
      </w:pPr>
      <w:r>
        <w:t xml:space="preserve">Die Folgeabschnitte 3.2 bis 3.7 vertiefen jede dieser Schichten. Das Ziel ist ein </w:t>
      </w:r>
      <w:proofErr w:type="spellStart"/>
      <w:r w:rsidR="008306DC">
        <w:t>Gesamtbild</w:t>
      </w:r>
      <w:proofErr w:type="spellEnd"/>
      <w:r>
        <w:t xml:space="preserve">, das </w:t>
      </w:r>
      <w:proofErr w:type="spellStart"/>
      <w:r>
        <w:t>im</w:t>
      </w:r>
      <w:proofErr w:type="spellEnd"/>
      <w:r>
        <w:t xml:space="preserve"> </w:t>
      </w:r>
      <w:proofErr w:type="spellStart"/>
      <w:r>
        <w:t>Kundengespräch</w:t>
      </w:r>
      <w:proofErr w:type="spellEnd"/>
      <w:r>
        <w:t xml:space="preserve"> </w:t>
      </w:r>
      <w:proofErr w:type="spellStart"/>
      <w:r w:rsidR="008306DC">
        <w:t>überzeugt</w:t>
      </w:r>
      <w:proofErr w:type="spellEnd"/>
      <w:r w:rsidR="008306DC">
        <w:t>.</w:t>
      </w:r>
      <w:r>
        <w:t xml:space="preserve"> Was liegt wo, warum, und was passiert, wenn es falsch dimensioniert ist.</w:t>
      </w:r>
    </w:p>
    <w:p w14:paraId="7DBC4867" w14:textId="77777777" w:rsidR="00274C5A" w:rsidRDefault="0019427F">
      <w:pPr>
        <w:pStyle w:val="berschrift2"/>
        <w:spacing w:before="240" w:after="120"/>
      </w:pPr>
      <w:r>
        <w:t>3.2 Hosts und Compute-Anbindung</w:t>
      </w:r>
    </w:p>
    <w:p w14:paraId="3B32A08A" w14:textId="300C5E75" w:rsidR="00274C5A" w:rsidRDefault="0019427F">
      <w:pPr>
        <w:spacing w:after="120"/>
      </w:pPr>
      <w:r>
        <w:t xml:space="preserve">Im Rechenzentrum sind Hosts die Ausführungsumgebung für KI-Workloads. Dazu zählen klassische Applikationsserver ebenso wie spezialisierte GPU-Hosts, auf denen Inferenz-Frameworks wie NVIDIA Triton oder vLLM laufen. Aus Sicht von AI Storage </w:t>
      </w:r>
      <w:proofErr w:type="spellStart"/>
      <w:r>
        <w:t>ist</w:t>
      </w:r>
      <w:proofErr w:type="spellEnd"/>
      <w:r>
        <w:t xml:space="preserve"> </w:t>
      </w:r>
      <w:proofErr w:type="spellStart"/>
      <w:r>
        <w:t>entscheidend</w:t>
      </w:r>
      <w:proofErr w:type="spellEnd"/>
      <w:r w:rsidR="00EE1A51">
        <w:t xml:space="preserve">, </w:t>
      </w:r>
      <w:proofErr w:type="spellStart"/>
      <w:r w:rsidR="00EE1A51">
        <w:t>w</w:t>
      </w:r>
      <w:r>
        <w:t>ie</w:t>
      </w:r>
      <w:proofErr w:type="spellEnd"/>
      <w:r>
        <w:t xml:space="preserve"> </w:t>
      </w:r>
      <w:proofErr w:type="spellStart"/>
      <w:r>
        <w:t>dieser</w:t>
      </w:r>
      <w:proofErr w:type="spellEnd"/>
      <w:r>
        <w:t xml:space="preserve"> Host </w:t>
      </w:r>
      <w:proofErr w:type="gramStart"/>
      <w:r>
        <w:t>an</w:t>
      </w:r>
      <w:proofErr w:type="gramEnd"/>
      <w:r>
        <w:t xml:space="preserve"> Speicher </w:t>
      </w:r>
      <w:proofErr w:type="spellStart"/>
      <w:r>
        <w:t>angebunden</w:t>
      </w:r>
      <w:proofErr w:type="spellEnd"/>
      <w:r w:rsidR="00EE1A51">
        <w:t xml:space="preserve"> </w:t>
      </w:r>
      <w:proofErr w:type="spellStart"/>
      <w:r w:rsidR="00EE1A51">
        <w:t>ist</w:t>
      </w:r>
      <w:proofErr w:type="spellEnd"/>
      <w:r>
        <w:t xml:space="preserve"> und wo </w:t>
      </w:r>
      <w:proofErr w:type="spellStart"/>
      <w:r>
        <w:t>liegen</w:t>
      </w:r>
      <w:proofErr w:type="spellEnd"/>
      <w:r>
        <w:t xml:space="preserve"> die </w:t>
      </w:r>
      <w:proofErr w:type="spellStart"/>
      <w:r>
        <w:t>Daten</w:t>
      </w:r>
      <w:proofErr w:type="spellEnd"/>
      <w:r>
        <w:t xml:space="preserve">, die er </w:t>
      </w:r>
      <w:proofErr w:type="spellStart"/>
      <w:r>
        <w:t>braucht</w:t>
      </w:r>
      <w:proofErr w:type="spellEnd"/>
      <w:r w:rsidR="00EE1A51">
        <w:t>.</w:t>
      </w:r>
    </w:p>
    <w:p w14:paraId="2045910C" w14:textId="77777777" w:rsidR="00274C5A" w:rsidRDefault="0019427F">
      <w:pPr>
        <w:spacing w:after="80"/>
      </w:pPr>
      <w:r>
        <w:rPr>
          <w:b/>
        </w:rPr>
        <w:t>Klassische Server und GPU-Hosts</w:t>
      </w:r>
    </w:p>
    <w:p w14:paraId="27DA34B4" w14:textId="762EF827" w:rsidR="00274C5A" w:rsidRDefault="0019427F">
      <w:pPr>
        <w:spacing w:after="120"/>
      </w:pPr>
      <w:r>
        <w:lastRenderedPageBreak/>
        <w:t xml:space="preserve">Klassische Server übernehmen im AI-Umfeld Aufgaben wie Orchestrierung, API-Gateways oder die Vor- und Nachverarbeitung von Anfragen. Sie greifen meist auf zentral </w:t>
      </w:r>
      <w:proofErr w:type="spellStart"/>
      <w:r>
        <w:t>bereitgestellten</w:t>
      </w:r>
      <w:proofErr w:type="spellEnd"/>
      <w:r>
        <w:t xml:space="preserve"> Storage </w:t>
      </w:r>
      <w:proofErr w:type="spellStart"/>
      <w:r>
        <w:t>zu</w:t>
      </w:r>
      <w:proofErr w:type="spellEnd"/>
      <w:r>
        <w:t xml:space="preserve"> </w:t>
      </w:r>
      <w:proofErr w:type="spellStart"/>
      <w:r w:rsidR="00B15AF1">
        <w:t>undzwar</w:t>
      </w:r>
      <w:proofErr w:type="spellEnd"/>
      <w:r w:rsidR="00B15AF1">
        <w:t xml:space="preserve"> </w:t>
      </w:r>
      <w:proofErr w:type="spellStart"/>
      <w:r>
        <w:t>über</w:t>
      </w:r>
      <w:proofErr w:type="spellEnd"/>
      <w:r>
        <w:t xml:space="preserve"> SAN </w:t>
      </w:r>
      <w:proofErr w:type="spellStart"/>
      <w:r>
        <w:t>oder</w:t>
      </w:r>
      <w:proofErr w:type="spellEnd"/>
      <w:r>
        <w:t xml:space="preserve"> NAS.</w:t>
      </w:r>
    </w:p>
    <w:p w14:paraId="7924B1D5" w14:textId="3DE5DFFB" w:rsidR="00274C5A" w:rsidRDefault="0019427F">
      <w:pPr>
        <w:spacing w:after="120"/>
      </w:pPr>
      <w:r>
        <w:t xml:space="preserve">GPU-Hosts sind spezialisierte Server mit einem oder mehreren Grafikprozessoren, die die eigentliche Inferenz ausführen. Sie laden </w:t>
      </w:r>
      <w:proofErr w:type="spellStart"/>
      <w:r>
        <w:t>Modellgewichte</w:t>
      </w:r>
      <w:proofErr w:type="spellEnd"/>
      <w:r>
        <w:t xml:space="preserve"> in den </w:t>
      </w:r>
      <w:proofErr w:type="spellStart"/>
      <w:r w:rsidR="008D04B5">
        <w:t>vRAM</w:t>
      </w:r>
      <w:proofErr w:type="spellEnd"/>
      <w:r w:rsidR="008D04B5">
        <w:t xml:space="preserve"> </w:t>
      </w:r>
      <w:r>
        <w:t xml:space="preserve">und </w:t>
      </w:r>
      <w:proofErr w:type="spellStart"/>
      <w:r>
        <w:t>verarbeiten</w:t>
      </w:r>
      <w:proofErr w:type="spellEnd"/>
      <w:r>
        <w:t xml:space="preserve"> </w:t>
      </w:r>
      <w:proofErr w:type="spellStart"/>
      <w:r>
        <w:t>eingehende</w:t>
      </w:r>
      <w:proofErr w:type="spellEnd"/>
      <w:r>
        <w:t xml:space="preserve"> </w:t>
      </w:r>
      <w:proofErr w:type="spellStart"/>
      <w:r>
        <w:t>Anfragen</w:t>
      </w:r>
      <w:proofErr w:type="spellEnd"/>
      <w:r>
        <w:t>. Die Storage-Anbindung dieser GPU-Hosts entscheidet direkt darüber, ob teure GPUs auf Daten warten oder ausgelastet sind.</w:t>
      </w:r>
    </w:p>
    <w:p w14:paraId="0FC72D6C" w14:textId="77777777" w:rsidR="00274C5A" w:rsidRDefault="0019427F">
      <w:pPr>
        <w:spacing w:after="80"/>
      </w:pPr>
      <w:r>
        <w:rPr>
          <w:b/>
        </w:rPr>
        <w:t>Lokale Anbindung (DAS / NVMe)</w:t>
      </w:r>
    </w:p>
    <w:p w14:paraId="67263111" w14:textId="77777777" w:rsidR="00274C5A" w:rsidRDefault="0019427F">
      <w:pPr>
        <w:spacing w:after="120"/>
      </w:pPr>
      <w:r>
        <w:t>Beim Direct Attached Storage (DAS) liegen Daten auf NVMe-SSDs, die direkt im Serverchassis verbaut sind. Das ist der kürzeste und schnellste Datenpfad. Typische Einsatzfälle im Inferenzbetrieb:</w:t>
      </w:r>
    </w:p>
    <w:p w14:paraId="3F355927" w14:textId="77777777" w:rsidR="00274C5A" w:rsidRDefault="0019427F">
      <w:pPr>
        <w:pStyle w:val="Aufzhlungszeichen"/>
        <w:spacing w:after="60"/>
      </w:pPr>
      <w:r>
        <w:t>Modell-Staging: Das aktive Modell liegt lokal auf NVMe. Beim Start des Inferenz-Servers wird es von dort in den VRAM geladen.</w:t>
      </w:r>
    </w:p>
    <w:p w14:paraId="7CAA104B" w14:textId="77777777" w:rsidR="00274C5A" w:rsidRDefault="0019427F">
      <w:pPr>
        <w:pStyle w:val="Aufzhlungszeichen"/>
        <w:spacing w:after="60"/>
      </w:pPr>
      <w:r>
        <w:t>KV-Cache-Offloading: Der Key-Value-Cache (KV-Cache – ein Zwischenspeicher, der bei der Textgenerierung bereits berechnete Token-Repräsentationen speichert) wächst mit der Anfragelast. Übersteigt er den verfügbaren VRAM, wird er auf lokale NVMe ausgelagert.</w:t>
      </w:r>
    </w:p>
    <w:p w14:paraId="2340195D" w14:textId="77777777" w:rsidR="00274C5A" w:rsidRDefault="0019427F">
      <w:pPr>
        <w:pStyle w:val="Aufzhlungszeichen"/>
        <w:spacing w:after="60"/>
      </w:pPr>
      <w:r>
        <w:t>Lokaler Vektorindex: Kleine bis mittlere Vektordatenbanken können vollständig auf lokalem NVMe betrieben werden.</w:t>
      </w:r>
    </w:p>
    <w:p w14:paraId="6D19D1E2" w14:textId="77777777" w:rsidR="00274C5A" w:rsidRDefault="0019427F">
      <w:pPr>
        <w:spacing w:after="120"/>
      </w:pPr>
      <w:r>
        <w:t>Nachteil: DAS ist nicht teilbar. Jeder Host hat seinen eigenen Speicher. Bei mehreren GPU-Hosts, die dasselbe Modell laden, muss jeder Host eine eigene Kopie vorhalten. Das ist ineffizient und schwer zu aktualisieren.</w:t>
      </w:r>
    </w:p>
    <w:p w14:paraId="1295C7C9" w14:textId="77777777" w:rsidR="00274C5A" w:rsidRDefault="0019427F">
      <w:pPr>
        <w:spacing w:after="80"/>
      </w:pPr>
      <w:r>
        <w:rPr>
          <w:b/>
        </w:rPr>
        <w:t>Netzwerkbasierte Anbindung</w:t>
      </w:r>
    </w:p>
    <w:p w14:paraId="171E2717" w14:textId="77777777" w:rsidR="00274C5A" w:rsidRDefault="0019427F">
      <w:pPr>
        <w:spacing w:after="120"/>
      </w:pPr>
      <w:r>
        <w:t>Sobald mehrere Hosts dasselbe Modell oder denselben Datensatz nutzen, lohnt sich gemeinsam genutzter Netzwerk-Storage. Die Wahl zwischen SAN und NAS hängt vom Zugriffsmuster ab:</w:t>
      </w:r>
    </w:p>
    <w:p w14:paraId="7ACE5240" w14:textId="77777777" w:rsidR="00274C5A" w:rsidRDefault="0019427F">
      <w:pPr>
        <w:pStyle w:val="Aufzhlungszeichen"/>
        <w:spacing w:after="60"/>
      </w:pPr>
      <w:r>
        <w:t>SAN (Block-Level): Geeignet für latenzkritische Workloads wie Vektordatenbanken. Mit NVMe over Fabrics (NVMe-oF – eine Technologie, die das NVMe-Protokoll über ein Netzwerk überträgt) lassen sich Latenzen erzielen, die kaum von lokalem NVMe zu unterscheiden sind.</w:t>
      </w:r>
    </w:p>
    <w:p w14:paraId="58366A98" w14:textId="77777777" w:rsidR="00274C5A" w:rsidRDefault="0019427F">
      <w:pPr>
        <w:pStyle w:val="Aufzhlungszeichen"/>
        <w:spacing w:after="60"/>
      </w:pPr>
      <w:r>
        <w:t>NAS (File-Level): Geeignet für das gleichzeitige Laden von Modellgewichten durch mehrere GPU-Nodes. Ein NFS-Mount (Network File System) erlaubt mehreren Hosts, dieselbe Datei parallel zu lesen, ohne dass sie kopiert werden muss.</w:t>
      </w:r>
    </w:p>
    <w:p w14:paraId="3AA4211C" w14:textId="77777777" w:rsidR="00274C5A" w:rsidRDefault="0019427F">
      <w:pPr>
        <w:spacing w:after="80"/>
      </w:pPr>
      <w:r>
        <w:rPr>
          <w:b/>
        </w:rPr>
        <w:t>Praktische Einordnung</w:t>
      </w:r>
    </w:p>
    <w:p w14:paraId="45970B7C" w14:textId="7F5AD3F1" w:rsidR="00274C5A" w:rsidRDefault="0019427F">
      <w:pPr>
        <w:spacing w:after="120"/>
      </w:pPr>
      <w:r>
        <w:t xml:space="preserve">Für eine einzelne GPU-Box mit einem fixen Modell ist DAS die einfachste und performanteste Lösung. Sobald ein Cluster aus mehreren GPU-Hosts entsteht oder Modelle regelmäßig gewechselt werden, ist netzwerkbasierter Storage die </w:t>
      </w:r>
      <w:proofErr w:type="spellStart"/>
      <w:r>
        <w:t>bessere</w:t>
      </w:r>
      <w:proofErr w:type="spellEnd"/>
      <w:r>
        <w:t xml:space="preserve"> Wahl</w:t>
      </w:r>
      <w:r w:rsidR="002E0507">
        <w:t>,</w:t>
      </w:r>
      <w:r>
        <w:t xml:space="preserve"> </w:t>
      </w:r>
      <w:proofErr w:type="spellStart"/>
      <w:r>
        <w:t>auch</w:t>
      </w:r>
      <w:proofErr w:type="spellEnd"/>
      <w:r>
        <w:t xml:space="preserve"> </w:t>
      </w:r>
      <w:proofErr w:type="spellStart"/>
      <w:r>
        <w:t>wenn</w:t>
      </w:r>
      <w:proofErr w:type="spellEnd"/>
      <w:r>
        <w:t xml:space="preserve"> er eine sorgfältigere Planung erfordert.</w:t>
      </w:r>
    </w:p>
    <w:p w14:paraId="4EA0657E" w14:textId="77777777" w:rsidR="00274C5A" w:rsidRDefault="0019427F">
      <w:pPr>
        <w:pStyle w:val="berschrift2"/>
        <w:spacing w:before="240" w:after="120"/>
      </w:pPr>
      <w:r>
        <w:t>3.3 Netzwerk und Storage-Konnektivität</w:t>
      </w:r>
    </w:p>
    <w:p w14:paraId="7A627D9E" w14:textId="5868EE0A" w:rsidR="00274C5A" w:rsidRDefault="0019427F">
      <w:pPr>
        <w:spacing w:after="120"/>
      </w:pPr>
      <w:r>
        <w:t xml:space="preserve">Das Storage-Netzwerk ist die Verbindung zwischen Hosts und Storage-Systemen. Es ist im AI-Kontext häufig der unsichtbare Flaschenhals: Wenn GPUs auf Daten warten, liegt das </w:t>
      </w:r>
      <w:proofErr w:type="spellStart"/>
      <w:r>
        <w:t>selten</w:t>
      </w:r>
      <w:proofErr w:type="spellEnd"/>
      <w:r>
        <w:t xml:space="preserve"> am Storage-System </w:t>
      </w:r>
      <w:r w:rsidR="005F126F">
        <w:t xml:space="preserve">Selbst, </w:t>
      </w:r>
      <w:proofErr w:type="spellStart"/>
      <w:r w:rsidR="005F126F">
        <w:t>sondern</w:t>
      </w:r>
      <w:proofErr w:type="spellEnd"/>
      <w:r w:rsidR="005F126F">
        <w:t xml:space="preserve"> </w:t>
      </w:r>
      <w:proofErr w:type="spellStart"/>
      <w:r>
        <w:t>meistens</w:t>
      </w:r>
      <w:proofErr w:type="spellEnd"/>
      <w:r>
        <w:t xml:space="preserve"> am </w:t>
      </w:r>
      <w:proofErr w:type="spellStart"/>
      <w:r>
        <w:t>Netzwerk</w:t>
      </w:r>
      <w:proofErr w:type="spellEnd"/>
      <w:r>
        <w:t xml:space="preserve"> </w:t>
      </w:r>
      <w:proofErr w:type="spellStart"/>
      <w:r>
        <w:t>davor</w:t>
      </w:r>
      <w:proofErr w:type="spellEnd"/>
      <w:r>
        <w:t>.</w:t>
      </w:r>
    </w:p>
    <w:p w14:paraId="2F7A175A" w14:textId="77777777" w:rsidR="00274C5A" w:rsidRDefault="0019427F">
      <w:pPr>
        <w:spacing w:after="80"/>
      </w:pPr>
      <w:r>
        <w:rPr>
          <w:b/>
        </w:rPr>
        <w:lastRenderedPageBreak/>
        <w:t>Zwei Netzwelten im RZ</w:t>
      </w:r>
    </w:p>
    <w:p w14:paraId="79DEA265" w14:textId="77777777" w:rsidR="00274C5A" w:rsidRDefault="0019427F">
      <w:pPr>
        <w:spacing w:after="120"/>
      </w:pPr>
      <w:r>
        <w:t>Im modernen Rechenzentrum existieren typischerweise zwei getrennte Netzwerke nebeneinander:</w:t>
      </w:r>
    </w:p>
    <w:p w14:paraId="6D090090" w14:textId="77777777" w:rsidR="00274C5A" w:rsidRDefault="0019427F">
      <w:pPr>
        <w:pStyle w:val="Aufzhlungszeichen"/>
        <w:spacing w:after="60"/>
      </w:pPr>
      <w:r>
        <w:t>Das Ethernet-Netzwerk für allgemeinen Datenverkehr: Management, Anwendungskommunikation, Storage über NFS, iSCSI oder S3.</w:t>
      </w:r>
    </w:p>
    <w:p w14:paraId="0D678888" w14:textId="77777777" w:rsidR="00274C5A" w:rsidRDefault="0019427F">
      <w:pPr>
        <w:pStyle w:val="Aufzhlungszeichen"/>
        <w:spacing w:after="60"/>
      </w:pPr>
      <w:r>
        <w:t>Die Storage Fabric als dediziertes Netzwerk für latenz- und bandbreitenkritischen Storage-Verkehr: Fibre Channel (FC) oder InfiniBand für GPU-Cluster.</w:t>
      </w:r>
    </w:p>
    <w:p w14:paraId="57ED7264" w14:textId="24B02E6A" w:rsidR="00274C5A" w:rsidRDefault="0019427F">
      <w:pPr>
        <w:spacing w:after="120"/>
      </w:pPr>
      <w:r>
        <w:t>Diese Trennung ist kein Luxus, sondern Notwendigkeit. AI-Workloads erzeugen Burst-Traffic</w:t>
      </w:r>
      <w:r w:rsidR="00452A89">
        <w:t xml:space="preserve">. Das </w:t>
      </w:r>
      <w:proofErr w:type="spellStart"/>
      <w:r w:rsidR="00452A89">
        <w:t>sind</w:t>
      </w:r>
      <w:proofErr w:type="spellEnd"/>
      <w:r>
        <w:t xml:space="preserve"> </w:t>
      </w:r>
      <w:proofErr w:type="spellStart"/>
      <w:r>
        <w:t>kurze</w:t>
      </w:r>
      <w:proofErr w:type="spellEnd"/>
      <w:r>
        <w:t xml:space="preserve"> </w:t>
      </w:r>
      <w:proofErr w:type="spellStart"/>
      <w:r>
        <w:t>Phasen</w:t>
      </w:r>
      <w:proofErr w:type="spellEnd"/>
      <w:r>
        <w:t xml:space="preserve"> </w:t>
      </w:r>
      <w:proofErr w:type="spellStart"/>
      <w:r>
        <w:t>mit</w:t>
      </w:r>
      <w:proofErr w:type="spellEnd"/>
      <w:r>
        <w:t xml:space="preserve"> extremem Datenbedarf, etwa wenn ein Modell gestartet wird und alle Hosts gleichzeitig Gewichte laden.</w:t>
      </w:r>
    </w:p>
    <w:p w14:paraId="4B4A4DE1" w14:textId="77777777" w:rsidR="00274C5A" w:rsidRDefault="0019427F">
      <w:pPr>
        <w:spacing w:after="80"/>
      </w:pPr>
      <w:r>
        <w:rPr>
          <w:b/>
        </w:rPr>
        <w:t>Bandbreite, Latenz und Protokollwahl</w:t>
      </w:r>
    </w:p>
    <w:p w14:paraId="7C9A8B9F" w14:textId="77777777" w:rsidR="00274C5A" w:rsidRDefault="0019427F">
      <w:pPr>
        <w:spacing w:after="120"/>
      </w:pPr>
      <w:r>
        <w:t>Die wichtigsten Netzwerkparameter für Storage wurden in Kapitel 2.3 beschrieben. Im RZ-Architekturkontext gilt die folgende Faustregel:</w:t>
      </w:r>
    </w:p>
    <w:tbl>
      <w:tblPr>
        <w:tblStyle w:val="Tabellenraster"/>
        <w:tblW w:w="0" w:type="auto"/>
        <w:tblLook w:val="04A0" w:firstRow="1" w:lastRow="0" w:firstColumn="1" w:lastColumn="0" w:noHBand="0" w:noVBand="1"/>
      </w:tblPr>
      <w:tblGrid>
        <w:gridCol w:w="3135"/>
        <w:gridCol w:w="3135"/>
        <w:gridCol w:w="3135"/>
      </w:tblGrid>
      <w:tr w:rsidR="00274C5A" w14:paraId="618CC4B1" w14:textId="77777777">
        <w:tc>
          <w:tcPr>
            <w:tcW w:w="3135" w:type="dxa"/>
          </w:tcPr>
          <w:p w14:paraId="4FEB5FA0" w14:textId="77777777" w:rsidR="00274C5A" w:rsidRDefault="0019427F">
            <w:pPr>
              <w:jc w:val="center"/>
            </w:pPr>
            <w:r>
              <w:rPr>
                <w:b/>
              </w:rPr>
              <w:t>Workload</w:t>
            </w:r>
          </w:p>
        </w:tc>
        <w:tc>
          <w:tcPr>
            <w:tcW w:w="3135" w:type="dxa"/>
          </w:tcPr>
          <w:p w14:paraId="13C0698D" w14:textId="77777777" w:rsidR="00274C5A" w:rsidRDefault="0019427F">
            <w:pPr>
              <w:jc w:val="center"/>
            </w:pPr>
            <w:r>
              <w:rPr>
                <w:b/>
              </w:rPr>
              <w:t>Protokoll</w:t>
            </w:r>
          </w:p>
        </w:tc>
        <w:tc>
          <w:tcPr>
            <w:tcW w:w="3135" w:type="dxa"/>
          </w:tcPr>
          <w:p w14:paraId="579DF354" w14:textId="77777777" w:rsidR="00274C5A" w:rsidRDefault="0019427F">
            <w:pPr>
              <w:jc w:val="center"/>
            </w:pPr>
            <w:r>
              <w:rPr>
                <w:b/>
              </w:rPr>
              <w:t>Mindestbandbreite</w:t>
            </w:r>
          </w:p>
        </w:tc>
      </w:tr>
      <w:tr w:rsidR="00274C5A" w14:paraId="1EB43C8C" w14:textId="77777777">
        <w:tc>
          <w:tcPr>
            <w:tcW w:w="3135" w:type="dxa"/>
          </w:tcPr>
          <w:p w14:paraId="706298B5" w14:textId="77777777" w:rsidR="00274C5A" w:rsidRDefault="0019427F">
            <w:r>
              <w:t>Modellgewichte laden (mehrere Nodes)</w:t>
            </w:r>
          </w:p>
        </w:tc>
        <w:tc>
          <w:tcPr>
            <w:tcW w:w="3135" w:type="dxa"/>
          </w:tcPr>
          <w:p w14:paraId="118952DD" w14:textId="77777777" w:rsidR="00274C5A" w:rsidRDefault="0019427F">
            <w:r>
              <w:t>NFS over 25/100GbE oder NFS-over-RDMA</w:t>
            </w:r>
          </w:p>
        </w:tc>
        <w:tc>
          <w:tcPr>
            <w:tcW w:w="3135" w:type="dxa"/>
          </w:tcPr>
          <w:p w14:paraId="5C3CAC8B" w14:textId="77777777" w:rsidR="00274C5A" w:rsidRDefault="0019427F">
            <w:r>
              <w:t>≥ 25 Gbit/s pro Node</w:t>
            </w:r>
          </w:p>
        </w:tc>
      </w:tr>
      <w:tr w:rsidR="00274C5A" w14:paraId="7EDFE792" w14:textId="77777777">
        <w:tc>
          <w:tcPr>
            <w:tcW w:w="3135" w:type="dxa"/>
          </w:tcPr>
          <w:p w14:paraId="0383777E" w14:textId="77777777" w:rsidR="00274C5A" w:rsidRDefault="0019427F">
            <w:r>
              <w:t>Vektordatenbank (latenzkritisch)</w:t>
            </w:r>
          </w:p>
        </w:tc>
        <w:tc>
          <w:tcPr>
            <w:tcW w:w="3135" w:type="dxa"/>
          </w:tcPr>
          <w:p w14:paraId="658BCBD4" w14:textId="77777777" w:rsidR="00274C5A" w:rsidRDefault="0019427F">
            <w:r>
              <w:t>NVMe-oF über RoCE oder iSCSI</w:t>
            </w:r>
          </w:p>
        </w:tc>
        <w:tc>
          <w:tcPr>
            <w:tcW w:w="3135" w:type="dxa"/>
          </w:tcPr>
          <w:p w14:paraId="3F17608D" w14:textId="77777777" w:rsidR="00274C5A" w:rsidRDefault="0019427F">
            <w:r>
              <w:t>≥ 25 Gbit/s, Latenz &lt; 500 µs</w:t>
            </w:r>
          </w:p>
        </w:tc>
      </w:tr>
      <w:tr w:rsidR="00274C5A" w14:paraId="716F5F24" w14:textId="77777777">
        <w:tc>
          <w:tcPr>
            <w:tcW w:w="3135" w:type="dxa"/>
          </w:tcPr>
          <w:p w14:paraId="6EC3D0E2" w14:textId="77777777" w:rsidR="00274C5A" w:rsidRDefault="0019427F">
            <w:r>
              <w:t>GPU-zu-GPU-Kommunikation im Cluster</w:t>
            </w:r>
          </w:p>
        </w:tc>
        <w:tc>
          <w:tcPr>
            <w:tcW w:w="3135" w:type="dxa"/>
          </w:tcPr>
          <w:p w14:paraId="69317040" w14:textId="77777777" w:rsidR="00274C5A" w:rsidRDefault="0019427F">
            <w:r>
              <w:t>InfiniBand NDR (400/800 Gbit/s)</w:t>
            </w:r>
          </w:p>
        </w:tc>
        <w:tc>
          <w:tcPr>
            <w:tcW w:w="3135" w:type="dxa"/>
          </w:tcPr>
          <w:p w14:paraId="28AC34B9" w14:textId="77777777" w:rsidR="00274C5A" w:rsidRDefault="0019427F">
            <w:r>
              <w:t>Herstellervorgabe folgen</w:t>
            </w:r>
          </w:p>
        </w:tc>
      </w:tr>
      <w:tr w:rsidR="00274C5A" w14:paraId="48945EAD" w14:textId="77777777">
        <w:tc>
          <w:tcPr>
            <w:tcW w:w="3135" w:type="dxa"/>
          </w:tcPr>
          <w:p w14:paraId="58A1E249" w14:textId="77777777" w:rsidR="00274C5A" w:rsidRDefault="0019427F">
            <w:r>
              <w:t>Object Storage (Dokument-Ingestion, Artefakte)</w:t>
            </w:r>
          </w:p>
        </w:tc>
        <w:tc>
          <w:tcPr>
            <w:tcW w:w="3135" w:type="dxa"/>
          </w:tcPr>
          <w:p w14:paraId="5572EE40" w14:textId="77777777" w:rsidR="00274C5A" w:rsidRDefault="0019427F">
            <w:r>
              <w:t>S3 über Ethernet</w:t>
            </w:r>
          </w:p>
        </w:tc>
        <w:tc>
          <w:tcPr>
            <w:tcW w:w="3135" w:type="dxa"/>
          </w:tcPr>
          <w:p w14:paraId="352ADE06" w14:textId="77777777" w:rsidR="00274C5A" w:rsidRDefault="0019427F">
            <w:r>
              <w:t>≥ 10 Gbit/s ausreichend</w:t>
            </w:r>
          </w:p>
        </w:tc>
      </w:tr>
    </w:tbl>
    <w:p w14:paraId="7F00EC29" w14:textId="77777777" w:rsidR="00274C5A" w:rsidRDefault="00274C5A"/>
    <w:p w14:paraId="6170CE83" w14:textId="77777777" w:rsidR="00274C5A" w:rsidRDefault="0019427F">
      <w:pPr>
        <w:spacing w:after="80"/>
      </w:pPr>
      <w:r>
        <w:rPr>
          <w:b/>
        </w:rPr>
        <w:t>Engpassanalyse im Kundengespräch</w:t>
      </w:r>
    </w:p>
    <w:p w14:paraId="3FAF6DE7" w14:textId="34C7C245" w:rsidR="00274C5A" w:rsidRDefault="0019427F">
      <w:pPr>
        <w:spacing w:after="120"/>
      </w:pPr>
      <w:r>
        <w:t xml:space="preserve">Ein häufiges Muster in der Praxis: Der Kunde hat leistungsstarke GPU-Server und ein gutes Storage-System, aber verbindet beides mit einem Standard-10GbE-Uplink. Das Ergebnis </w:t>
      </w:r>
      <w:proofErr w:type="spellStart"/>
      <w:r>
        <w:t>sind</w:t>
      </w:r>
      <w:proofErr w:type="spellEnd"/>
      <w:r>
        <w:t xml:space="preserve"> </w:t>
      </w:r>
      <w:proofErr w:type="spellStart"/>
      <w:r>
        <w:t>schlecht</w:t>
      </w:r>
      <w:proofErr w:type="spellEnd"/>
      <w:r>
        <w:t xml:space="preserve"> </w:t>
      </w:r>
      <w:proofErr w:type="spellStart"/>
      <w:r>
        <w:t>ausgelastete</w:t>
      </w:r>
      <w:proofErr w:type="spellEnd"/>
      <w:r>
        <w:t xml:space="preserve"> GPUs</w:t>
      </w:r>
      <w:r w:rsidR="00972F9C">
        <w:t>. N</w:t>
      </w:r>
      <w:r>
        <w:t xml:space="preserve">icht, </w:t>
      </w:r>
      <w:proofErr w:type="spellStart"/>
      <w:r>
        <w:t>weil</w:t>
      </w:r>
      <w:proofErr w:type="spellEnd"/>
      <w:r>
        <w:t xml:space="preserve"> Hardware </w:t>
      </w:r>
      <w:proofErr w:type="spellStart"/>
      <w:r>
        <w:t>oder</w:t>
      </w:r>
      <w:proofErr w:type="spellEnd"/>
      <w:r>
        <w:t xml:space="preserve"> Software versagt, sondern weil das Netzwerk nicht mithalten kann.</w:t>
      </w:r>
    </w:p>
    <w:p w14:paraId="4818097D" w14:textId="77777777" w:rsidR="00274C5A" w:rsidRDefault="0019427F">
      <w:pPr>
        <w:spacing w:after="120"/>
      </w:pPr>
      <w:r>
        <w:t>Der Test ist einfach: 10 GbE liefert maximal ca. 1,2 GB/s. Ein Modell mit 70 GB Gewichten (wie Llama 3 70B) braucht bei diesem Durchsatz mindestens 60 Sekunden zum Laden. Mit 100 GbE sind es unter 10 Sekunden. Bei mehreren GPU-Nodes, die gleichzeitig laden, multipliziert sich das Problem.</w:t>
      </w:r>
    </w:p>
    <w:p w14:paraId="5D30E0B1" w14:textId="77777777" w:rsidR="00274C5A" w:rsidRDefault="0019427F">
      <w:pPr>
        <w:spacing w:after="80"/>
      </w:pPr>
      <w:r>
        <w:rPr>
          <w:b/>
        </w:rPr>
        <w:t>RDMA als Beschleuniger</w:t>
      </w:r>
    </w:p>
    <w:p w14:paraId="3728CFCD" w14:textId="77777777" w:rsidR="00274C5A" w:rsidRDefault="0019427F">
      <w:pPr>
        <w:spacing w:after="120"/>
      </w:pPr>
      <w:r>
        <w:t>RDMA (Remote Direct Memory Access – eine Technologie, die Daten direkt zwischen Netzwerkadaptern zweier Systeme überträgt, ohne CPU oder Betriebssystem einzubinden) ist in KI-Infrastrukturen zunehmend Standard. Zwei Varianten sind relevant:</w:t>
      </w:r>
    </w:p>
    <w:p w14:paraId="33B8BBB9" w14:textId="77777777" w:rsidR="00274C5A" w:rsidRDefault="0019427F">
      <w:pPr>
        <w:pStyle w:val="Aufzhlungszeichen"/>
        <w:spacing w:after="60"/>
      </w:pPr>
      <w:r>
        <w:t>InfiniBand: De-facto-Standard in GPU-Clustern für Training. Sehr niedrige Latenz (&lt; 2 µs), hohe Bandbreite, native RDMA-Unterstützung. Voraussetzung für GPUDirect Storage.</w:t>
      </w:r>
    </w:p>
    <w:p w14:paraId="5106704A" w14:textId="77777777" w:rsidR="00274C5A" w:rsidRDefault="0019427F">
      <w:pPr>
        <w:pStyle w:val="Aufzhlungszeichen"/>
        <w:spacing w:after="60"/>
      </w:pPr>
      <w:r>
        <w:t>RoCE (RDMA over Converged Ethernet): RDMA über Standard-Ethernet-Infrastruktur. Günstiger als InfiniBand, aber erfordert ein verlustfreies Ethernet-Netzwerk (DCB-Konfiguration). Geeignet für Inferenz-Cluster, bei denen InfiniBand-Budget nicht vorhanden ist.</w:t>
      </w:r>
    </w:p>
    <w:p w14:paraId="7F0E96AE" w14:textId="4AA13E92" w:rsidR="00274C5A" w:rsidRDefault="0019427F">
      <w:pPr>
        <w:spacing w:after="120"/>
      </w:pPr>
      <w:r>
        <w:lastRenderedPageBreak/>
        <w:t xml:space="preserve">Für </w:t>
      </w:r>
      <w:proofErr w:type="spellStart"/>
      <w:r>
        <w:t>Inferenz-Umgebungen</w:t>
      </w:r>
      <w:proofErr w:type="spellEnd"/>
      <w:r>
        <w:t xml:space="preserve"> </w:t>
      </w:r>
      <w:proofErr w:type="spellStart"/>
      <w:r>
        <w:t>ist</w:t>
      </w:r>
      <w:proofErr w:type="spellEnd"/>
      <w:r>
        <w:t xml:space="preserve"> InfiniBand oft nicht zwingend erforderlich. Gut dimensioniertes 100-GbE-Ethernet mit RoCE-Unterstützung ist in den meisten Fällen ausreichend und deutlich günstiger im Betrieb.</w:t>
      </w:r>
    </w:p>
    <w:p w14:paraId="6DB77C35" w14:textId="5DAD10FB" w:rsidR="00274C5A" w:rsidRDefault="0019427F">
      <w:pPr>
        <w:pStyle w:val="berschrift2"/>
        <w:spacing w:before="240" w:after="120"/>
      </w:pPr>
      <w:r>
        <w:t xml:space="preserve">3.4 Storage-Systeme </w:t>
      </w:r>
      <w:proofErr w:type="spellStart"/>
      <w:r>
        <w:t>im</w:t>
      </w:r>
      <w:proofErr w:type="spellEnd"/>
      <w:r>
        <w:t xml:space="preserve"> R</w:t>
      </w:r>
      <w:r w:rsidR="000F5EA1">
        <w:t>echenzentrum</w:t>
      </w:r>
    </w:p>
    <w:p w14:paraId="3324E5C8" w14:textId="77777777" w:rsidR="00274C5A" w:rsidRDefault="0019427F">
      <w:pPr>
        <w:spacing w:after="120"/>
      </w:pPr>
      <w:r>
        <w:t>Ein Rechenzentrum für AI-Workloads enthält selten nur eine Art von Storage-System. Unterschiedliche Datenschichten haben unterschiedliche Anforderungen an Latenz, Durchsatz, Kapazität und Kosten. Das Ergebnis ist eine Architektur aus mehreren Storage-Systemtypen, die zusammen eine vollständige Datenpipeline abbilden.</w:t>
      </w:r>
    </w:p>
    <w:p w14:paraId="298FEC1F" w14:textId="77777777" w:rsidR="00274C5A" w:rsidRDefault="0019427F">
      <w:pPr>
        <w:spacing w:after="80"/>
      </w:pPr>
      <w:r>
        <w:rPr>
          <w:b/>
        </w:rPr>
        <w:t>All-Flash-Array (AFA)</w:t>
      </w:r>
    </w:p>
    <w:p w14:paraId="11621929" w14:textId="77777777" w:rsidR="00274C5A" w:rsidRDefault="0019427F">
      <w:pPr>
        <w:spacing w:after="120"/>
      </w:pPr>
      <w:r>
        <w:t>Ein All-Flash-Array ist ein Storage-System, das ausschließlich NVMe-SSDs verwendet und für maximale IOPS und minimale Latenz ausgelegt ist. Typische Vertreter sind NetApp AFF, Pure Storage FlashArray, Dell PowerStore und HPE Alletra.</w:t>
      </w:r>
    </w:p>
    <w:p w14:paraId="7B6C00B3" w14:textId="77777777" w:rsidR="00274C5A" w:rsidRDefault="0019427F">
      <w:pPr>
        <w:spacing w:after="120"/>
      </w:pPr>
      <w:r>
        <w:t>Stärken: Sehr niedrige Latenz (&lt; 500 µs), hohe IOPS, robuste Datenschutz-Features (Snapshots, Replikation, Inline-Deduplizierung). Geeignet für latenzkritische Workloads wie Vektordatenbanken, KV-Cache-Offloading und Datenbankinstanzen, die RAG-Prozesse unterstützen.</w:t>
      </w:r>
    </w:p>
    <w:p w14:paraId="7963C5D0" w14:textId="77777777" w:rsidR="00274C5A" w:rsidRDefault="0019427F">
      <w:pPr>
        <w:spacing w:after="120"/>
      </w:pPr>
      <w:r>
        <w:t>Schwächen: Hohe Kosten pro Terabyte. Nicht geeignet als primäre Ablage für große Datenmengen wie Dokumentkorpora oder Modell-Artefakt-Archive. Scale-up-Architekturen stoßen bei sehr großen Kapazitätsanforderungen an Grenzen.</w:t>
      </w:r>
    </w:p>
    <w:p w14:paraId="03A8C742" w14:textId="77777777" w:rsidR="00274C5A" w:rsidRDefault="0019427F">
      <w:pPr>
        <w:spacing w:after="80"/>
      </w:pPr>
      <w:r>
        <w:rPr>
          <w:b/>
        </w:rPr>
        <w:t>Scale-out NAS / Paralleles Dateisystem</w:t>
      </w:r>
    </w:p>
    <w:p w14:paraId="7CF0EAD7" w14:textId="77777777" w:rsidR="00274C5A" w:rsidRDefault="0019427F">
      <w:pPr>
        <w:spacing w:after="120"/>
      </w:pPr>
      <w:r>
        <w:t>Scale-out NAS-Systeme (Network Attached Storage mit horizontaler Skalierbarkeit) verteilen Daten und Metadaten über mehrere Nodes und skalieren Durchsatz und Kapazität gemeinsam. Typische Vertreter sind NetApp ONTAP (Scale-out), Dell PowerScale (früher Isilon), HPE Alletra MP X10000, IBM Spectrum Scale (GPFS) und WEKA.</w:t>
      </w:r>
    </w:p>
    <w:p w14:paraId="416E3F54" w14:textId="77777777" w:rsidR="00274C5A" w:rsidRDefault="0019427F">
      <w:pPr>
        <w:spacing w:after="120"/>
      </w:pPr>
      <w:r>
        <w:t>Stärken: Hoher aggregierter Durchsatz, paralleler Zugriff durch viele Clients gleichzeitig, POSIX-kompatibel (POSIX – Portable Operating System Interface, ein Standard, der sicherstellt, dass Anwendungen wie PyTorch ohne Anpassungen auf das Dateisystem zugreifen können). Ideal für das gleichzeitige Laden großer Modellgewichte durch mehrere GPU-Nodes.</w:t>
      </w:r>
    </w:p>
    <w:p w14:paraId="3D8051B5" w14:textId="77777777" w:rsidR="00274C5A" w:rsidRDefault="0019427F">
      <w:pPr>
        <w:spacing w:after="120"/>
      </w:pPr>
      <w:r>
        <w:t>Schwächen: Höhere Komplexität in Konfiguration und Betrieb. Latenz ist höher als bei einem All-Flash-Array mit lokalem NVMe. Für Workloads mit vielen kleinen IOPS (wie Vektordatenbanken) sind Scale-out NAS-Systeme in der Regel nicht die erste Wahl.</w:t>
      </w:r>
    </w:p>
    <w:p w14:paraId="7ECB5E92" w14:textId="77777777" w:rsidR="00274C5A" w:rsidRDefault="0019427F">
      <w:pPr>
        <w:spacing w:after="80"/>
      </w:pPr>
      <w:r>
        <w:rPr>
          <w:b/>
        </w:rPr>
        <w:t>Object Storage (S3-kompatibel)</w:t>
      </w:r>
    </w:p>
    <w:p w14:paraId="5AF814BA" w14:textId="77777777" w:rsidR="00274C5A" w:rsidRDefault="0019427F">
      <w:pPr>
        <w:spacing w:after="120"/>
      </w:pPr>
      <w:r>
        <w:t>Object Storage speichert Daten als eigenständige Objekte in einem flachen Namensraum und stellt sie über eine S3-API (Simple Storage Service – ein von AWS entwickeltes, heute als Industriestandard genutztes HTTP-basiertes Protokoll für Objektzugriff) bereit. Typische Vertreter sind MinIO, NetApp StorageGRID, Dell ObjectScale, IBM Cloud Object Storage und Ceph.</w:t>
      </w:r>
    </w:p>
    <w:p w14:paraId="7A400FFD" w14:textId="77777777" w:rsidR="00274C5A" w:rsidRDefault="0019427F">
      <w:pPr>
        <w:spacing w:after="120"/>
      </w:pPr>
      <w:r>
        <w:t>Stärken: Nahezu unbegrenzte Skalierbarkeit, niedrige Kosten pro Terabyte, native Parallelität beim Lesen, umfangreiche Metadaten pro Objekt, nativ cloud-kompatibel. Geeignet als Rohdaten-Ablage, Modell-Artefakt-Repository und Quellspeicher für RAG-Ingestion-Pipelines.</w:t>
      </w:r>
    </w:p>
    <w:p w14:paraId="06B256BF" w14:textId="77777777" w:rsidR="00274C5A" w:rsidRDefault="0019427F">
      <w:pPr>
        <w:spacing w:after="120"/>
      </w:pPr>
      <w:r>
        <w:lastRenderedPageBreak/>
        <w:t>Schwächen: Höhere Latenz als Block- oder File-Storage (HTTP-Overhead). Kein POSIX-Support – Anwendungen müssen S3-Konnektoren nutzen oder über FUSE-Treiber (Filesystem in Userspace) eingebunden werden. Für latenzkritische Echtzeit-Zugriffe ungeeignet.</w:t>
      </w:r>
    </w:p>
    <w:p w14:paraId="02B69E34" w14:textId="77777777" w:rsidR="00274C5A" w:rsidRDefault="0019427F">
      <w:pPr>
        <w:spacing w:after="80"/>
      </w:pPr>
      <w:r>
        <w:rPr>
          <w:b/>
        </w:rPr>
        <w:t>Hyperkonvergente und softwarebasierte Plattformen</w:t>
      </w:r>
    </w:p>
    <w:p w14:paraId="32DFE8F0" w14:textId="77777777" w:rsidR="00274C5A" w:rsidRDefault="0019427F">
      <w:pPr>
        <w:spacing w:after="120"/>
      </w:pPr>
      <w:r>
        <w:t>Softwarebasierte Storage-Plattformen wie WEKA oder Ceph laufen auf Standard-x86-Servern und bieten mehrere Storage-Protokolle (Block, File, Object) aus einer Software-Schicht. Sie sind besonders in cloud-nativen und kubernetes-basierten Umgebungen relevant, da sie sich gut in Container-Orchestrierung integrieren und StorageClass-Ressourcen über CSI-Treiber (Container Storage Interface – Standardschnittstelle für Storage in Kubernetes) bereitstellen.</w:t>
      </w:r>
    </w:p>
    <w:p w14:paraId="52F813EF" w14:textId="77777777" w:rsidR="00274C5A" w:rsidRDefault="0019427F">
      <w:pPr>
        <w:spacing w:after="80"/>
      </w:pPr>
      <w:r>
        <w:rPr>
          <w:b/>
        </w:rPr>
        <w:t>Welches System für welche Datenschicht?</w:t>
      </w:r>
    </w:p>
    <w:p w14:paraId="12219304" w14:textId="77777777" w:rsidR="00274C5A" w:rsidRDefault="0019427F">
      <w:pPr>
        <w:spacing w:after="120"/>
      </w:pPr>
      <w:r>
        <w:t>Die Zuordnung folgt direkt aus den in Kapitel 2.5 beschriebenen Kennzahlen:</w:t>
      </w:r>
    </w:p>
    <w:tbl>
      <w:tblPr>
        <w:tblStyle w:val="Tabellenraster"/>
        <w:tblW w:w="0" w:type="auto"/>
        <w:tblLook w:val="04A0" w:firstRow="1" w:lastRow="0" w:firstColumn="1" w:lastColumn="0" w:noHBand="0" w:noVBand="1"/>
      </w:tblPr>
      <w:tblGrid>
        <w:gridCol w:w="2351"/>
        <w:gridCol w:w="2351"/>
        <w:gridCol w:w="2351"/>
        <w:gridCol w:w="2351"/>
      </w:tblGrid>
      <w:tr w:rsidR="00274C5A" w14:paraId="10255BB5" w14:textId="77777777">
        <w:tc>
          <w:tcPr>
            <w:tcW w:w="2351" w:type="dxa"/>
          </w:tcPr>
          <w:p w14:paraId="2D11B61A" w14:textId="77777777" w:rsidR="00274C5A" w:rsidRDefault="0019427F">
            <w:pPr>
              <w:jc w:val="center"/>
            </w:pPr>
            <w:r>
              <w:rPr>
                <w:b/>
              </w:rPr>
              <w:t>Datenschicht</w:t>
            </w:r>
          </w:p>
        </w:tc>
        <w:tc>
          <w:tcPr>
            <w:tcW w:w="2351" w:type="dxa"/>
          </w:tcPr>
          <w:p w14:paraId="1B83DF63" w14:textId="77777777" w:rsidR="00274C5A" w:rsidRDefault="0019427F">
            <w:pPr>
              <w:jc w:val="center"/>
            </w:pPr>
            <w:r>
              <w:rPr>
                <w:b/>
              </w:rPr>
              <w:t>Beispieldaten</w:t>
            </w:r>
          </w:p>
        </w:tc>
        <w:tc>
          <w:tcPr>
            <w:tcW w:w="2351" w:type="dxa"/>
          </w:tcPr>
          <w:p w14:paraId="2D1D8792" w14:textId="77777777" w:rsidR="00274C5A" w:rsidRDefault="0019427F">
            <w:pPr>
              <w:jc w:val="center"/>
            </w:pPr>
            <w:r>
              <w:rPr>
                <w:b/>
              </w:rPr>
              <w:t>Systemtyp</w:t>
            </w:r>
          </w:p>
        </w:tc>
        <w:tc>
          <w:tcPr>
            <w:tcW w:w="2351" w:type="dxa"/>
          </w:tcPr>
          <w:p w14:paraId="60E6C521" w14:textId="77777777" w:rsidR="00274C5A" w:rsidRDefault="0019427F">
            <w:pPr>
              <w:jc w:val="center"/>
            </w:pPr>
            <w:r>
              <w:rPr>
                <w:b/>
              </w:rPr>
              <w:t>Leitmetrik</w:t>
            </w:r>
          </w:p>
        </w:tc>
      </w:tr>
      <w:tr w:rsidR="00274C5A" w14:paraId="6E38A9AC" w14:textId="77777777">
        <w:tc>
          <w:tcPr>
            <w:tcW w:w="2351" w:type="dxa"/>
          </w:tcPr>
          <w:p w14:paraId="043BE4A2" w14:textId="77777777" w:rsidR="00274C5A" w:rsidRDefault="0019427F">
            <w:r>
              <w:t>Hot</w:t>
            </w:r>
          </w:p>
        </w:tc>
        <w:tc>
          <w:tcPr>
            <w:tcW w:w="2351" w:type="dxa"/>
          </w:tcPr>
          <w:p w14:paraId="08BEBEF9" w14:textId="77777777" w:rsidR="00274C5A" w:rsidRDefault="0019427F">
            <w:r>
              <w:t>Vektorindex, KV-Cache</w:t>
            </w:r>
          </w:p>
        </w:tc>
        <w:tc>
          <w:tcPr>
            <w:tcW w:w="2351" w:type="dxa"/>
          </w:tcPr>
          <w:p w14:paraId="18B0F8B4" w14:textId="77777777" w:rsidR="00274C5A" w:rsidRDefault="0019427F">
            <w:r>
              <w:t>All-Flash-Array, lokale NVMe</w:t>
            </w:r>
          </w:p>
        </w:tc>
        <w:tc>
          <w:tcPr>
            <w:tcW w:w="2351" w:type="dxa"/>
          </w:tcPr>
          <w:p w14:paraId="5841C53D" w14:textId="77777777" w:rsidR="00274C5A" w:rsidRDefault="0019427F">
            <w:r>
              <w:t>IOPS, Latenz</w:t>
            </w:r>
          </w:p>
        </w:tc>
      </w:tr>
      <w:tr w:rsidR="00274C5A" w14:paraId="50F162B2" w14:textId="77777777">
        <w:tc>
          <w:tcPr>
            <w:tcW w:w="2351" w:type="dxa"/>
          </w:tcPr>
          <w:p w14:paraId="0ED216A3" w14:textId="77777777" w:rsidR="00274C5A" w:rsidRDefault="0019427F">
            <w:r>
              <w:t>Warm</w:t>
            </w:r>
          </w:p>
        </w:tc>
        <w:tc>
          <w:tcPr>
            <w:tcW w:w="2351" w:type="dxa"/>
          </w:tcPr>
          <w:p w14:paraId="2CBB14F4" w14:textId="77777777" w:rsidR="00274C5A" w:rsidRDefault="0019427F">
            <w:r>
              <w:t>Modellgewichte, aktive Dokumente</w:t>
            </w:r>
          </w:p>
        </w:tc>
        <w:tc>
          <w:tcPr>
            <w:tcW w:w="2351" w:type="dxa"/>
          </w:tcPr>
          <w:p w14:paraId="201F8ECA" w14:textId="77777777" w:rsidR="00274C5A" w:rsidRDefault="0019427F">
            <w:r>
              <w:t>Scale-out NAS / Paralleles FS</w:t>
            </w:r>
          </w:p>
        </w:tc>
        <w:tc>
          <w:tcPr>
            <w:tcW w:w="2351" w:type="dxa"/>
          </w:tcPr>
          <w:p w14:paraId="75B58D0F" w14:textId="77777777" w:rsidR="00274C5A" w:rsidRDefault="0019427F">
            <w:r>
              <w:t>Durchsatz, Parallelität</w:t>
            </w:r>
          </w:p>
        </w:tc>
      </w:tr>
      <w:tr w:rsidR="00274C5A" w14:paraId="2CFAB806" w14:textId="77777777">
        <w:tc>
          <w:tcPr>
            <w:tcW w:w="2351" w:type="dxa"/>
          </w:tcPr>
          <w:p w14:paraId="5764363B" w14:textId="77777777" w:rsidR="00274C5A" w:rsidRDefault="0019427F">
            <w:r>
              <w:t>Cold</w:t>
            </w:r>
          </w:p>
        </w:tc>
        <w:tc>
          <w:tcPr>
            <w:tcW w:w="2351" w:type="dxa"/>
          </w:tcPr>
          <w:p w14:paraId="3A816108" w14:textId="77777777" w:rsidR="00274C5A" w:rsidRDefault="0019427F">
            <w:r>
              <w:t>Rohdaten, Archiv-Dokumente, Modell-Versionen</w:t>
            </w:r>
          </w:p>
        </w:tc>
        <w:tc>
          <w:tcPr>
            <w:tcW w:w="2351" w:type="dxa"/>
          </w:tcPr>
          <w:p w14:paraId="10744374" w14:textId="77777777" w:rsidR="00274C5A" w:rsidRDefault="0019427F">
            <w:r>
              <w:t>Object Storage</w:t>
            </w:r>
          </w:p>
        </w:tc>
        <w:tc>
          <w:tcPr>
            <w:tcW w:w="2351" w:type="dxa"/>
          </w:tcPr>
          <w:p w14:paraId="574C80EC" w14:textId="77777777" w:rsidR="00274C5A" w:rsidRDefault="0019427F">
            <w:r>
              <w:t>Kapazität, Kosten/TB</w:t>
            </w:r>
          </w:p>
        </w:tc>
      </w:tr>
    </w:tbl>
    <w:p w14:paraId="2972934D" w14:textId="77777777" w:rsidR="00274C5A" w:rsidRDefault="00274C5A"/>
    <w:p w14:paraId="2B89B1A3" w14:textId="1E6E56F9" w:rsidR="00274C5A" w:rsidRDefault="0019427F">
      <w:pPr>
        <w:spacing w:after="120"/>
      </w:pPr>
      <w:r>
        <w:t xml:space="preserve">Diese Tabelle ist ein </w:t>
      </w:r>
      <w:proofErr w:type="spellStart"/>
      <w:r>
        <w:t>gutes</w:t>
      </w:r>
      <w:proofErr w:type="spellEnd"/>
      <w:r>
        <w:t xml:space="preserve"> </w:t>
      </w:r>
      <w:proofErr w:type="spellStart"/>
      <w:r>
        <w:t>Gesprächsmodell</w:t>
      </w:r>
      <w:proofErr w:type="spellEnd"/>
      <w:r>
        <w:t xml:space="preserve"> für </w:t>
      </w:r>
      <w:proofErr w:type="spellStart"/>
      <w:r>
        <w:t>Kundentermine</w:t>
      </w:r>
      <w:proofErr w:type="spellEnd"/>
      <w:r w:rsidR="00DB3B63">
        <w:t>.</w:t>
      </w:r>
      <w:r>
        <w:t xml:space="preserve"> Sie macht deutlich, dass eine einzige Storage-Lösung selten alle Anforderungen eines KI-Workloads optimal </w:t>
      </w:r>
      <w:proofErr w:type="spellStart"/>
      <w:r>
        <w:t>bedient</w:t>
      </w:r>
      <w:proofErr w:type="spellEnd"/>
      <w:r>
        <w:t xml:space="preserve"> </w:t>
      </w:r>
      <w:r>
        <w:t xml:space="preserve">und </w:t>
      </w:r>
      <w:proofErr w:type="spellStart"/>
      <w:r>
        <w:t>warum</w:t>
      </w:r>
      <w:proofErr w:type="spellEnd"/>
      <w:r>
        <w:t xml:space="preserve"> </w:t>
      </w:r>
      <w:proofErr w:type="spellStart"/>
      <w:r>
        <w:t>Architekturentscheidungen</w:t>
      </w:r>
      <w:proofErr w:type="spellEnd"/>
      <w:r>
        <w:t xml:space="preserve"> </w:t>
      </w:r>
      <w:proofErr w:type="spellStart"/>
      <w:r>
        <w:t>früh</w:t>
      </w:r>
      <w:proofErr w:type="spellEnd"/>
      <w:r>
        <w:t xml:space="preserve"> getroffen werden sollten.</w:t>
      </w:r>
    </w:p>
    <w:p w14:paraId="5C708AB0" w14:textId="77777777" w:rsidR="00274C5A" w:rsidRDefault="0019427F">
      <w:pPr>
        <w:pStyle w:val="berschrift2"/>
        <w:spacing w:before="240" w:after="120"/>
      </w:pPr>
      <w:r>
        <w:t>3.5 Datenpfade und Zugriffsmuster</w:t>
      </w:r>
    </w:p>
    <w:p w14:paraId="64855EEC" w14:textId="1E6DED74" w:rsidR="00274C5A" w:rsidRDefault="0019427F">
      <w:pPr>
        <w:spacing w:after="120"/>
      </w:pPr>
      <w:r>
        <w:t xml:space="preserve">Der Datenpfad beschreibt den Weg, den </w:t>
      </w:r>
      <w:proofErr w:type="spellStart"/>
      <w:r>
        <w:t>Daten</w:t>
      </w:r>
      <w:proofErr w:type="spellEnd"/>
      <w:r>
        <w:t xml:space="preserve"> </w:t>
      </w:r>
      <w:proofErr w:type="spellStart"/>
      <w:r>
        <w:t>nehmen</w:t>
      </w:r>
      <w:proofErr w:type="spellEnd"/>
      <w:r w:rsidR="00471DFA">
        <w:t xml:space="preserve"> </w:t>
      </w:r>
      <w:proofErr w:type="spellStart"/>
      <w:r w:rsidR="00471DFA">
        <w:t>undzwar</w:t>
      </w:r>
      <w:proofErr w:type="spellEnd"/>
      <w:r w:rsidR="00471DFA">
        <w:t xml:space="preserve"> </w:t>
      </w:r>
      <w:proofErr w:type="spellStart"/>
      <w:r w:rsidR="00471DFA">
        <w:t>v</w:t>
      </w:r>
      <w:r>
        <w:t>om</w:t>
      </w:r>
      <w:proofErr w:type="spellEnd"/>
      <w:r>
        <w:t xml:space="preserve"> Storage-Medium bis in den GPU-Speicher</w:t>
      </w:r>
      <w:r>
        <w:t>. Er bestimmt zusammen mit Netzwerk und Storage-System die tatsächlich erreichbare Performance. Ein gut geplantes Storage-System verliert seinen Vorteil, wenn der Datenpfad zum Flaschenhals wird.</w:t>
      </w:r>
    </w:p>
    <w:p w14:paraId="6B976D88" w14:textId="77777777" w:rsidR="00274C5A" w:rsidRDefault="0019427F">
      <w:pPr>
        <w:spacing w:after="80"/>
      </w:pPr>
      <w:r>
        <w:rPr>
          <w:b/>
        </w:rPr>
        <w:t>Der klassische Datenpfad</w:t>
      </w:r>
    </w:p>
    <w:p w14:paraId="2B51E688" w14:textId="36E1FC9A" w:rsidR="00274C5A" w:rsidRDefault="0019427F">
      <w:pPr>
        <w:spacing w:after="120"/>
      </w:pPr>
      <w:r>
        <w:t xml:space="preserve">Im klassischen Ablauf liest der CPU-Kern die Daten vom Storage-System in den Host-RAM (DRAM), verarbeitet sie dort gegebenenfalls vor und übergibt sie dann an den GPU-Speicher. Dieser Umweg über den Host-RAM ist </w:t>
      </w:r>
      <w:proofErr w:type="spellStart"/>
      <w:r>
        <w:t>bei</w:t>
      </w:r>
      <w:proofErr w:type="spellEnd"/>
      <w:r>
        <w:t xml:space="preserve"> </w:t>
      </w:r>
      <w:proofErr w:type="spellStart"/>
      <w:r>
        <w:t>großen</w:t>
      </w:r>
      <w:proofErr w:type="spellEnd"/>
      <w:r>
        <w:t xml:space="preserve"> </w:t>
      </w:r>
      <w:proofErr w:type="spellStart"/>
      <w:r>
        <w:t>Datenmengen</w:t>
      </w:r>
      <w:proofErr w:type="spellEnd"/>
      <w:r>
        <w:t xml:space="preserve"> </w:t>
      </w:r>
      <w:proofErr w:type="spellStart"/>
      <w:r>
        <w:t>teuer</w:t>
      </w:r>
      <w:proofErr w:type="spellEnd"/>
      <w:r w:rsidR="009B10BA">
        <w:t xml:space="preserve">, </w:t>
      </w:r>
      <w:proofErr w:type="spellStart"/>
      <w:r w:rsidR="009B10BA">
        <w:t>denn</w:t>
      </w:r>
      <w:proofErr w:type="spellEnd"/>
      <w:r w:rsidR="009B10BA">
        <w:t xml:space="preserve"> e</w:t>
      </w:r>
      <w:r>
        <w:t xml:space="preserve">r </w:t>
      </w:r>
      <w:proofErr w:type="spellStart"/>
      <w:r>
        <w:t>belastet</w:t>
      </w:r>
      <w:proofErr w:type="spellEnd"/>
      <w:r>
        <w:t xml:space="preserve"> CPU und Speicherbus, erzeugt Kopieroperationen und verlängert die Ladezeit.</w:t>
      </w:r>
    </w:p>
    <w:p w14:paraId="0005A715" w14:textId="77777777" w:rsidR="00274C5A" w:rsidRDefault="0019427F">
      <w:pPr>
        <w:spacing w:after="120"/>
      </w:pPr>
      <w:r>
        <w:t>Für einen einzelnen Inferenz-Server mit lokalem NVMe ist dieser Pfad in der Regel ausreichend. Für GPU-Cluster mit vielen parallelen Anfragen ist er ein messbarer Engpass.</w:t>
      </w:r>
    </w:p>
    <w:p w14:paraId="73E78287" w14:textId="77777777" w:rsidR="00274C5A" w:rsidRDefault="0019427F">
      <w:pPr>
        <w:spacing w:after="80"/>
      </w:pPr>
      <w:r>
        <w:rPr>
          <w:b/>
        </w:rPr>
        <w:t>GPUDirect Storage (GDS)</w:t>
      </w:r>
    </w:p>
    <w:p w14:paraId="13877433" w14:textId="77777777" w:rsidR="00274C5A" w:rsidRDefault="0019427F">
      <w:pPr>
        <w:spacing w:after="120"/>
      </w:pPr>
      <w:r>
        <w:t xml:space="preserve">GPUDirect Storage (GDS – eine von NVIDIA entwickelte Technologie, die Daten direkt vom Storage-Medium in den GPU-Speicher überträgt, ohne den Umweg über CPU oder Host-RAM) eliminiert </w:t>
      </w:r>
      <w:r>
        <w:lastRenderedPageBreak/>
        <w:t>diesen Kopiervorgang. Der Datenpfad verkürzt sich von Speicher → CPU → RAM → GPU auf Speicher → GPU. Das reduziert Latenz, entlastet die CPU und erhöht den effektiven Durchsatz erheblich.</w:t>
      </w:r>
    </w:p>
    <w:p w14:paraId="4E81933B" w14:textId="77777777" w:rsidR="00274C5A" w:rsidRDefault="0019427F">
      <w:pPr>
        <w:spacing w:after="120"/>
      </w:pPr>
      <w:r>
        <w:t>Voraussetzungen für GDS: NVMe-SSDs (lokal oder über NVMe-oF angebunden), ein RDMA-fähiges Netzwerk (InfiniBand oder RoCE) und ein GDS-kompatibler Storage-Treiber. NVIDIA referenziert GDS in seinen AI Factory Referenzarchitekturen als Standardbestandteil produktiver GPU-Cluster.</w:t>
      </w:r>
    </w:p>
    <w:p w14:paraId="5BFA1BF1" w14:textId="77777777" w:rsidR="00274C5A" w:rsidRDefault="0019427F">
      <w:pPr>
        <w:spacing w:after="80"/>
      </w:pPr>
      <w:r>
        <w:rPr>
          <w:b/>
        </w:rPr>
        <w:t>Typische Zugriffsmuster im AI-Betrieb</w:t>
      </w:r>
    </w:p>
    <w:p w14:paraId="250EE0C4" w14:textId="77777777" w:rsidR="00274C5A" w:rsidRDefault="0019427F">
      <w:pPr>
        <w:spacing w:after="120"/>
      </w:pPr>
      <w:r>
        <w:t>AI-Workloads erzeugen zwei grundlegend verschiedene I/O-Muster:</w:t>
      </w:r>
    </w:p>
    <w:p w14:paraId="46D18E7A" w14:textId="77777777" w:rsidR="00274C5A" w:rsidRDefault="0019427F">
      <w:pPr>
        <w:spacing w:after="120"/>
      </w:pPr>
      <w:r>
        <w:t>Sequentielle, große Reads: Beim Start eines Inferenz-Servers werden Modellgewichte vollständig vom Storage in den VRAM geladen. Das sind typischerweise Dateien zwischen 15 GB (7B-Modell in FP16) und mehreren hundert GB (405B-Modell). Das Zugriffsmuster ist sequentiell, die dominierende Kennzahl ist der Durchsatz.</w:t>
      </w:r>
    </w:p>
    <w:p w14:paraId="7053BEE6" w14:textId="77777777" w:rsidR="00274C5A" w:rsidRDefault="0019427F">
      <w:pPr>
        <w:spacing w:after="120"/>
      </w:pPr>
      <w:r>
        <w:t>Viele kleine, zufällige Reads: Im laufenden Betrieb erzeugt eine Vektordatenbank bei jeder Suchanfrage viele kleine, zufällige Lesezugriffe auf den Vektorindex. Das Muster ist random-read-heavy, die dominierende Kennzahl ist IOPS in Kombination mit Latenz.</w:t>
      </w:r>
    </w:p>
    <w:p w14:paraId="57CF82ED" w14:textId="29EA2486" w:rsidR="00274C5A" w:rsidRDefault="0019427F">
      <w:pPr>
        <w:spacing w:after="120"/>
      </w:pPr>
      <w:r>
        <w:t xml:space="preserve">Beide Muster können gleichzeitig auf derselben Infrastruktur auftreten, wenn Inferenz und Retrieval im selben System ablaufen. Das stellt Anforderungen </w:t>
      </w:r>
      <w:proofErr w:type="gramStart"/>
      <w:r>
        <w:t>an</w:t>
      </w:r>
      <w:proofErr w:type="gramEnd"/>
      <w:r>
        <w:t xml:space="preserve"> die I/O-Isolation </w:t>
      </w:r>
      <w:proofErr w:type="spellStart"/>
      <w:r>
        <w:t>im</w:t>
      </w:r>
      <w:proofErr w:type="spellEnd"/>
      <w:r>
        <w:t xml:space="preserve"> Storage-System</w:t>
      </w:r>
      <w:r w:rsidR="007C6441">
        <w:t xml:space="preserve">. </w:t>
      </w:r>
      <w:proofErr w:type="spellStart"/>
      <w:r>
        <w:t>Sequentielle</w:t>
      </w:r>
      <w:proofErr w:type="spellEnd"/>
      <w:r>
        <w:t xml:space="preserve"> Bulk-Reads </w:t>
      </w:r>
      <w:proofErr w:type="spellStart"/>
      <w:r>
        <w:t>beim</w:t>
      </w:r>
      <w:proofErr w:type="spellEnd"/>
      <w:r>
        <w:t xml:space="preserve"> Modell-Laden </w:t>
      </w:r>
      <w:proofErr w:type="spellStart"/>
      <w:r>
        <w:t>sollten</w:t>
      </w:r>
      <w:proofErr w:type="spellEnd"/>
      <w:r>
        <w:t xml:space="preserve"> die IOPS-Performance der Vektordatenbank nicht beeinträchtigen.</w:t>
      </w:r>
    </w:p>
    <w:p w14:paraId="4EDEA439" w14:textId="77777777" w:rsidR="00274C5A" w:rsidRDefault="0019427F">
      <w:pPr>
        <w:spacing w:after="80"/>
      </w:pPr>
      <w:r>
        <w:rPr>
          <w:b/>
        </w:rPr>
        <w:t>NVIDIA SCADA</w:t>
      </w:r>
    </w:p>
    <w:p w14:paraId="4E4F0EA6" w14:textId="71D29D53" w:rsidR="00274C5A" w:rsidRDefault="0019427F">
      <w:pPr>
        <w:spacing w:after="120"/>
      </w:pPr>
      <w:r>
        <w:t xml:space="preserve">Mit SCADA (Scaled Accelerated Data Access – ein im November 2025 von NVIDIA vorgestelltes GPU-initiiertes Storage-I/O-Modell) geht NVIDIA noch einen Schritt weiter als GDS. Während GPUDirect Storage den Datenpfad vom CPU-Kopiervorgang befreit, übergibt SCADA auch die Steuerung der Storage-Zugriffe vollständig an die GPU. Die GPU initiiert I/O-Anfragen eigenständig, ohne CPU-Eingriff. Das ist für hochparallele Inferenz-Workloads mit sehr hoher Anfragelast relevant und zeigt die </w:t>
      </w:r>
      <w:proofErr w:type="spellStart"/>
      <w:r>
        <w:t>Entwicklungsrichtung</w:t>
      </w:r>
      <w:proofErr w:type="spellEnd"/>
      <w:r w:rsidR="006535CC">
        <w:t xml:space="preserve">, </w:t>
      </w:r>
      <w:proofErr w:type="spellStart"/>
      <w:r w:rsidR="006535CC">
        <w:t>dass</w:t>
      </w:r>
      <w:proofErr w:type="spellEnd"/>
      <w:r>
        <w:t xml:space="preserve"> Storage-Zugriff </w:t>
      </w:r>
      <w:proofErr w:type="spellStart"/>
      <w:r>
        <w:t>zunehmend</w:t>
      </w:r>
      <w:proofErr w:type="spellEnd"/>
      <w:r>
        <w:t xml:space="preserve"> Teil der GPU-</w:t>
      </w:r>
      <w:proofErr w:type="spellStart"/>
      <w:r>
        <w:t>Architektur</w:t>
      </w:r>
      <w:proofErr w:type="spellEnd"/>
      <w:r w:rsidR="006535CC">
        <w:t xml:space="preserve"> </w:t>
      </w:r>
      <w:proofErr w:type="spellStart"/>
      <w:r w:rsidR="006535CC">
        <w:t>wird</w:t>
      </w:r>
      <w:proofErr w:type="spellEnd"/>
      <w:r>
        <w:t xml:space="preserve">, nicht </w:t>
      </w:r>
      <w:proofErr w:type="spellStart"/>
      <w:r>
        <w:t>mehr</w:t>
      </w:r>
      <w:proofErr w:type="spellEnd"/>
      <w:r>
        <w:t xml:space="preserve"> nur der Serverinfrastruktur.</w:t>
      </w:r>
    </w:p>
    <w:p w14:paraId="49F1DE61" w14:textId="77777777" w:rsidR="00274C5A" w:rsidRDefault="0019427F">
      <w:pPr>
        <w:pStyle w:val="berschrift2"/>
        <w:spacing w:before="240" w:after="120"/>
      </w:pPr>
      <w:r>
        <w:t>3.6 Schutzmechanismen und Verfügbarkeit</w:t>
      </w:r>
    </w:p>
    <w:p w14:paraId="5EED148A" w14:textId="2CF0A5CC" w:rsidR="00274C5A" w:rsidRDefault="0019427F">
      <w:pPr>
        <w:spacing w:after="120"/>
      </w:pPr>
      <w:r>
        <w:t xml:space="preserve">KI-Workloads stellen andere Anforderungen an Datenverfügbarkeit als klassische Unternehmensanwendungen. Beim Training ist ein </w:t>
      </w:r>
      <w:proofErr w:type="spellStart"/>
      <w:r>
        <w:t>kurzer</w:t>
      </w:r>
      <w:proofErr w:type="spellEnd"/>
      <w:r>
        <w:t xml:space="preserve"> </w:t>
      </w:r>
      <w:proofErr w:type="spellStart"/>
      <w:r>
        <w:t>Ausfall</w:t>
      </w:r>
      <w:proofErr w:type="spellEnd"/>
      <w:r>
        <w:t xml:space="preserve"> </w:t>
      </w:r>
      <w:proofErr w:type="spellStart"/>
      <w:r>
        <w:t>oft</w:t>
      </w:r>
      <w:proofErr w:type="spellEnd"/>
      <w:r>
        <w:t xml:space="preserve"> </w:t>
      </w:r>
      <w:proofErr w:type="spellStart"/>
      <w:r>
        <w:t>verkraftbar</w:t>
      </w:r>
      <w:proofErr w:type="spellEnd"/>
      <w:r w:rsidR="00333D5A">
        <w:t xml:space="preserve">, </w:t>
      </w:r>
      <w:proofErr w:type="spellStart"/>
      <w:r w:rsidR="00333D5A">
        <w:t>z.B.</w:t>
      </w:r>
      <w:proofErr w:type="spellEnd"/>
      <w:r w:rsidR="00333D5A">
        <w:t xml:space="preserve"> </w:t>
      </w:r>
      <w:proofErr w:type="spellStart"/>
      <w:r w:rsidR="00333D5A">
        <w:t>kann</w:t>
      </w:r>
      <w:proofErr w:type="spellEnd"/>
      <w:r w:rsidR="00333D5A">
        <w:t xml:space="preserve"> </w:t>
      </w:r>
      <w:proofErr w:type="spellStart"/>
      <w:r>
        <w:t>ein</w:t>
      </w:r>
      <w:proofErr w:type="spellEnd"/>
      <w:r>
        <w:t xml:space="preserve"> Checkpoint </w:t>
      </w:r>
      <w:r>
        <w:t xml:space="preserve">neu </w:t>
      </w:r>
      <w:proofErr w:type="spellStart"/>
      <w:r>
        <w:t>gestartet</w:t>
      </w:r>
      <w:proofErr w:type="spellEnd"/>
      <w:r>
        <w:t xml:space="preserve"> </w:t>
      </w:r>
      <w:proofErr w:type="spellStart"/>
      <w:r>
        <w:t>werden</w:t>
      </w:r>
      <w:proofErr w:type="spellEnd"/>
      <w:r>
        <w:t xml:space="preserve">. Bei produktiver Inferenz gilt das nicht. Ein </w:t>
      </w:r>
      <w:proofErr w:type="spellStart"/>
      <w:r>
        <w:t>ausgefallenes</w:t>
      </w:r>
      <w:proofErr w:type="spellEnd"/>
      <w:r>
        <w:t xml:space="preserve"> Storage-System </w:t>
      </w:r>
      <w:proofErr w:type="spellStart"/>
      <w:r>
        <w:t>bedeutet</w:t>
      </w:r>
      <w:proofErr w:type="spellEnd"/>
      <w:r>
        <w:t xml:space="preserve"> </w:t>
      </w:r>
      <w:proofErr w:type="spellStart"/>
      <w:r>
        <w:t>sofort</w:t>
      </w:r>
      <w:proofErr w:type="spellEnd"/>
      <w:r w:rsidR="00333D5A">
        <w:t xml:space="preserve">, </w:t>
      </w:r>
      <w:proofErr w:type="spellStart"/>
      <w:r w:rsidR="00333D5A">
        <w:t>dass</w:t>
      </w:r>
      <w:proofErr w:type="spellEnd"/>
      <w:r w:rsidR="00333D5A">
        <w:t xml:space="preserve"> der </w:t>
      </w:r>
      <w:proofErr w:type="spellStart"/>
      <w:r w:rsidR="00333D5A">
        <w:t>Endnutzer</w:t>
      </w:r>
      <w:proofErr w:type="spellEnd"/>
      <w:r w:rsidR="00333D5A">
        <w:t xml:space="preserve"> </w:t>
      </w:r>
      <w:proofErr w:type="spellStart"/>
      <w:r w:rsidR="00333D5A">
        <w:t>keine</w:t>
      </w:r>
      <w:proofErr w:type="spellEnd"/>
      <w:r w:rsidR="00333D5A">
        <w:t xml:space="preserve"> </w:t>
      </w:r>
      <w:proofErr w:type="spellStart"/>
      <w:r w:rsidR="00333D5A">
        <w:t>Antwort</w:t>
      </w:r>
      <w:proofErr w:type="spellEnd"/>
      <w:r w:rsidR="00333D5A">
        <w:t xml:space="preserve"> </w:t>
      </w:r>
      <w:proofErr w:type="spellStart"/>
      <w:r w:rsidR="00333D5A">
        <w:t>erhält</w:t>
      </w:r>
      <w:proofErr w:type="spellEnd"/>
      <w:r>
        <w:t>.</w:t>
      </w:r>
    </w:p>
    <w:p w14:paraId="4839E227" w14:textId="77777777" w:rsidR="00274C5A" w:rsidRDefault="0019427F">
      <w:pPr>
        <w:spacing w:after="120"/>
      </w:pPr>
      <w:r>
        <w:t>Kapitel 2.6 hat die Grundmechanismen (RAID, Replikation, Snapshots, Backup) erklärt. Hier geht es um deren Einsatz im RZ-Kontext und um die Frage, welcher Mechanismus welches Problem löst.</w:t>
      </w:r>
    </w:p>
    <w:p w14:paraId="6FA5BAD9" w14:textId="77777777" w:rsidR="00274C5A" w:rsidRDefault="0019427F">
      <w:pPr>
        <w:spacing w:after="80"/>
      </w:pPr>
      <w:r>
        <w:rPr>
          <w:b/>
        </w:rPr>
        <w:t>Verfügbarkeit der Wissensbasis</w:t>
      </w:r>
    </w:p>
    <w:p w14:paraId="43FDF804" w14:textId="77777777" w:rsidR="00274C5A" w:rsidRDefault="0019427F">
      <w:pPr>
        <w:spacing w:after="120"/>
      </w:pPr>
      <w:r>
        <w:t>Eine RAG-Wissensbasis besteht aus drei Bestandteilen: dem Quell-Dokumentenkorpus (in Object Storage), den Vektoren (in der Vektordatenbank) und den Modellgewichten (in File- oder Object-Storage). Fällt einer dieser Bestandteile aus, degradiert die gesamte Anwendung.</w:t>
      </w:r>
    </w:p>
    <w:p w14:paraId="01207B90" w14:textId="77777777" w:rsidR="00274C5A" w:rsidRDefault="0019427F">
      <w:pPr>
        <w:spacing w:after="120"/>
      </w:pPr>
      <w:r>
        <w:t>Die praktische Konsequenz für die Architektur:</w:t>
      </w:r>
    </w:p>
    <w:p w14:paraId="5630E913" w14:textId="77777777" w:rsidR="00274C5A" w:rsidRDefault="0019427F">
      <w:pPr>
        <w:pStyle w:val="Aufzhlungszeichen"/>
        <w:spacing w:after="60"/>
      </w:pPr>
      <w:r>
        <w:lastRenderedPageBreak/>
        <w:t>Vektordatenbank auf All-Flash mit Replikation: Der Hot Tier ist am kritischsten. RAID schützt vor einzelnen Laufwerksausfällen. Synchrone Replikation auf ein zweites System sichert gegen Controller-Ausfall.</w:t>
      </w:r>
    </w:p>
    <w:p w14:paraId="2D6A6CB9" w14:textId="77777777" w:rsidR="00274C5A" w:rsidRDefault="0019427F">
      <w:pPr>
        <w:pStyle w:val="Aufzhlungszeichen"/>
        <w:spacing w:after="60"/>
      </w:pPr>
      <w:r>
        <w:t>Modellgewichte auf Scale-out NAS: Redundanz durch das Dateisystem selbst (mehrere Nodes, Erasure Coding). Zusätzliche Replikation nur, wenn mehrere RZ-Standorte vorgesehen sind.</w:t>
      </w:r>
    </w:p>
    <w:p w14:paraId="66D9CCF2" w14:textId="77777777" w:rsidR="00274C5A" w:rsidRDefault="0019427F">
      <w:pPr>
        <w:pStyle w:val="Aufzhlungszeichen"/>
        <w:spacing w:after="60"/>
      </w:pPr>
      <w:r>
        <w:t>Dokumentkorpus auf Object Storage: Erasure Coding im Object-Storage-Cluster ist Standard. Geo-Replikation für Multi-Site-Setups empfohlen.</w:t>
      </w:r>
    </w:p>
    <w:p w14:paraId="4C9854A7" w14:textId="77777777" w:rsidR="00274C5A" w:rsidRDefault="0019427F">
      <w:pPr>
        <w:spacing w:after="80"/>
      </w:pPr>
      <w:r>
        <w:rPr>
          <w:b/>
        </w:rPr>
        <w:t>Snapshots für Wissensbasis-Updates</w:t>
      </w:r>
    </w:p>
    <w:p w14:paraId="0AF4645C" w14:textId="601B0A95" w:rsidR="00274C5A" w:rsidRDefault="0019427F">
      <w:pPr>
        <w:spacing w:after="120"/>
      </w:pPr>
      <w:r>
        <w:t>Eine RAG-</w:t>
      </w:r>
      <w:proofErr w:type="spellStart"/>
      <w:r>
        <w:t>Wissensbasis</w:t>
      </w:r>
      <w:proofErr w:type="spellEnd"/>
      <w:r>
        <w:t xml:space="preserve"> </w:t>
      </w:r>
      <w:proofErr w:type="spellStart"/>
      <w:r>
        <w:t>wird</w:t>
      </w:r>
      <w:proofErr w:type="spellEnd"/>
      <w:r>
        <w:t xml:space="preserve"> </w:t>
      </w:r>
      <w:proofErr w:type="spellStart"/>
      <w:r>
        <w:t>regelmäßig</w:t>
      </w:r>
      <w:proofErr w:type="spellEnd"/>
      <w:r>
        <w:t xml:space="preserve"> </w:t>
      </w:r>
      <w:proofErr w:type="spellStart"/>
      <w:r>
        <w:t>aktualisiert</w:t>
      </w:r>
      <w:proofErr w:type="spellEnd"/>
      <w:r w:rsidR="00204242">
        <w:t>.</w:t>
      </w:r>
      <w:r>
        <w:t xml:space="preserve"> Neue Dokumente kommen hinzu, bestehende Vektoren werden neu berechnet. Schlägt ein Update fehl oder verschlechtert es die Qualität der Suchergebnisse, muss das System schnell auf den letzten bekannten guten Zustand zurückgesetzt werden.</w:t>
      </w:r>
    </w:p>
    <w:p w14:paraId="5CBAE128" w14:textId="207DCC28" w:rsidR="00274C5A" w:rsidRDefault="0019427F">
      <w:pPr>
        <w:spacing w:after="120"/>
      </w:pPr>
      <w:r>
        <w:t>Snapshots (Point-in-Time-Kopien des Storage-</w:t>
      </w:r>
      <w:proofErr w:type="spellStart"/>
      <w:r>
        <w:t>Zustands</w:t>
      </w:r>
      <w:proofErr w:type="spellEnd"/>
      <w:r>
        <w:t xml:space="preserve">) </w:t>
      </w:r>
      <w:proofErr w:type="spellStart"/>
      <w:r>
        <w:t>ermöglichen</w:t>
      </w:r>
      <w:proofErr w:type="spellEnd"/>
      <w:r>
        <w:t xml:space="preserve"> </w:t>
      </w:r>
      <w:proofErr w:type="spellStart"/>
      <w:r>
        <w:t>genau</w:t>
      </w:r>
      <w:proofErr w:type="spellEnd"/>
      <w:r>
        <w:t xml:space="preserve"> das</w:t>
      </w:r>
      <w:r w:rsidR="005A541D">
        <w:t>. I</w:t>
      </w:r>
      <w:r>
        <w:t xml:space="preserve">n der Regel </w:t>
      </w:r>
      <w:proofErr w:type="spellStart"/>
      <w:r>
        <w:t>innerhalb</w:t>
      </w:r>
      <w:proofErr w:type="spellEnd"/>
      <w:r>
        <w:t xml:space="preserve"> von Sekunden, ohne den laufenden Betrieb zu unterbrechen. Moderne Systeme wie NetApp ONTAP, Pure Storage FlashArray oder IBM FlashSystem bieten unveränderliche Snapshots (Immutable Snapshots), die selbst Administratoren nicht löschen können. Das bietet zusätzlichen Schutz gegen Ransomware.</w:t>
      </w:r>
    </w:p>
    <w:p w14:paraId="085C9D2B" w14:textId="77777777" w:rsidR="00274C5A" w:rsidRDefault="0019427F">
      <w:pPr>
        <w:spacing w:after="80"/>
      </w:pPr>
      <w:r>
        <w:rPr>
          <w:b/>
        </w:rPr>
        <w:t>High Availability und RTO</w:t>
      </w:r>
    </w:p>
    <w:p w14:paraId="640621BB" w14:textId="77777777" w:rsidR="00274C5A" w:rsidRDefault="0019427F">
      <w:pPr>
        <w:spacing w:after="120"/>
      </w:pPr>
      <w:r>
        <w:t>High Availability (HA – Hochverfügbarkeit, die Fähigkeit eines Systems, auch bei Komponentenausfällen ohne Unterbrechung weiterzulaufen) wird bei Storage-Systemen typischerweise durch doppelte Controller realisiert. Fällt ein Controller aus, übernimmt der zweite ohne Unterbrechung.</w:t>
      </w:r>
    </w:p>
    <w:p w14:paraId="5A48FC17" w14:textId="7FA83F23" w:rsidR="00274C5A" w:rsidRDefault="0019427F">
      <w:pPr>
        <w:spacing w:after="120"/>
      </w:pPr>
      <w:r>
        <w:t xml:space="preserve">Für die RZ-Planung ist das Recovery Time Objective (RTO – die maximal tolerierbare Ausfallzeit) der maßgebliche Parameter. Produktive Inferenz-Systeme haben typischerweise ein RTO von Sekunden bis wenigen Minuten. Backup-Wiederherstellung aus einer Bandbibliothek ist für </w:t>
      </w:r>
      <w:proofErr w:type="spellStart"/>
      <w:r>
        <w:t>diesen</w:t>
      </w:r>
      <w:proofErr w:type="spellEnd"/>
      <w:r>
        <w:t xml:space="preserve"> Zweck nicht </w:t>
      </w:r>
      <w:proofErr w:type="spellStart"/>
      <w:r>
        <w:t>geeignet</w:t>
      </w:r>
      <w:proofErr w:type="spellEnd"/>
      <w:r w:rsidR="00893077">
        <w:t xml:space="preserve">, da </w:t>
      </w:r>
      <w:proofErr w:type="spellStart"/>
      <w:r>
        <w:t>sie</w:t>
      </w:r>
      <w:proofErr w:type="spellEnd"/>
      <w:r>
        <w:t xml:space="preserve"> </w:t>
      </w:r>
      <w:proofErr w:type="spellStart"/>
      <w:r>
        <w:t>eine</w:t>
      </w:r>
      <w:proofErr w:type="spellEnd"/>
      <w:r>
        <w:t xml:space="preserve"> </w:t>
      </w:r>
      <w:proofErr w:type="spellStart"/>
      <w:r>
        <w:t>Absicherung</w:t>
      </w:r>
      <w:proofErr w:type="spellEnd"/>
      <w:r>
        <w:t xml:space="preserve"> </w:t>
      </w:r>
      <w:proofErr w:type="spellStart"/>
      <w:r>
        <w:t>gegen</w:t>
      </w:r>
      <w:proofErr w:type="spellEnd"/>
      <w:r>
        <w:t xml:space="preserve"> </w:t>
      </w:r>
      <w:proofErr w:type="spellStart"/>
      <w:r>
        <w:t>Totalverlust</w:t>
      </w:r>
      <w:proofErr w:type="spellEnd"/>
      <w:r w:rsidR="00893077">
        <w:t xml:space="preserve"> </w:t>
      </w:r>
      <w:proofErr w:type="spellStart"/>
      <w:r w:rsidR="00893077">
        <w:t>ist</w:t>
      </w:r>
      <w:proofErr w:type="spellEnd"/>
      <w:r>
        <w:t xml:space="preserve">, </w:t>
      </w:r>
      <w:proofErr w:type="spellStart"/>
      <w:r>
        <w:t>keine</w:t>
      </w:r>
      <w:proofErr w:type="spellEnd"/>
      <w:r>
        <w:t xml:space="preserve"> HA-</w:t>
      </w:r>
      <w:proofErr w:type="spellStart"/>
      <w:r>
        <w:t>Maßnahme</w:t>
      </w:r>
      <w:proofErr w:type="spellEnd"/>
      <w:r>
        <w:t>.</w:t>
      </w:r>
    </w:p>
    <w:p w14:paraId="3CFBF38B" w14:textId="77777777" w:rsidR="00274C5A" w:rsidRDefault="0019427F">
      <w:pPr>
        <w:pStyle w:val="berschrift2"/>
        <w:spacing w:before="240" w:after="120"/>
      </w:pPr>
      <w:r>
        <w:t>3.7 Skalierung und Betriebsmodelle</w:t>
      </w:r>
    </w:p>
    <w:p w14:paraId="28BAF8A2" w14:textId="77777777" w:rsidR="00274C5A" w:rsidRDefault="0019427F">
      <w:pPr>
        <w:spacing w:after="120"/>
      </w:pPr>
      <w:r>
        <w:t>KI-Infrastrukturen wachsen. Modelle werden größer, Wissensbasen umfangreicher, Nutzeranfragen häufiger. Die Storage-Architektur muss dieses Wachstum abfangen, ohne dass jede Erweiterung ein Architektur-Redesign erfordert.</w:t>
      </w:r>
    </w:p>
    <w:p w14:paraId="27E1303A" w14:textId="77777777" w:rsidR="00274C5A" w:rsidRDefault="0019427F">
      <w:pPr>
        <w:spacing w:after="80"/>
      </w:pPr>
      <w:r>
        <w:rPr>
          <w:b/>
        </w:rPr>
        <w:t>Scale-up vs. Scale-out</w:t>
      </w:r>
    </w:p>
    <w:p w14:paraId="0503DE97" w14:textId="3084F862" w:rsidR="00274C5A" w:rsidRDefault="0019427F">
      <w:pPr>
        <w:spacing w:after="120"/>
      </w:pPr>
      <w:r>
        <w:t xml:space="preserve">Scale-up bedeutet, ein bestehendes System durch mehr Laufwerke, mehr RAM oder einen leistungsfähigeren Controller zu erweitern. Das ist einfach, aber begrenzt. Jedes System hat eine physische Obergrenze. Zudem entsteht beim Scale-up </w:t>
      </w:r>
      <w:proofErr w:type="spellStart"/>
      <w:r>
        <w:t>kein</w:t>
      </w:r>
      <w:proofErr w:type="spellEnd"/>
      <w:r>
        <w:t xml:space="preserve"> </w:t>
      </w:r>
      <w:proofErr w:type="spellStart"/>
      <w:r>
        <w:t>linearer</w:t>
      </w:r>
      <w:proofErr w:type="spellEnd"/>
      <w:r>
        <w:t xml:space="preserve"> Performance-</w:t>
      </w:r>
      <w:proofErr w:type="spellStart"/>
      <w:r>
        <w:t>Zuwachs</w:t>
      </w:r>
      <w:proofErr w:type="spellEnd"/>
      <w:r w:rsidR="002D6615">
        <w:t xml:space="preserve">, </w:t>
      </w:r>
      <w:r>
        <w:t>Controller-</w:t>
      </w:r>
      <w:proofErr w:type="spellStart"/>
      <w:r>
        <w:t>Engpässe</w:t>
      </w:r>
      <w:proofErr w:type="spellEnd"/>
      <w:r>
        <w:t xml:space="preserve"> </w:t>
      </w:r>
      <w:proofErr w:type="spellStart"/>
      <w:r>
        <w:t>bleiben</w:t>
      </w:r>
      <w:proofErr w:type="spellEnd"/>
      <w:r>
        <w:t xml:space="preserve"> </w:t>
      </w:r>
      <w:proofErr w:type="spellStart"/>
      <w:r>
        <w:t>bestehen</w:t>
      </w:r>
      <w:proofErr w:type="spellEnd"/>
      <w:r>
        <w:t>.</w:t>
      </w:r>
    </w:p>
    <w:p w14:paraId="007EFF35" w14:textId="77777777" w:rsidR="00274C5A" w:rsidRDefault="0019427F">
      <w:pPr>
        <w:spacing w:after="120"/>
      </w:pPr>
      <w:r>
        <w:t>Scale-out bedeutet, zusätzliche Nodes (Knoten) zum Cluster hinzuzufügen. Kapazität und Performance wachsen gemeinsam. Systeme wie Dell PowerScale, WEKA, NetApp StorageGRID oder IBM Spectrum Scale sind für Scale-out ausgelegt. Im AI-Kontext ist das der bevorzugte Ansatz, da sowohl Datenmenge als auch Anfragelast mit den KI-Projekten wachsen.</w:t>
      </w:r>
    </w:p>
    <w:p w14:paraId="23113826" w14:textId="63A922F3" w:rsidR="00274C5A" w:rsidRDefault="0019427F">
      <w:pPr>
        <w:spacing w:after="120"/>
      </w:pPr>
      <w:r>
        <w:lastRenderedPageBreak/>
        <w:t xml:space="preserve">Die </w:t>
      </w:r>
      <w:proofErr w:type="spellStart"/>
      <w:r>
        <w:t>praktische</w:t>
      </w:r>
      <w:proofErr w:type="spellEnd"/>
      <w:r>
        <w:t xml:space="preserve"> </w:t>
      </w:r>
      <w:proofErr w:type="spellStart"/>
      <w:r>
        <w:t>Empfehlung</w:t>
      </w:r>
      <w:proofErr w:type="spellEnd"/>
      <w:r w:rsidR="00794454">
        <w:t xml:space="preserve"> </w:t>
      </w:r>
      <w:proofErr w:type="spellStart"/>
      <w:r w:rsidR="00794454">
        <w:t>ist</w:t>
      </w:r>
      <w:proofErr w:type="spellEnd"/>
      <w:r w:rsidR="00794454">
        <w:t xml:space="preserve">, </w:t>
      </w:r>
      <w:proofErr w:type="spellStart"/>
      <w:r w:rsidR="00794454">
        <w:t>w</w:t>
      </w:r>
      <w:r>
        <w:t>er</w:t>
      </w:r>
      <w:proofErr w:type="spellEnd"/>
      <w:r>
        <w:t xml:space="preserve"> </w:t>
      </w:r>
      <w:proofErr w:type="spellStart"/>
      <w:r>
        <w:t>heute</w:t>
      </w:r>
      <w:proofErr w:type="spellEnd"/>
      <w:r>
        <w:t xml:space="preserve"> </w:t>
      </w:r>
      <w:proofErr w:type="spellStart"/>
      <w:r>
        <w:t>mit</w:t>
      </w:r>
      <w:proofErr w:type="spellEnd"/>
      <w:r>
        <w:t xml:space="preserve"> </w:t>
      </w:r>
      <w:proofErr w:type="spellStart"/>
      <w:r>
        <w:t>zwei</w:t>
      </w:r>
      <w:proofErr w:type="spellEnd"/>
      <w:r>
        <w:t xml:space="preserve"> GPU-Nodes beginnt und in zwölf Monaten zehn betreiben will, sollte von Anfang an eine Scale-out-fähige Storage-Architektur planen.</w:t>
      </w:r>
    </w:p>
    <w:p w14:paraId="66A3BD81" w14:textId="77777777" w:rsidR="00274C5A" w:rsidRDefault="0019427F">
      <w:pPr>
        <w:spacing w:after="80"/>
      </w:pPr>
      <w:r>
        <w:rPr>
          <w:b/>
        </w:rPr>
        <w:t>On-Premises, Hybrid und Cloud</w:t>
      </w:r>
    </w:p>
    <w:p w14:paraId="32A9EFF1" w14:textId="77777777" w:rsidR="00274C5A" w:rsidRDefault="0019427F">
      <w:pPr>
        <w:spacing w:after="120"/>
      </w:pPr>
      <w:r>
        <w:t>Die Wahl des Betriebsmodells beeinflusst, wo Daten liegen und wer Verantwortung für deren Verfügbarkeit trägt:</w:t>
      </w:r>
    </w:p>
    <w:tbl>
      <w:tblPr>
        <w:tblStyle w:val="Tabellenraster"/>
        <w:tblW w:w="0" w:type="auto"/>
        <w:tblLook w:val="04A0" w:firstRow="1" w:lastRow="0" w:firstColumn="1" w:lastColumn="0" w:noHBand="0" w:noVBand="1"/>
      </w:tblPr>
      <w:tblGrid>
        <w:gridCol w:w="3135"/>
        <w:gridCol w:w="3135"/>
        <w:gridCol w:w="3135"/>
      </w:tblGrid>
      <w:tr w:rsidR="00274C5A" w14:paraId="252D24A0" w14:textId="77777777">
        <w:tc>
          <w:tcPr>
            <w:tcW w:w="3135" w:type="dxa"/>
          </w:tcPr>
          <w:p w14:paraId="3C66CC43" w14:textId="77777777" w:rsidR="00274C5A" w:rsidRDefault="0019427F">
            <w:pPr>
              <w:jc w:val="center"/>
            </w:pPr>
            <w:r>
              <w:rPr>
                <w:b/>
              </w:rPr>
              <w:t>Modell</w:t>
            </w:r>
          </w:p>
        </w:tc>
        <w:tc>
          <w:tcPr>
            <w:tcW w:w="3135" w:type="dxa"/>
          </w:tcPr>
          <w:p w14:paraId="4EB70CC4" w14:textId="77777777" w:rsidR="00274C5A" w:rsidRDefault="0019427F">
            <w:pPr>
              <w:jc w:val="center"/>
            </w:pPr>
            <w:r>
              <w:rPr>
                <w:b/>
              </w:rPr>
              <w:t>Stärken</w:t>
            </w:r>
          </w:p>
        </w:tc>
        <w:tc>
          <w:tcPr>
            <w:tcW w:w="3135" w:type="dxa"/>
          </w:tcPr>
          <w:p w14:paraId="5F71A0A8" w14:textId="77777777" w:rsidR="00274C5A" w:rsidRDefault="0019427F">
            <w:pPr>
              <w:jc w:val="center"/>
            </w:pPr>
            <w:r>
              <w:rPr>
                <w:b/>
              </w:rPr>
              <w:t>Schwächen</w:t>
            </w:r>
          </w:p>
        </w:tc>
      </w:tr>
      <w:tr w:rsidR="00274C5A" w14:paraId="115B86B1" w14:textId="77777777">
        <w:tc>
          <w:tcPr>
            <w:tcW w:w="3135" w:type="dxa"/>
          </w:tcPr>
          <w:p w14:paraId="4FE2CE90" w14:textId="77777777" w:rsidR="00274C5A" w:rsidRDefault="0019427F">
            <w:r>
              <w:t>On-Premises</w:t>
            </w:r>
          </w:p>
        </w:tc>
        <w:tc>
          <w:tcPr>
            <w:tcW w:w="3135" w:type="dxa"/>
          </w:tcPr>
          <w:p w14:paraId="4B1B4C3E" w14:textId="77777777" w:rsidR="00274C5A" w:rsidRDefault="0019427F">
            <w:r>
              <w:t>Volle Kontrolle, Datenlokalität, keine Egress-Kosten, Compliance einfacher</w:t>
            </w:r>
          </w:p>
        </w:tc>
        <w:tc>
          <w:tcPr>
            <w:tcW w:w="3135" w:type="dxa"/>
          </w:tcPr>
          <w:p w14:paraId="7148CFDF" w14:textId="77777777" w:rsidR="00274C5A" w:rsidRDefault="0019427F">
            <w:r>
              <w:t>Hohe Anfangsinvestitionen, Betriebsaufwand</w:t>
            </w:r>
          </w:p>
        </w:tc>
      </w:tr>
      <w:tr w:rsidR="00274C5A" w14:paraId="152CC104" w14:textId="77777777">
        <w:tc>
          <w:tcPr>
            <w:tcW w:w="3135" w:type="dxa"/>
          </w:tcPr>
          <w:p w14:paraId="7F4ADE55" w14:textId="77777777" w:rsidR="00274C5A" w:rsidRDefault="0019427F">
            <w:r>
              <w:t>Cloud-native</w:t>
            </w:r>
          </w:p>
        </w:tc>
        <w:tc>
          <w:tcPr>
            <w:tcW w:w="3135" w:type="dxa"/>
          </w:tcPr>
          <w:p w14:paraId="76405F42" w14:textId="77777777" w:rsidR="00274C5A" w:rsidRDefault="0019427F">
            <w:r>
              <w:t>Schnell startklar, elastisch skalierbar, kein Wartungsaufwand</w:t>
            </w:r>
          </w:p>
        </w:tc>
        <w:tc>
          <w:tcPr>
            <w:tcW w:w="3135" w:type="dxa"/>
          </w:tcPr>
          <w:p w14:paraId="1E9354E6" w14:textId="77777777" w:rsidR="00274C5A" w:rsidRDefault="0019427F">
            <w:r>
              <w:t>Latenz höher, Egress-Kosten, Datenschutz-Anforderungen komplex</w:t>
            </w:r>
          </w:p>
        </w:tc>
      </w:tr>
      <w:tr w:rsidR="00274C5A" w14:paraId="400834A9" w14:textId="77777777">
        <w:tc>
          <w:tcPr>
            <w:tcW w:w="3135" w:type="dxa"/>
          </w:tcPr>
          <w:p w14:paraId="70F5788A" w14:textId="77777777" w:rsidR="00274C5A" w:rsidRDefault="0019427F">
            <w:r>
              <w:t>Hybrid</w:t>
            </w:r>
          </w:p>
        </w:tc>
        <w:tc>
          <w:tcPr>
            <w:tcW w:w="3135" w:type="dxa"/>
          </w:tcPr>
          <w:p w14:paraId="141E27EB" w14:textId="77777777" w:rsidR="00274C5A" w:rsidRDefault="0019427F">
            <w:r>
              <w:t>Kombination aus Kontrolle und Elastizität, Daten on-prem, Burst in Cloud</w:t>
            </w:r>
          </w:p>
        </w:tc>
        <w:tc>
          <w:tcPr>
            <w:tcW w:w="3135" w:type="dxa"/>
          </w:tcPr>
          <w:p w14:paraId="63EE177E" w14:textId="77777777" w:rsidR="00274C5A" w:rsidRDefault="0019427F">
            <w:r>
              <w:t>Komplexere Architektur, Datensynchronisation erfordert Planung</w:t>
            </w:r>
          </w:p>
        </w:tc>
      </w:tr>
    </w:tbl>
    <w:p w14:paraId="15D902DA" w14:textId="77777777" w:rsidR="00274C5A" w:rsidRDefault="00274C5A"/>
    <w:p w14:paraId="414F154D" w14:textId="2FF51EFC" w:rsidR="00274C5A" w:rsidRDefault="0019427F">
      <w:pPr>
        <w:spacing w:after="120"/>
      </w:pPr>
      <w:r>
        <w:t xml:space="preserve">Für Unternehmen mit sensiblen </w:t>
      </w:r>
      <w:proofErr w:type="spellStart"/>
      <w:r>
        <w:t>Daten</w:t>
      </w:r>
      <w:proofErr w:type="spellEnd"/>
      <w:r>
        <w:t xml:space="preserve"> </w:t>
      </w:r>
      <w:proofErr w:type="spellStart"/>
      <w:r>
        <w:t>oder</w:t>
      </w:r>
      <w:proofErr w:type="spellEnd"/>
      <w:r>
        <w:t xml:space="preserve"> </w:t>
      </w:r>
      <w:proofErr w:type="spellStart"/>
      <w:r>
        <w:t>hohen</w:t>
      </w:r>
      <w:proofErr w:type="spellEnd"/>
      <w:r>
        <w:t xml:space="preserve"> Compliance-</w:t>
      </w:r>
      <w:proofErr w:type="spellStart"/>
      <w:r>
        <w:t>Anforderungen</w:t>
      </w:r>
      <w:proofErr w:type="spellEnd"/>
      <w:r w:rsidR="00794454">
        <w:t xml:space="preserve">, was </w:t>
      </w:r>
      <w:proofErr w:type="spellStart"/>
      <w:r>
        <w:t>typisch</w:t>
      </w:r>
      <w:proofErr w:type="spellEnd"/>
      <w:r>
        <w:t xml:space="preserve"> </w:t>
      </w:r>
      <w:proofErr w:type="spellStart"/>
      <w:r w:rsidR="00794454">
        <w:t>ist</w:t>
      </w:r>
      <w:proofErr w:type="spellEnd"/>
      <w:r w:rsidR="00794454">
        <w:t xml:space="preserve"> </w:t>
      </w:r>
      <w:proofErr w:type="spellStart"/>
      <w:r>
        <w:t>im</w:t>
      </w:r>
      <w:proofErr w:type="spellEnd"/>
      <w:r>
        <w:t xml:space="preserve"> </w:t>
      </w:r>
      <w:proofErr w:type="spellStart"/>
      <w:r>
        <w:t>deutschen</w:t>
      </w:r>
      <w:proofErr w:type="spellEnd"/>
      <w:r>
        <w:t xml:space="preserve"> </w:t>
      </w:r>
      <w:proofErr w:type="spellStart"/>
      <w:r>
        <w:t>Mittelstand</w:t>
      </w:r>
      <w:proofErr w:type="spellEnd"/>
      <w:r>
        <w:t xml:space="preserve"> und </w:t>
      </w:r>
      <w:proofErr w:type="spellStart"/>
      <w:r>
        <w:t>bei</w:t>
      </w:r>
      <w:proofErr w:type="spellEnd"/>
      <w:r>
        <w:t xml:space="preserve"> </w:t>
      </w:r>
      <w:proofErr w:type="spellStart"/>
      <w:r>
        <w:t>regulierten</w:t>
      </w:r>
      <w:proofErr w:type="spellEnd"/>
      <w:r>
        <w:t xml:space="preserve"> </w:t>
      </w:r>
      <w:proofErr w:type="spellStart"/>
      <w:r>
        <w:t>Branchen</w:t>
      </w:r>
      <w:proofErr w:type="spellEnd"/>
      <w:r w:rsidR="00794454">
        <w:t xml:space="preserve">, </w:t>
      </w:r>
      <w:proofErr w:type="spellStart"/>
      <w:r>
        <w:t>bleibt</w:t>
      </w:r>
      <w:proofErr w:type="spellEnd"/>
      <w:r>
        <w:t xml:space="preserve"> On-Premises die </w:t>
      </w:r>
      <w:proofErr w:type="spellStart"/>
      <w:r>
        <w:t>dominierende</w:t>
      </w:r>
      <w:proofErr w:type="spellEnd"/>
      <w:r>
        <w:t xml:space="preserve"> Wahl.</w:t>
      </w:r>
    </w:p>
    <w:p w14:paraId="11F0F5FB" w14:textId="77777777" w:rsidR="00274C5A" w:rsidRDefault="0019427F">
      <w:pPr>
        <w:spacing w:after="80"/>
      </w:pPr>
      <w:r>
        <w:rPr>
          <w:b/>
        </w:rPr>
        <w:t>Betriebskomplexität nicht unterschätzen</w:t>
      </w:r>
    </w:p>
    <w:p w14:paraId="64194AD7" w14:textId="04007B05" w:rsidR="00274C5A" w:rsidRDefault="0019427F">
      <w:pPr>
        <w:spacing w:after="120"/>
      </w:pPr>
      <w:r>
        <w:t>Scale-out-Systeme bieten mehr Flexibilität, erfordern aber auch mehr Know-how im Betrieb. Netzwerkkonfiguration, Balancing, Firmware-Updates und Monitoring werden aufwändiger. Viele Hersteller adressieren das durch integrierte Observability-Features und Cloud-</w:t>
      </w:r>
      <w:proofErr w:type="spellStart"/>
      <w:r>
        <w:t>basiertes</w:t>
      </w:r>
      <w:proofErr w:type="spellEnd"/>
      <w:r>
        <w:t xml:space="preserve"> Management</w:t>
      </w:r>
      <w:r w:rsidR="007E3CB2">
        <w:t xml:space="preserve">, </w:t>
      </w:r>
      <w:proofErr w:type="spellStart"/>
      <w:r>
        <w:t>auch</w:t>
      </w:r>
      <w:proofErr w:type="spellEnd"/>
      <w:r>
        <w:t xml:space="preserve"> für On-Premises-Systeme. Dell APEX, NetApp BlueXP und Pure1 sind Beispiele dafür, wie Storage-Management zunehmend als Managed Service angeboten wird, unabhängig davon, wo die Hardware physisch steht.</w:t>
      </w:r>
    </w:p>
    <w:p w14:paraId="3958FDD6" w14:textId="4658A29C" w:rsidR="00274C5A" w:rsidRDefault="0019427F">
      <w:pPr>
        <w:pStyle w:val="berschrift2"/>
        <w:spacing w:before="240" w:after="120"/>
      </w:pPr>
      <w:proofErr w:type="spellStart"/>
      <w:r>
        <w:t>Überleitung</w:t>
      </w:r>
      <w:proofErr w:type="spellEnd"/>
      <w:r>
        <w:t xml:space="preserve">: </w:t>
      </w:r>
      <w:proofErr w:type="spellStart"/>
      <w:r>
        <w:t>Vom</w:t>
      </w:r>
      <w:proofErr w:type="spellEnd"/>
      <w:r>
        <w:t xml:space="preserve"> R</w:t>
      </w:r>
      <w:r w:rsidR="007E3CB2">
        <w:t xml:space="preserve">echenzentrum </w:t>
      </w:r>
      <w:r>
        <w:t xml:space="preserve">in den </w:t>
      </w:r>
      <w:proofErr w:type="spellStart"/>
      <w:r>
        <w:t>produktiven</w:t>
      </w:r>
      <w:proofErr w:type="spellEnd"/>
      <w:r>
        <w:t xml:space="preserve"> </w:t>
      </w:r>
      <w:proofErr w:type="spellStart"/>
      <w:r>
        <w:t>Betrieb</w:t>
      </w:r>
      <w:proofErr w:type="spellEnd"/>
    </w:p>
    <w:p w14:paraId="260ECB84" w14:textId="30D8261C" w:rsidR="00274C5A" w:rsidRDefault="0019427F">
      <w:pPr>
        <w:spacing w:after="120"/>
      </w:pPr>
      <w:r>
        <w:t xml:space="preserve">Kapitel 3 hat gezeigt, wie Storage-Systeme im Rechenzentrum strukturiert sind und zusammenwirken. Die Architektur </w:t>
      </w:r>
      <w:proofErr w:type="spellStart"/>
      <w:r>
        <w:t>ist</w:t>
      </w:r>
      <w:proofErr w:type="spellEnd"/>
      <w:r>
        <w:t xml:space="preserve"> </w:t>
      </w:r>
      <w:proofErr w:type="spellStart"/>
      <w:r>
        <w:t>aber</w:t>
      </w:r>
      <w:proofErr w:type="spellEnd"/>
      <w:r>
        <w:t xml:space="preserve"> </w:t>
      </w:r>
      <w:proofErr w:type="spellStart"/>
      <w:r>
        <w:t>kein</w:t>
      </w:r>
      <w:proofErr w:type="spellEnd"/>
      <w:r>
        <w:t xml:space="preserve"> </w:t>
      </w:r>
      <w:proofErr w:type="spellStart"/>
      <w:r>
        <w:t>Selbstzweck</w:t>
      </w:r>
      <w:proofErr w:type="spellEnd"/>
      <w:r w:rsidR="002A0CF5">
        <w:t xml:space="preserve">, </w:t>
      </w:r>
      <w:proofErr w:type="spellStart"/>
      <w:r w:rsidR="002A0CF5">
        <w:t>denn</w:t>
      </w:r>
      <w:proofErr w:type="spellEnd"/>
      <w:r w:rsidR="002A0CF5">
        <w:t xml:space="preserve"> </w:t>
      </w:r>
      <w:proofErr w:type="spellStart"/>
      <w:r>
        <w:t>sie</w:t>
      </w:r>
      <w:proofErr w:type="spellEnd"/>
      <w:r>
        <w:t xml:space="preserve"> </w:t>
      </w:r>
      <w:proofErr w:type="spellStart"/>
      <w:r>
        <w:t>existiert</w:t>
      </w:r>
      <w:proofErr w:type="spellEnd"/>
      <w:r>
        <w:t xml:space="preserve">, um </w:t>
      </w:r>
      <w:proofErr w:type="spellStart"/>
      <w:r>
        <w:t>konkrete</w:t>
      </w:r>
      <w:proofErr w:type="spellEnd"/>
      <w:r>
        <w:t xml:space="preserve"> Workloads zu bedienen.</w:t>
      </w:r>
    </w:p>
    <w:p w14:paraId="20A25974" w14:textId="232ADB41" w:rsidR="00274C5A" w:rsidRDefault="0019427F">
      <w:pPr>
        <w:spacing w:after="120"/>
      </w:pPr>
      <w:r>
        <w:t xml:space="preserve">Der nächste Schritt </w:t>
      </w:r>
      <w:proofErr w:type="spellStart"/>
      <w:r>
        <w:t>ist</w:t>
      </w:r>
      <w:proofErr w:type="spellEnd"/>
      <w:r>
        <w:t xml:space="preserve"> die Frage</w:t>
      </w:r>
      <w:r w:rsidR="002A0CF5">
        <w:t>, w</w:t>
      </w:r>
      <w:r>
        <w:t xml:space="preserve">as </w:t>
      </w:r>
      <w:proofErr w:type="spellStart"/>
      <w:r>
        <w:t>passiert</w:t>
      </w:r>
      <w:proofErr w:type="spellEnd"/>
      <w:r>
        <w:t xml:space="preserve">, </w:t>
      </w:r>
      <w:proofErr w:type="spellStart"/>
      <w:r>
        <w:t>wenn</w:t>
      </w:r>
      <w:proofErr w:type="spellEnd"/>
      <w:r>
        <w:t xml:space="preserve"> </w:t>
      </w:r>
      <w:proofErr w:type="spellStart"/>
      <w:r>
        <w:t>diese</w:t>
      </w:r>
      <w:proofErr w:type="spellEnd"/>
      <w:r>
        <w:t xml:space="preserve"> </w:t>
      </w:r>
      <w:proofErr w:type="spellStart"/>
      <w:r>
        <w:t>Infrastruktur</w:t>
      </w:r>
      <w:proofErr w:type="spellEnd"/>
      <w:r>
        <w:t xml:space="preserve"> in Betrieb geht</w:t>
      </w:r>
      <w:r w:rsidR="002A0CF5">
        <w:t>.</w:t>
      </w:r>
      <w:r>
        <w:t xml:space="preserve"> Welche Anforderungen stellen KI-Modelle tatsächlich </w:t>
      </w:r>
      <w:proofErr w:type="gramStart"/>
      <w:r>
        <w:t>an</w:t>
      </w:r>
      <w:proofErr w:type="gramEnd"/>
      <w:r>
        <w:t xml:space="preserve"> Speicher, wenn sie in Echtzeit Anfragen beantworten? Und was ändert sich, wenn das Modell nicht allein arbeitet, sondern auf externe Wissensdokumente zugreift?</w:t>
      </w:r>
    </w:p>
    <w:p w14:paraId="0F4E6A18" w14:textId="77777777" w:rsidR="00274C5A" w:rsidRDefault="0019427F">
      <w:pPr>
        <w:spacing w:after="120"/>
      </w:pPr>
      <w:r>
        <w:t>Genau das beschreibt Kapitel 4 – Inferenz und Retrieval-Augmented Generation als die produktiven Betriebsmodi, für die die in Kapitel 2 und 3 beschriebene Infrastruktur gebaut wird.</w:t>
      </w:r>
    </w:p>
    <w:sectPr w:rsidR="00274C5A"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350224614">
    <w:abstractNumId w:val="8"/>
  </w:num>
  <w:num w:numId="2" w16cid:durableId="407533451">
    <w:abstractNumId w:val="6"/>
  </w:num>
  <w:num w:numId="3" w16cid:durableId="2098167778">
    <w:abstractNumId w:val="5"/>
  </w:num>
  <w:num w:numId="4" w16cid:durableId="1035235442">
    <w:abstractNumId w:val="4"/>
  </w:num>
  <w:num w:numId="5" w16cid:durableId="2098090322">
    <w:abstractNumId w:val="7"/>
  </w:num>
  <w:num w:numId="6" w16cid:durableId="392780649">
    <w:abstractNumId w:val="3"/>
  </w:num>
  <w:num w:numId="7" w16cid:durableId="1416240805">
    <w:abstractNumId w:val="2"/>
  </w:num>
  <w:num w:numId="8" w16cid:durableId="1703674550">
    <w:abstractNumId w:val="1"/>
  </w:num>
  <w:num w:numId="9" w16cid:durableId="1534801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988"/>
    <w:rsid w:val="000F5EA1"/>
    <w:rsid w:val="0015074B"/>
    <w:rsid w:val="0019427F"/>
    <w:rsid w:val="00204242"/>
    <w:rsid w:val="00274C5A"/>
    <w:rsid w:val="002919AA"/>
    <w:rsid w:val="0029639D"/>
    <w:rsid w:val="002A0CF5"/>
    <w:rsid w:val="002D6615"/>
    <w:rsid w:val="002E0507"/>
    <w:rsid w:val="00326F90"/>
    <w:rsid w:val="00333D5A"/>
    <w:rsid w:val="003B7F6B"/>
    <w:rsid w:val="00452A89"/>
    <w:rsid w:val="00471DFA"/>
    <w:rsid w:val="00482C36"/>
    <w:rsid w:val="00535FAD"/>
    <w:rsid w:val="005A541D"/>
    <w:rsid w:val="005F126F"/>
    <w:rsid w:val="006535CC"/>
    <w:rsid w:val="00794454"/>
    <w:rsid w:val="007C6441"/>
    <w:rsid w:val="007E3CB2"/>
    <w:rsid w:val="008306DC"/>
    <w:rsid w:val="00893077"/>
    <w:rsid w:val="008D04B5"/>
    <w:rsid w:val="009303B7"/>
    <w:rsid w:val="00972F9C"/>
    <w:rsid w:val="009B10BA"/>
    <w:rsid w:val="009C4A50"/>
    <w:rsid w:val="00AA1D8D"/>
    <w:rsid w:val="00B15AF1"/>
    <w:rsid w:val="00B47730"/>
    <w:rsid w:val="00CB0664"/>
    <w:rsid w:val="00DB3B63"/>
    <w:rsid w:val="00EE1A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FB79BCB-ADBB-2C40-923C-5B9A29D39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ecc4b9d-b959-4616-ba19-ad7fb8d41075}" enabled="0" method="" siteId="{becc4b9d-b959-4616-ba19-ad7fb8d41075}"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2554</Words>
  <Characters>18163</Characters>
  <Application>Microsoft Office Word</Application>
  <DocSecurity>0</DocSecurity>
  <Lines>363</Lines>
  <Paragraphs>191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Eva Dölle</cp:lastModifiedBy>
  <cp:revision>36</cp:revision>
  <dcterms:created xsi:type="dcterms:W3CDTF">2013-12-23T23:15:00Z</dcterms:created>
  <dcterms:modified xsi:type="dcterms:W3CDTF">2026-06-04T11:21:00Z</dcterms:modified>
  <cp:category/>
</cp:coreProperties>
</file>