
<file path=[Content_Types].xml><?xml version="1.0" encoding="utf-8"?>
<Types xmlns="http://schemas.openxmlformats.org/package/2006/content-types">
  <Default Extension="bmp" ContentType="image/bmp"/>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r="http://schemas.openxmlformats.org/officeDocument/2006/relationships" xmlns:c="http://schemas.openxmlformats.org/drawingml/2006/chart" xmlns:a="http://schemas.openxmlformats.org/drawingml/2006/main" xmlns:pic="http://schemas.openxmlformats.org/drawingml/2006/picture" xmlns:wp="http://schemas.openxmlformats.org/drawingml/2006/wordprocessingDrawing" xmlns:w="http://schemas.openxmlformats.org/wordprocessingml/2006/main" xmlns:m="http://schemas.openxmlformats.org/officeDocument/2006/math" xmlns:v="urn:schemas-microsoft-com:vml" xmlns:o="urn:schemas-microsoft-com:office:office" xmlns:wvml="urn:schemas-microsoft-com:office:word">
  <w:body>
    <w:bookmarkStart w:id="0" w:name="_top"/>
    <w:bookmarkEnd w:id="0"/>
    <w:p>
      <w:pPr>
        <w:pStyle w:val="10"/>
        <w:widowControl w:val="off"/>
      </w:pPr>
    </w:p>
    <w:p>
      <w:pPr>
        <w:pStyle w:val="47"/>
        <w:widowControl w:val="off"/>
        <w:wordWrap w:val="1"/>
        <w:jc w:val="center"/>
      </w:pPr>
      <w:r>
        <w:rPr>
          <w:rFonts w:ascii="한양신명조"/>
        </w:rPr>
        <w:t xml:space="preserve"> </w:t>
      </w:r>
    </w:p>
    <w:p>
      <w:pPr>
        <w:pStyle w:val="0"/>
        <w:widowControl w:val="off"/>
        <w:wordWrap w:val="1"/>
        <w:snapToGrid w:val="off"/>
        <w:spacing w:line="360" w:lineRule="auto"/>
        <w:jc w:val="center"/>
      </w:pPr>
      <w:r>
        <w:rPr>
          <w:rFonts w:ascii="한양신명조"/>
          <w:b/>
          <w:sz w:val="40"/>
        </w:rPr>
        <w:t>Machine Learning Pipeline Analysis for Improving Semiconductor Defect Detection Performance in Missing Value and Class Imbalanced Environments</w:t>
      </w:r>
    </w:p>
    <w:p>
      <w:pPr>
        <w:pStyle w:val="47"/>
        <w:widowControl w:val="off"/>
        <w:wordWrap w:val="1"/>
        <w:jc w:val="center"/>
      </w:pPr>
      <w:r>
        <w:rPr>
          <w:rFonts w:ascii="한양신명조"/>
          <w:b/>
          <w:sz w:val="22"/>
        </w:rPr>
        <w:t>NamHo Lee</w:t>
      </w:r>
      <w:r>
        <w:rPr>
          <w:rFonts w:ascii="한양신명조"/>
          <w:b/>
          <w:sz w:val="22"/>
        </w:rPr>
        <w:t>†</w:t>
      </w:r>
      <w:r>
        <w:rPr>
          <w:rFonts w:ascii="한양신명조"/>
          <w:b/>
          <w:sz w:val="22"/>
        </w:rPr>
        <w:t>, MyungGeun Ji, HwanIl Yu, AhHyun Choi</w:t>
      </w:r>
    </w:p>
    <w:p>
      <w:pPr>
        <w:pStyle w:val="47"/>
        <w:widowControl w:val="off"/>
        <w:wordWrap w:val="1"/>
        <w:jc w:val="center"/>
      </w:pPr>
      <w:r>
        <w:rPr>
          <w:rFonts w:ascii="한양신명조"/>
          <w:b/>
          <w:sz w:val="22"/>
        </w:rPr>
        <w:t>Department of Industrial Engineering, Konkuk University</w:t>
      </w:r>
    </w:p>
    <w:p>
      <w:pPr>
        <w:pStyle w:val="47"/>
        <w:widowControl w:val="off"/>
        <w:wordWrap w:val="1"/>
        <w:jc w:val="center"/>
      </w:pPr>
      <w:r>
        <w:rPr>
          <w:rFonts w:ascii="한양신명조"/>
          <w:b/>
          <w:sz w:val="22"/>
        </w:rPr>
        <w:t xml:space="preserve"> </w:t>
      </w:r>
    </w:p>
    <w:p>
      <w:pPr>
        <w:pStyle w:val="47"/>
        <w:widowControl w:val="off"/>
        <w:wordWrap w:val="1"/>
        <w:spacing w:line="360" w:lineRule="auto"/>
        <w:jc w:val="center"/>
      </w:pPr>
      <w:r>
        <w:rPr>
          <w:rFonts w:ascii="한양신명조" w:eastAsia="한양신명조"/>
          <w:b/>
          <w:sz w:val="40"/>
        </w:rPr>
        <w:t>결측치 및 클래스 불균형 환경에서의 반도체 불량 검출 성능 향상을 위한 머신러닝 파이프라인 분석</w:t>
      </w:r>
    </w:p>
    <w:p>
      <w:pPr>
        <w:pStyle w:val="47"/>
        <w:widowControl w:val="off"/>
        <w:jc w:val="center"/>
      </w:pPr>
      <w:r>
        <w:rPr>
          <w:rFonts w:eastAsia="한양신명조"/>
          <w:b/>
          <w:sz w:val="22"/>
        </w:rPr>
        <w:t>이남호</w:t>
      </w:r>
      <w:r>
        <w:rPr>
          <w:rFonts w:ascii="한양신명조"/>
          <w:b/>
          <w:sz w:val="22"/>
          <w:vertAlign w:val="superscript"/>
        </w:rPr>
        <w:t>†</w:t>
      </w:r>
      <w:r>
        <w:rPr>
          <w:rFonts w:ascii="한양신명조" w:eastAsia="한양신명조"/>
          <w:b/>
          <w:sz w:val="22"/>
        </w:rPr>
        <w:t>, 지명근, 유환일, 최아현</w:t>
      </w:r>
    </w:p>
    <w:p>
      <w:pPr>
        <w:pStyle w:val="47"/>
        <w:widowControl w:val="off"/>
        <w:jc w:val="center"/>
      </w:pPr>
      <w:r>
        <w:rPr>
          <w:rFonts w:ascii="한양신명조" w:eastAsia="한양신명조"/>
          <w:b/>
          <w:sz w:val="22"/>
        </w:rPr>
        <w:t>건국대학교 산업공학과</w:t>
      </w:r>
    </w:p>
    <w:p>
      <w:pPr>
        <w:pStyle w:val="47"/>
        <w:widowControl w:val="off"/>
        <w:jc w:val="center"/>
        <w:rPr>
          <w:rFonts w:ascii="한양신명조" w:eastAsia="한양신명조"/>
          <w:b/>
          <w:color w:val="000000"/>
          <w:sz w:val="22"/>
        </w:rPr>
        <w:sectPr>
          <w:footnotePr>
            <w:numFmt w:val="lowerRoman"/>
            <w:numRestart w:val="eachPage"/>
          </w:footnotePr>
          <w:endnotePr>
            <w:pos w:val="docEnd"/>
            <w:numFmt w:val="decimal"/>
            <w:numRestart w:val="continuous"/>
          </w:endnotePr>
          <w:pgSz w:w="11906" w:h="16838"/>
          <w:pgMar w:top="1417" w:right="1134" w:bottom="1417" w:left="1134" w:header="1417" w:footer="1417" w:gutter="0"/>
          <w:cols w:space="283"/>
        </w:sectPr>
      </w:pPr>
    </w:p>
    <w:p>
      <w:pPr>
        <w:pStyle w:val="47"/>
        <w:widowControl w:val="off"/>
      </w:pPr>
      <w:r>
        <w:rPr>
          <w:rFonts w:ascii="한양신명조"/>
        </w:rPr>
        <w:t xml:space="preserve"> </w:t>
      </w:r>
    </w:p>
    <w:p>
      <w:pPr>
        <w:pStyle w:val="47"/>
        <w:widowControl w:val="off"/>
      </w:pPr>
      <w:r>
        <w:rPr>
          <w:rFonts w:ascii="한양신명조"/>
        </w:rPr>
        <w:t>Semiconductor manufacturing data contain extensive missing values and severe class imbalance, making fault detection challenging. Model performance can vary significantly depending on the choice of imputation, balancing, feature selection, and classification methods. This study systematically analyzes the performance characteristics of machine learning pipeline components under missing and imbalanced environments and investigates the potential of missingness patterns as auxiliary information through Missing Indicators (M features). A total of 924 pipeline combinations based on the UCI SECOM dataset were evaluated using 9-fold cross-validation to prevent data leakage. F2-score, Recall, and True Negative Rate (TNR) were adopted as the primary evaluation metrics. Experimental results showed that the MICE / Raw / Mutual Information / Random Forest pipeline without M features achieved the best performance. Furthermore, in several pipeline configurations, the inclusion of Missing Indicators improved TNR and F2-score without degrading Recall, suggesting that missingness patterns can provide useful auxiliary information for fault detection under certain conditions.</w:t>
      </w:r>
    </w:p>
    <w:p>
      <w:pPr>
        <w:pStyle w:val="47"/>
        <w:widowControl w:val="off"/>
        <w:rPr>
          <w:rFonts w:ascii="한양신명조" w:eastAsia="한양신명조"/>
          <w:color w:val="000000"/>
        </w:rPr>
      </w:pPr>
    </w:p>
    <w:p>
      <w:pPr>
        <w:pStyle w:val="47"/>
        <w:widowControl w:val="off"/>
      </w:pPr>
      <w:r>
        <w:rPr>
          <w:rFonts w:ascii="한양신명조"/>
        </w:rPr>
        <w:t>Keywords: Semiconductor Fault Detection, Imbalanced Data, Missing Data, Machine Learning Pipeline, Missing Indicator, SECOM Dataset</w:t>
      </w:r>
    </w:p>
    <w:p>
      <w:pPr>
        <w:pStyle w:val="0"/>
        <w:widowControl w:val="off"/>
        <w:rPr>
          <w:rFonts w:ascii="한양신명조"/>
          <w:b/>
          <w:color w:val="000000"/>
        </w:rPr>
      </w:pPr>
    </w:p>
    <w:p>
      <w:pPr>
        <w:pStyle w:val="0"/>
        <w:widowControl w:val="off"/>
        <w:rPr>
          <w:rFonts w:ascii="한양신명조"/>
          <w:b/>
          <w:color w:val="000000"/>
        </w:rPr>
        <w:sectPr>
          <w:footnotePr>
            <w:numFmt w:val="lowerRoman"/>
            <w:numRestart w:val="eachPage"/>
          </w:footnotePr>
          <w:endnotePr>
            <w:pos w:val="docEnd"/>
            <w:numFmt w:val="decimal"/>
            <w:numRestart w:val="continuous"/>
          </w:endnotePr>
          <w:pgSz w:w="11906" w:h="16838"/>
          <w:pgMar w:top="1417" w:right="1134" w:bottom="1417" w:left="1134" w:header="1417" w:footer="1417" w:gutter="0"/>
          <w:cols w:space="283"/>
          <w:type w:val="continuous"/>
        </w:sectPr>
      </w:pPr>
    </w:p>
    <w:p>
      <w:pPr>
        <w:pStyle w:val="47"/>
        <w:widowControl w:val="off"/>
      </w:pPr>
      <w:r>
        <w:rPr>
          <w:rFonts w:ascii="한양신명조" w:eastAsia="한양신명조"/>
          <w:b/>
          <w:sz w:val="24"/>
        </w:rPr>
        <w:t>1. 서</w:t>
      </w:r>
      <w:r>
        <w:rPr>
          <w:rFonts w:ascii="한양신명조"/>
          <w:b/>
        </w:rPr>
        <w:t xml:space="preserve">  </w:t>
      </w:r>
      <w:r>
        <w:rPr>
          <w:rFonts w:eastAsia="한양신명조"/>
          <w:b/>
          <w:sz w:val="24"/>
        </w:rPr>
        <w:t>론</w:t>
      </w:r>
    </w:p>
    <w:p>
      <w:pPr>
        <w:pStyle w:val="47"/>
        <w:widowControl w:val="off"/>
      </w:pPr>
      <w:r>
        <w:rPr>
          <w:rFonts w:ascii="한양신명조"/>
        </w:rPr>
        <w:t xml:space="preserve"> </w:t>
      </w:r>
    </w:p>
    <w:p>
      <w:pPr>
        <w:pStyle w:val="47"/>
        <w:widowControl w:val="off"/>
      </w:pPr>
      <w:r>
        <w:rPr>
          <w:rFonts w:ascii="한양신명조" w:eastAsia="한양신명조"/>
        </w:rPr>
        <w:t xml:space="preserve"> 반도체 제조 산업은 초미세 공정과 고집적화 기술의 발전과 함께 공정 복잡도가 지속적으로 증가하고 있다. 현대 반도체 생산 라인은 수백 단계 이상의 공정으로 구성되며, 각 단계에서는 온도, 압력, 유량, 전류와 같은 다양한 공정 변수들이 대규모 센서 네트워크를 통해 실시간으로 수집된다. 이러한 공정 데이터는 생산 수율 향상과 품질 안정화를 위한 핵심 자산으로 활용되며, 최근에는 머신러닝 기반 불량 검출 기술에 대한 관심이 크게 증가하고 있다. 특히 공정 이상을 조기에 탐지하여 불량 발생을 최소화하는 것은 생산 수율과 제조 비용에 직접적인 영향을 미치는 핵심 과제로 인식되고 있다.</w:t>
      </w:r>
    </w:p>
    <w:p>
      <w:pPr>
        <w:pStyle w:val="47"/>
        <w:widowControl w:val="off"/>
      </w:pPr>
      <w:r>
        <w:rPr>
          <w:rFonts w:ascii="한양신명조" w:eastAsia="한양신명조"/>
        </w:rPr>
        <w:t xml:space="preserve"> 그러나 실제 반도체 공정 데이터는 높은 차원성, 광범위한 결측치, 그리고 심각한 클래스 불균형 문제를 동시에 포함한다. 대표적인 공개 산업 데이터셋인 SECOM 데이터셋은 수백 개 이상의 센서 변수와 함께 다수의 결측값을 포함하고 있으며, 실제 불량 샘플 비율 또한 전체의 약 6% 수준에 불과하다. 이러한 특성은 일반적인 머신러닝 모델의 학습을 어렵게 만들며, 특히 다수 클래스에 편향된 예측으로 인해 실제로 중요한 불량 샘플 탐지 성능이 저하되는 문제를 초래한다.</w:t>
      </w:r>
    </w:p>
    <w:p>
      <w:pPr>
        <w:pStyle w:val="47"/>
        <w:widowControl w:val="off"/>
      </w:pPr>
      <w:r>
        <w:rPr>
          <w:rFonts w:ascii="한양신명조" w:eastAsia="한양신명조"/>
        </w:rPr>
        <w:t xml:space="preserve"> 이러한 문제를 해결하기 위해 결측치 대치(imputation), 클래스 불균형 처리(balancing), 특성 선택, 분류 모델을 조합하는 다양한 파이프라인이 제안되어 왔다. 특히 SECOM 환경에서는 In-painting KNN 기반 대치와 SMOTE  기반 클래스 불균형 처리를 결합하고, 데이터 누출을 방지하는 파이프라인 기반 검증 구조를 적용했을 때 불량 검출(fault detection) 성능이 향상됨이 보고되었다 [15]. 그러나 기존 연구는 결측값의 제거 또는 추정 기반 복원에 초점을 두어, 결측 발생 패턴 자체가 내포하는 정보적 의미는 상대적으로 제한적으로 다루어져 왔다.</w:t>
      </w:r>
    </w:p>
    <w:p>
      <w:pPr>
        <w:pStyle w:val="47"/>
        <w:widowControl w:val="off"/>
      </w:pPr>
      <w:r>
        <w:rPr>
          <w:rFonts w:ascii="한양신명조" w:eastAsia="한양신명조"/>
        </w:rPr>
        <w:t xml:space="preserve"> 실제 반도체 공정 환경에서 센서 결측은 단순한 무작위 오류라기보다 설비 이상, 공정 불안정, 측정 실패 등과 연관되어 발생할 가능성이 존재한다. 즉 결측 발생 자체가 공정 이상 상태와 관련된 정보를 포함할 가능성이 있으며, 이러한 정보는 불량 검출 과정에서 보조적인 역할을 수행할 수 있다. 이에 결측 여부를 이진 변수 형태로 표현한 결측지시변수(Missing Indicator, </w:t>
      </w:r>
      <m:oMath>
        <m:sSub>
          <m:sSubPr>
            <m:ctrlpr>
              <m:rPr>
                <m:sty m:val="p"/>
              </m:rPr>
              <w:rPr>
                <w:rFonts w:ascii="Cambria Math" w:hAnsi="Cambria Math"/>
              </w:rPr>
            </m:ctrlpr>
          </m:sSubPr>
          <m:e>
            <m:r>
              <m:rPr>
                <m:sty m:val="p"/>
              </m:rPr>
              <w:rPr>
                <w:rFonts w:ascii="Cambria Math" w:hAnsi="Cambria Math"/>
              </w:rPr>
              <m:t>M</m:t>
            </m:r>
          </m:e>
          <m:sub>
            <m:r>
              <m:rPr>
                <m:sty m:val="p"/>
              </m:rPr>
              <w:rPr>
                <w:rFonts w:ascii="Cambria Math" w:hAnsi="Cambria Math"/>
              </w:rPr>
              <m:t>ij</m:t>
            </m:r>
          </m:sub>
        </m:sSub>
      </m:oMath>
      <w:r>
        <w:rPr>
          <w:rFonts w:ascii="한양신명조" w:eastAsia="한양신명조"/>
        </w:rPr>
        <w:t>)를 도입하고, 기존 공정 변수와 결합하거나 독립적으로 활용하였을 때 불량 검출 성능에 어떠한 영향을 미치는지를 분석하고자 하였다.</w:t>
      </w:r>
    </w:p>
    <w:p>
      <w:pPr>
        <w:pStyle w:val="47"/>
        <w:widowControl w:val="off"/>
      </w:pPr>
      <w:r>
        <w:rPr>
          <w:rFonts w:ascii="한양신명조" w:eastAsia="한양신명조"/>
        </w:rPr>
        <w:t xml:space="preserve"> 특정 단일 모델의 성능 최적화보다, 결측 및 클래스 불균형 환경에서 머신러닝 파이프라인 구성 요소별 성능 특성 분석에 중점을 두었다. 이를 위해 결측치 대치 방법, 클래스 불균형 처리 여부, 특성 선택 기법, 분류 모델을 조합한 총 924개의 파이프라인을 구성하였으며, 모든 실험은 데이터 누출을 방지하기 위해 K-Fold 기반 파이프라인 내부에서 수행하였다. 또한 F2-score, Recall, TNR(True Negative Rate)을 중심으로 불량 검출 성능을 평가함으로써, 불량 탐지 성능과 정상 샘플 구분 성능 간의 균형을 함께 고려하였다.</w:t>
      </w:r>
    </w:p>
    <w:p>
      <w:pPr>
        <w:pStyle w:val="47"/>
        <w:widowControl w:val="off"/>
      </w:pPr>
      <w:r>
        <w:rPr>
          <w:rFonts w:ascii="한양신명조" w:eastAsia="한양신명조"/>
        </w:rPr>
        <w:t xml:space="preserve"> 주요 기여는 다음과 같다. 첫째, 결측 및 클래스 불균형이 동시에 존재하는 반도체 공정 데이터 환경에서 다양한 머신러닝 파이프라인 조합을 체계적으로 비교·분석하였다. 둘째, 결측 여부 자체를 나타내는 결측지시변수를 도입하여 결측 패턴의 정보적 활용 가능성을 실험적으로 검증하였다. 셋째, 단순 최고 성능 조합뿐 아니라 생존 파이프라인(surviving pipeline) 기반 분석을 통해 각 파이프라인 구성 요소의 일반적인 성능 경향과 안정성을 함께 분석하였다.</w:t>
      </w:r>
    </w:p>
    <w:p>
      <w:pPr>
        <w:pStyle w:val="47"/>
        <w:widowControl w:val="off"/>
      </w:pPr>
      <w:r>
        <w:rPr>
          <w:rFonts w:ascii="한양신명조" w:eastAsia="한양신명조"/>
        </w:rPr>
        <w:t xml:space="preserve"> 논문의 구성은 다음과 같다. 2장에서는 관련 이론 및 선행 연구를 고찰하고, 3장에서는 실험 파이프라인과 데이터 처리 과정을 설명한다. 4장에서는 실험 결과와 성능 분석을 제시하며, 마지막으로 5장에서는 결론 및 향후 연구 방향을 논의한다.</w:t>
      </w:r>
    </w:p>
    <w:p>
      <w:pPr>
        <w:pStyle w:val="47"/>
        <w:widowControl w:val="off"/>
        <w:rPr>
          <w:rFonts w:ascii="한양신명조" w:eastAsia="한양신명조"/>
          <w:color w:val="000000"/>
        </w:rPr>
      </w:pPr>
    </w:p>
    <w:p>
      <w:pPr>
        <w:pStyle w:val="47"/>
        <w:widowControl w:val="off"/>
      </w:pPr>
      <w:r>
        <w:rPr>
          <w:rFonts w:ascii="한양신명조" w:eastAsia="한양신명조"/>
          <w:b/>
          <w:sz w:val="24"/>
        </w:rPr>
        <w:t>2. 선행 연구</w:t>
      </w:r>
    </w:p>
    <w:p>
      <w:pPr>
        <w:pStyle w:val="47"/>
        <w:widowControl w:val="off"/>
        <w:rPr>
          <w:rFonts w:ascii="한양신명조" w:eastAsia="한양신명조"/>
          <w:color w:val="000000"/>
        </w:rPr>
      </w:pPr>
    </w:p>
    <w:p>
      <w:pPr>
        <w:pStyle w:val="47"/>
        <w:widowControl w:val="off"/>
      </w:pPr>
      <w:r>
        <w:rPr>
          <w:rFonts w:ascii="한양신명조" w:eastAsia="한양신명조"/>
        </w:rPr>
        <w:t xml:space="preserve"> 반도체 제조 공정의 이상 감지는 고차원·불균형 공정 데이터를 다루는 기계학습 문제로 발전해 왔다. 이러한 연구 동향을 공정 이상 감지를 위한 전처리 파이프라인, 결측치 처리 및 결측 지시변수의 활용, 클래스 불균형 대응의 세 가지 관점에서 고찰하고, 기존 연구의 한계와 차별성을 도출한다.</w:t>
      </w:r>
    </w:p>
    <w:p>
      <w:pPr>
        <w:pStyle w:val="47"/>
        <w:widowControl w:val="off"/>
        <w:rPr>
          <w:rFonts w:ascii="한양신명조" w:eastAsia="한양신명조"/>
          <w:b/>
          <w:color w:val="000000"/>
        </w:rPr>
      </w:pPr>
    </w:p>
    <w:p>
      <w:pPr>
        <w:pStyle w:val="47"/>
        <w:widowControl w:val="off"/>
      </w:pPr>
      <w:r>
        <w:rPr>
          <w:rFonts w:ascii="한양신명조" w:eastAsia="한양신명조"/>
          <w:b/>
        </w:rPr>
        <w:t xml:space="preserve"> 2.1 반도체 공정 데이터의 전처리와 결측 정보 활용</w:t>
      </w:r>
    </w:p>
    <w:p>
      <w:pPr>
        <w:pStyle w:val="47"/>
        <w:widowControl w:val="off"/>
        <w:rPr>
          <w:rFonts w:ascii="한양신명조" w:eastAsia="한양신명조"/>
          <w:color w:val="000000"/>
        </w:rPr>
      </w:pPr>
    </w:p>
    <w:p>
      <w:pPr>
        <w:pStyle w:val="47"/>
        <w:widowControl w:val="off"/>
      </w:pPr>
      <w:r>
        <w:rPr>
          <w:rFonts w:ascii="한양신명조" w:eastAsia="한양신명조"/>
        </w:rPr>
        <w:t xml:space="preserve"> 반도체 제조 공정은 수백 단계의 미세 공정으로 구성되며, 각 단계에서 온도·압력 등 수천 개의 센서 변수가 실시간으로 수집된다. 이러한 고차원·불균형 데이터로부터 불량을 조기에 탐지하는 문제는 수율 향상과 직결되며, SECOM 데이터셋 [8]의 공개 이후 활발히 연구되어 왔다. SECOM은 약 6.7%의 결측치와 약 1:14의 극단적 클래스 불균형을 동반하여 불균형·결측 환경의 분류 방법론을 검증하는 벤치마크로 자리잡았으며, 단일 모델보다 복수 분류기를 결합하는 접근이 공정 이상 감지에 효과적임이 보고되었다 [18]. 이처럼 결측과 불균형이 공존하는 데이터에서는 분류기 자체보다 전처리 파이프라인의 설계가 성능을 좌우하며, 그 과정에서 핵심적으로 다루어진 쟁점은 데이터 누출(Data Leakage)의 방지였다. 정제·대치·균형화·특성 선택·분류로 이어지는 다단계 파이프라인에서는 훈련·테스트 분할 이후에 전처리를 수행해야 정보 누출을 막을 수 있다는 점이 일관되게 강조되어 왔다 [9][15]. 이러한 구조 위에서 기댓값 최대화(EM) 기반 대치와 오버샘플링의 결합 [7], ADASYN 오버샘플링과 MaxAbs 스케일링을 SVM과 결합하는 접근 [9] 등이 탐색되며 이상 감지 성능이 향상되어 왔다. 전처리의 한 축인 결측치 처리는 단순한 데이터 복원을 넘어 중요한 쟁점을 제기한다. 산업 현장의 센서 결측은 설비 이상이나 통신 불량 등 물리적 요인과 직결되어 단순 무작위 누락(MCAR)이 아닌 비무작위 결측(MNAR)의 특성을 띠는 경우가 많으며 [13], 전통적 접근은 평균 대치나 KNN 기반 기법으로 완전한 데이터 행렬을 복원하는 데 초점을 두었다. 그러나 예측 모형의 관점에서는 결측치 처리 전략을 기술·인과 추론 목적과 다르게 설계해야 하며, 결측이 발생했다는 사실 자체가 잠재적 상태 정보를 내포할 수 있다 [17].</w:t>
      </w:r>
    </w:p>
    <w:p>
      <w:pPr>
        <w:pStyle w:val="47"/>
        <w:widowControl w:val="off"/>
      </w:pPr>
      <w:r>
        <w:rPr>
          <w:rFonts w:ascii="한양신명조" w:eastAsia="한양신명조"/>
        </w:rPr>
        <w:t>결측값 처리 방식은 분류 모델의 예측 성능에 영향을 미치며[14], 특히 결측 여부를 이진 특성으로 표현하는 결측지시변수는 정보성 결측이 존재하는 조건에서 예측 성능 향상에 기여할 수 있다[19]. 다만 종단(longitudinal) 데이터 환경에서는 결측 지시변수의 효과가 일관된 성능 향상으로 나타나지는 않았으며, 전체 성능이나 대치 정확도에 큰 차이를 보이지 않았다는 결과도 보고되었다[4]. 고차원 환경에서는 정보성 결측(Informative Missingness) 패턴을 효과적으로 인코딩하여 선형·비선형 모델의 강건성과 예측력을 동시에 높일 수 있음이 규명되었으며 [19], 비무작위 결측 환경에서는 결측 메커니즘에 대한 가정이 대치 성능에 직접적인 영향을 미치는 것으로 나타났다 [11].</w:t>
      </w:r>
    </w:p>
    <w:p>
      <w:pPr>
        <w:pStyle w:val="47"/>
        <w:widowControl w:val="off"/>
        <w:rPr>
          <w:rFonts w:ascii="한양신명조" w:eastAsia="한양신명조"/>
          <w:b/>
          <w:color w:val="000000"/>
        </w:rPr>
      </w:pPr>
    </w:p>
    <w:p>
      <w:pPr>
        <w:pStyle w:val="47"/>
        <w:widowControl w:val="off"/>
      </w:pPr>
      <w:r>
        <w:rPr>
          <w:rFonts w:ascii="한양신명조" w:eastAsia="한양신명조"/>
          <w:b/>
        </w:rPr>
        <w:t xml:space="preserve"> 2.2 클래스 불균형 대응 및 앙상블 분류 모델</w:t>
      </w:r>
    </w:p>
    <w:p>
      <w:pPr>
        <w:pStyle w:val="47"/>
        <w:widowControl w:val="off"/>
        <w:rPr>
          <w:rFonts w:ascii="한양신명조" w:eastAsia="한양신명조"/>
          <w:color w:val="000000"/>
        </w:rPr>
      </w:pPr>
    </w:p>
    <w:p>
      <w:pPr>
        <w:pStyle w:val="47"/>
        <w:widowControl w:val="off"/>
      </w:pPr>
      <w:r>
        <w:rPr>
          <w:rFonts w:ascii="한양신명조" w:eastAsia="한양신명조"/>
        </w:rPr>
        <w:t xml:space="preserve"> 반도체 공정과 같이 양품 대비 불량의 비율이 극히 낮은 환경에서는 모델이 다수 클래스(정상)로 예측을 편향하는 문제가 발생하며, 이를 완화하기 위해 단순 정확도 중심의 평가와 고정된 분류 임계값을 재검토하고, 데이터 분포와 오류 비용을 고려한 샘플링 전략을 설계할 필요가 있다 [12]. 표준적으로 활용되는 SMOTE 기반 소수 클래스 합성 기법 [2] 은 불균형 완화에 효과적이지만, 고차원 노이즈 데이터에 부적절하게 적용될 경우 과적합을 유발할 수 있다.</w:t>
      </w:r>
    </w:p>
    <w:p>
      <w:pPr>
        <w:pStyle w:val="47"/>
        <w:widowControl w:val="off"/>
      </w:pPr>
      <w:r>
        <w:rPr>
          <w:rFonts w:ascii="한양신명조" w:eastAsia="한양신명조"/>
        </w:rPr>
        <w:t xml:space="preserve"> 이에 따라 최근 연구들은 샘플링 기법과 함께 강력한 특성 선택 및 앙상블 분류기를 결합하는 방식을 채택하고 있다. 다수의 특성 선택 기법을 결합한 앙상블 투표(Voting)와 SMOTE를 조합하여 핵심 변수를 추출하고 이를 XGBoost에 적용함으로써 클래스 분리도와 소수 클래스 탐지력(Recall)을 크게 개선한 사례가 대표적이다 [5]. 이는 산업 도메인에서 불량을 놓치는 비용(Type II Error)이 오탐 비용(Type I Error)보다 훨씬 크다는 점에서, 정밀도보다 재현율을 중심으로 한 앙상블 모델링이 중요함을 시사한다.</w:t>
      </w:r>
    </w:p>
    <w:p>
      <w:pPr>
        <w:pStyle w:val="47"/>
        <w:widowControl w:val="off"/>
        <w:rPr>
          <w:rFonts w:ascii="한양신명조" w:eastAsia="한양신명조"/>
          <w:color w:val="000000"/>
        </w:rPr>
      </w:pPr>
    </w:p>
    <w:p>
      <w:pPr>
        <w:pStyle w:val="47"/>
        <w:widowControl w:val="off"/>
      </w:pPr>
      <w:r>
        <w:rPr>
          <w:rFonts w:ascii="한양신명조" w:eastAsia="한양신명조"/>
          <w:b/>
        </w:rPr>
        <w:t xml:space="preserve"> 2.3 기존 연구의 한계 및 차별성</w:t>
      </w:r>
    </w:p>
    <w:p>
      <w:pPr>
        <w:pStyle w:val="47"/>
        <w:widowControl w:val="off"/>
        <w:rPr>
          <w:rFonts w:ascii="한양신명조" w:eastAsia="한양신명조"/>
          <w:color w:val="000000"/>
        </w:rPr>
      </w:pPr>
    </w:p>
    <w:p>
      <w:pPr>
        <w:pStyle w:val="47"/>
        <w:widowControl w:val="off"/>
      </w:pPr>
      <w:r>
        <w:rPr>
          <w:rFonts w:ascii="한양신명조" w:eastAsia="한양신명조"/>
        </w:rPr>
        <w:t xml:space="preserve"> 상기 고찰한 바와 같이, 선행 연구들은 고차원 반도체 데이터의 특성을 반영하여 결측치 대치, 오버샘플링, 분류 알고리즘을 조합하는 파이프라인 연구로 발전해 왔다. 그러나 대다수는 결측치 대치 방식의 고도화에 집중할 뿐, 결측 메커니즘 자체가 가지는 정보량(MNAR)을 결측지시변수 형태로 분류 모델에 직접 통합하여 그 효과를 체계적으로 규명한 연구는 부족하다. 더욱이 대치 정확도의 향상이 반드시 후속 예측 성능 개선으로 이어지지 않으며 [6], AutoML 환경에서는 정교한 대치 기법 없이도 경쟁력 있는 예측 성능이 가능하다는 점 [10]이 보고되면서, 대치 방식의 고도화보다 결측 패턴 자체의 정보적 활용을 탐색할 필요성이 제기되고 있다.</w:t>
      </w:r>
    </w:p>
    <w:p>
      <w:pPr>
        <w:pStyle w:val="47"/>
        <w:widowControl w:val="off"/>
      </w:pPr>
      <w:r>
        <w:rPr>
          <w:rFonts w:ascii="한양신명조" w:eastAsia="한양신명조"/>
        </w:rPr>
        <w:t xml:space="preserve"> 이에 데이터 누출 방지 교차검증 구조 [9][15]를 기본 골격으로 채택하되, 기존 연구를 세 가지 측면에서 확장한다. 첫째, 평균 대치뿐 아니라 MICE, MissForest 등 다중 대치 기법으로 범위를 넓힌다. 둘째, 각 대치 조건에 결측 지시변수를 결합하여 결측 패턴 정보의 독립적 기여도를 실증한다. 셋째, 분류 모델을 XGBoost, HGB(Histogram-based </w:t>
      </w:r>
      <w:r>
        <w:drawing>
          <wp:anchor distT="0" distB="0" distL="0" distR="0" simplePos="0" relativeHeight="21" behindDoc="0" locked="0" layoutInCell="1" allowOverlap="1">
            <wp:simplePos x="0" y="0"/>
            <wp:positionH relativeFrom="column">
              <wp:posOffset>427863</wp:posOffset>
            </wp:positionH>
            <wp:positionV relativeFrom="paragraph">
              <wp:posOffset>0</wp:posOffset>
            </wp:positionV>
            <wp:extent cx="5264404" cy="2632075"/>
            <wp:effectExtent l="0" t="0" r="0" b="0"/>
            <wp:wrapTopAndBottom/>
            <wp:docPr id="1" name="그림 %d 1"/>
            <wp:cNvGraphicFramePr/>
            <a:graphic>
              <a:graphicData uri="http://schemas.openxmlformats.org/drawingml/2006/picture">
                <pic:pic>
                  <pic:nvPicPr>
                    <pic:cNvPr id="0" name="C:\Users\지명근\AppData\Local\Temp\Hnc\BinData\EMB000057e05209.png"/>
                    <pic:cNvPicPr/>
                  </pic:nvPicPr>
                  <pic:blipFill>
                    <a:blip r:embed="rId1"/>
                    <a:stretch>
                      <a:fillRect/>
                    </a:stretch>
                  </pic:blipFill>
                  <pic:spPr>
                    <a:xfrm>
                      <a:off x="0" y="0"/>
                      <a:ext cx="5264404" cy="2632075"/>
                    </a:xfrm>
                    <a:prstGeom prst="rect">
                      <a:avLst/>
                    </a:prstGeom>
                    <a:effectLst/>
                  </pic:spPr>
                </pic:pic>
              </a:graphicData>
            </a:graphic>
          </wp:anchor>
        </w:drawing>
      </w:r>
      <w:r>
        <w:rPr>
          <w:rFonts w:ascii="한양신명조" w:eastAsia="한양신명조"/>
        </w:rPr>
        <w:t>Gradient Boosting) 등 희소 행렬(Sparse Matrix) 처리에 강점이 있는 부스팅 계열로 확장하여, 결측 패턴과 비선형 공정 변수 간의 결합 효과를 분석한다.</w:t>
      </w:r>
    </w:p>
    <w:p>
      <w:pPr>
        <w:pStyle w:val="47"/>
        <w:widowControl w:val="off"/>
        <w:wordWrap w:val="1"/>
        <w:jc w:val="center"/>
      </w:pPr>
      <w:r>
        <w:rPr>
          <w:rFonts w:ascii="한양신명조"/>
          <w:b/>
        </w:rPr>
        <w:t xml:space="preserve">&lt;Figure 1&gt; </w:t>
      </w:r>
      <w:r>
        <w:rPr>
          <w:rFonts w:ascii="한양신명조"/>
        </w:rPr>
        <w:t>Overall Experimental Design and Pipeline Framework</w:t>
      </w:r>
      <w:r>
        <w:rPr>
          <w:rFonts w:ascii="한양신명조"/>
        </w:rPr>
        <w:t xml:space="preserve"> </w:t>
      </w:r>
    </w:p>
    <w:p>
      <w:pPr>
        <w:pStyle w:val="47"/>
        <w:widowControl w:val="off"/>
        <w:wordWrap w:val="1"/>
        <w:jc w:val="center"/>
        <w:rPr>
          <w:rFonts w:ascii="한양신명조" w:eastAsia="한양신명조"/>
          <w:color w:val="000000"/>
        </w:rPr>
      </w:pPr>
    </w:p>
    <w:p>
      <w:pPr>
        <w:pStyle w:val="47"/>
        <w:widowControl w:val="off"/>
        <w:rPr>
          <w:rFonts w:ascii="한양신명조" w:eastAsia="한양신명조"/>
          <w:color w:val="000000"/>
        </w:rPr>
      </w:pPr>
    </w:p>
    <w:p>
      <w:pPr>
        <w:pStyle w:val="47"/>
        <w:widowControl w:val="off"/>
      </w:pPr>
      <w:r>
        <w:rPr>
          <w:rFonts w:ascii="한양신명조" w:eastAsia="한양신명조"/>
          <w:b/>
          <w:sz w:val="24"/>
        </w:rPr>
        <w:t>3. 연구방법론</w:t>
      </w:r>
    </w:p>
    <w:p>
      <w:pPr>
        <w:pStyle w:val="47"/>
        <w:widowControl w:val="off"/>
        <w:rPr>
          <w:rFonts w:ascii="한양신명조" w:eastAsia="한양신명조"/>
          <w:b/>
          <w:color w:val="000000"/>
          <w:sz w:val="24"/>
        </w:rPr>
      </w:pPr>
    </w:p>
    <w:p>
      <w:pPr>
        <w:pStyle w:val="47"/>
        <w:widowControl w:val="off"/>
      </w:pPr>
      <w:r>
        <w:rPr>
          <w:rFonts w:ascii="한양신명조" w:eastAsia="한양신명조"/>
          <w:b/>
        </w:rPr>
        <w:t xml:space="preserve"> 3.1 전체 실험 파이프라인 및 교차 검증 설계</w:t>
      </w:r>
    </w:p>
    <w:p>
      <w:pPr>
        <w:pStyle w:val="47"/>
        <w:widowControl w:val="off"/>
        <w:rPr>
          <w:rFonts w:ascii="한양신명조" w:eastAsia="한양신명조"/>
          <w:color w:val="000000"/>
        </w:rPr>
      </w:pPr>
    </w:p>
    <w:p>
      <w:pPr>
        <w:pStyle w:val="47"/>
        <w:widowControl w:val="off"/>
      </w:pPr>
      <w:r>
        <w:rPr>
          <w:rFonts w:ascii="한양신명조" w:eastAsia="한양신명조"/>
        </w:rPr>
        <w:t xml:space="preserve"> 연구가 제안하는 분류 파이프라인은 데이터 정제, 결측치 대치, 클래스 불균형 처리, 특성 선택, 분류(Classification)의 5단계로 구성된다. 각 단계별로 복수의 방법론을 교차 적용하여 총 924개(11×2×7 ×6)의 파이프라인 조합을 생성하고 성능을 비교 분석하였다. 모델 학습 과정에서 발생할 수 있는 데이터 누출을 원천적으로 방지하기 위해 K-Fold 교차 검증(K=9) 구조를 채택하였으며, 결측치 대치를 위한 통계량 산출, SMOTE 기반의 합성 데이터 생성, 특성 선택을 위한 p-value 산출 등 모든 전처리 과정은 교차 검증 루프 내부에서 훈련 데이터만을 기준으로 수행하였다. 산출된 기준을 검증 데이터에 동일하게 적용하여 모델의 일반화 성능을 객관적으로 평가하였다. 각 방법론에 대한 구체적인 하이퍼파라미터 셋업 및 튜닝 과정은 4.1절 실험 환경 및 하이퍼파라미터 설정에서 상세히 다룬다.</w:t>
      </w:r>
    </w:p>
    <w:p>
      <w:pPr>
        <w:pStyle w:val="47"/>
        <w:widowControl w:val="off"/>
        <w:wordWrap w:val="1"/>
        <w:jc w:val="center"/>
      </w:pPr>
      <w:r>
        <w:rPr>
          <w:rFonts w:ascii="한양신명조"/>
          <w:b/>
        </w:rPr>
        <w:t xml:space="preserve">&lt;Table </w:t>
      </w:r>
      <w:fldSimple w:instr="SEQ 표 \* ARABIC">
        <w:r>
          <w:t>1</w:t>
        </w:r>
      </w:fldSimple>
      <w:r>
        <w:rPr>
          <w:rFonts w:ascii="한양신명조"/>
          <w:b/>
        </w:rPr>
        <w:t>&gt;</w:t>
      </w:r>
      <w:r>
        <w:rPr>
          <w:rFonts w:ascii="한양신명조"/>
        </w:rPr>
        <w:t xml:space="preserve"> Processing Methods and Total Number of Combinations for Each Pipeline Stage</w:t>
      </w:r>
    </w:p>
    <w:tbl>
      <w:tblPr>
        <w:tblOverlap w:val="never"/>
        <w:tblW w:w="4671" w:type="dxa"/>
        <w:tblBorders>
          <w:top w:val="single" w:color="000000" w:sz="3"/>
          <w:left w:val="single" w:color="000000" w:sz="3"/>
          <w:bottom w:val="single" w:color="000000" w:sz="3"/>
          <w:right w:val="single" w:color="000000" w:sz="3"/>
        </w:tblBorders>
        <w:tblLayout w:type="fixed"/>
        <w:tblCellMar>
          <w:top w:w="28" w:type="dxa"/>
          <w:left w:w="102" w:type="dxa"/>
          <w:bottom w:w="28" w:type="dxa"/>
          <w:right w:w="102" w:type="dxa"/>
        </w:tblCellMar>
      </w:tblPr>
      <w:tblGrid>
        <w:gridCol w:w="1513"/>
        <w:gridCol w:w="2111"/>
        <w:gridCol w:w="1048"/>
      </w:tblGrid>
      <w:tr>
        <w:trPr>
          <w:trHeight w:val="56"/>
        </w:trPr>
        <w:tc>
          <w:tcPr>
            <w:tcW w:w="1513" w:type="dxa"/>
            <w:tcBorders>
              <w:top w:val="single" w:color="000000" w:sz="11"/>
              <w:left w:val="none" w:color="000000" w:sz="3"/>
              <w:bottom w:val="single" w:color="000000" w:sz="11"/>
              <w:right w:val="single" w:color="000000" w:sz="3"/>
            </w:tcBorders>
            <w:vAlign w:val="center"/>
          </w:tcPr>
          <w:p>
            <w:pPr>
              <w:pStyle w:val="0"/>
              <w:widowControl w:val="off"/>
              <w:wordWrap w:val="1"/>
              <w:jc w:val="left"/>
            </w:pPr>
            <w:r>
              <w:rPr/>
              <w:t>Step</w:t>
            </w:r>
          </w:p>
        </w:tc>
        <w:tc>
          <w:tcPr>
            <w:tcW w:w="2111" w:type="dxa"/>
            <w:tcBorders>
              <w:top w:val="single" w:color="000000" w:sz="11"/>
              <w:left w:val="single" w:color="000000" w:sz="3"/>
              <w:bottom w:val="single" w:color="000000" w:sz="11"/>
              <w:right w:val="single" w:color="000000" w:sz="3"/>
            </w:tcBorders>
            <w:vAlign w:val="center"/>
          </w:tcPr>
          <w:p>
            <w:pPr>
              <w:pStyle w:val="0"/>
              <w:widowControl w:val="off"/>
              <w:wordWrap w:val="1"/>
              <w:jc w:val="left"/>
            </w:pPr>
            <w:r>
              <w:rPr/>
              <w:t>List of processing methods</w:t>
            </w:r>
          </w:p>
        </w:tc>
        <w:tc>
          <w:tcPr>
            <w:tcW w:w="1048" w:type="dxa"/>
            <w:tcBorders>
              <w:top w:val="single" w:color="000000" w:sz="11"/>
              <w:left w:val="single" w:color="000000" w:sz="3"/>
              <w:bottom w:val="single" w:color="000000" w:sz="11"/>
              <w:right w:val="none" w:color="000000" w:sz="3"/>
            </w:tcBorders>
            <w:vAlign w:val="center"/>
          </w:tcPr>
          <w:p>
            <w:pPr>
              <w:pStyle w:val="0"/>
              <w:widowControl w:val="off"/>
              <w:wordWrap w:val="1"/>
              <w:jc w:val="left"/>
            </w:pPr>
            <w:r>
              <w:rPr/>
              <w:t>Number of methods</w:t>
            </w:r>
          </w:p>
        </w:tc>
      </w:tr>
      <w:tr>
        <w:trPr>
          <w:trHeight w:val="56"/>
        </w:trPr>
        <w:tc>
          <w:tcPr>
            <w:tcW w:w="1513" w:type="dxa"/>
            <w:tcBorders>
              <w:top w:val="single" w:color="000000" w:sz="11"/>
              <w:left w:val="none" w:color="000000" w:sz="3"/>
              <w:bottom w:val="single" w:color="000000" w:sz="3"/>
              <w:right w:val="single" w:color="000000" w:sz="3"/>
            </w:tcBorders>
            <w:vAlign w:val="center"/>
          </w:tcPr>
          <w:p>
            <w:pPr>
              <w:pStyle w:val="0"/>
              <w:widowControl w:val="off"/>
              <w:wordWrap w:val="1"/>
              <w:jc w:val="left"/>
            </w:pPr>
            <w:r>
              <w:rPr/>
              <w:t>1. Imputation</w:t>
            </w:r>
          </w:p>
        </w:tc>
        <w:tc>
          <w:tcPr>
            <w:tcW w:w="2111" w:type="dxa"/>
            <w:tcBorders>
              <w:top w:val="single" w:color="000000" w:sz="11"/>
              <w:left w:val="single" w:color="000000" w:sz="3"/>
              <w:bottom w:val="single" w:color="000000" w:sz="3"/>
              <w:right w:val="single" w:color="000000" w:sz="3"/>
            </w:tcBorders>
            <w:vAlign w:val="center"/>
          </w:tcPr>
          <w:p>
            <w:pPr>
              <w:pStyle w:val="0"/>
              <w:widowControl w:val="off"/>
              <w:wordWrap w:val="1"/>
              <w:jc w:val="left"/>
            </w:pPr>
            <w:r>
              <w:rPr/>
              <w:t xml:space="preserve">Raw, </w:t>
            </w:r>
          </w:p>
          <w:p>
            <w:pPr>
              <w:pStyle w:val="0"/>
              <w:widowControl w:val="off"/>
              <w:wordWrap w:val="1"/>
              <w:jc w:val="left"/>
            </w:pPr>
            <w:r>
              <w:rPr/>
              <w:t xml:space="preserve">Raw+M, </w:t>
            </w:r>
          </w:p>
          <w:p>
            <w:pPr>
              <w:pStyle w:val="0"/>
              <w:widowControl w:val="off"/>
              <w:wordWrap w:val="1"/>
              <w:jc w:val="left"/>
            </w:pPr>
            <w:r>
              <w:rPr/>
              <w:t xml:space="preserve">Mean, </w:t>
            </w:r>
          </w:p>
          <w:p>
            <w:pPr>
              <w:pStyle w:val="0"/>
              <w:widowControl w:val="off"/>
              <w:wordWrap w:val="1"/>
              <w:jc w:val="left"/>
            </w:pPr>
            <w:r>
              <w:rPr/>
              <w:t xml:space="preserve">Mean+M, </w:t>
            </w:r>
          </w:p>
          <w:p>
            <w:pPr>
              <w:pStyle w:val="0"/>
              <w:widowControl w:val="off"/>
              <w:wordWrap w:val="1"/>
              <w:jc w:val="left"/>
            </w:pPr>
            <w:r>
              <w:rPr/>
              <w:t xml:space="preserve">Inpainting KNN, Inpainting KNN+M, MICE, </w:t>
            </w:r>
          </w:p>
          <w:p>
            <w:pPr>
              <w:pStyle w:val="0"/>
              <w:widowControl w:val="off"/>
              <w:wordWrap w:val="1"/>
              <w:jc w:val="left"/>
            </w:pPr>
            <w:r>
              <w:rPr/>
              <w:t xml:space="preserve">MICE+M, </w:t>
            </w:r>
          </w:p>
          <w:p>
            <w:pPr>
              <w:pStyle w:val="0"/>
              <w:widowControl w:val="off"/>
              <w:wordWrap w:val="1"/>
              <w:jc w:val="left"/>
            </w:pPr>
            <w:r>
              <w:rPr/>
              <w:t xml:space="preserve">MissForest, MissForest+M, </w:t>
            </w:r>
          </w:p>
          <w:p>
            <w:pPr>
              <w:pStyle w:val="0"/>
              <w:widowControl w:val="off"/>
              <w:wordWrap w:val="1"/>
              <w:jc w:val="left"/>
            </w:pPr>
            <w:r>
              <w:rPr/>
              <w:t>M_only</w:t>
            </w:r>
          </w:p>
        </w:tc>
        <w:tc>
          <w:tcPr>
            <w:tcW w:w="1048" w:type="dxa"/>
            <w:tcBorders>
              <w:top w:val="single" w:color="000000" w:sz="11"/>
              <w:left w:val="single" w:color="000000" w:sz="3"/>
              <w:bottom w:val="single" w:color="000000" w:sz="3"/>
              <w:right w:val="none" w:color="000000" w:sz="3"/>
            </w:tcBorders>
            <w:vAlign w:val="center"/>
          </w:tcPr>
          <w:p>
            <w:pPr>
              <w:pStyle w:val="0"/>
              <w:widowControl w:val="off"/>
              <w:wordWrap w:val="1"/>
              <w:jc w:val="left"/>
            </w:pPr>
            <w:r>
              <w:rPr/>
              <w:t>11</w:t>
            </w:r>
          </w:p>
        </w:tc>
      </w:tr>
      <w:tr>
        <w:trPr>
          <w:trHeight w:val="56"/>
        </w:trPr>
        <w:tc>
          <w:tcPr>
            <w:tcW w:w="1513" w:type="dxa"/>
            <w:tcBorders>
              <w:top w:val="single" w:color="000000" w:sz="3"/>
              <w:left w:val="none" w:color="000000" w:sz="3"/>
              <w:bottom w:val="single" w:color="000000" w:sz="3"/>
              <w:right w:val="single" w:color="000000" w:sz="3"/>
            </w:tcBorders>
            <w:vAlign w:val="center"/>
          </w:tcPr>
          <w:p>
            <w:pPr>
              <w:pStyle w:val="0"/>
              <w:widowControl w:val="off"/>
              <w:wordWrap w:val="1"/>
              <w:jc w:val="left"/>
            </w:pPr>
            <w:r>
              <w:rPr/>
              <w:t>2. Balancing</w:t>
            </w:r>
          </w:p>
        </w:tc>
        <w:tc>
          <w:tcPr>
            <w:tcW w:w="2111" w:type="dxa"/>
            <w:tcBorders>
              <w:top w:val="single" w:color="000000" w:sz="3"/>
              <w:left w:val="single" w:color="000000" w:sz="3"/>
              <w:bottom w:val="single" w:color="000000" w:sz="3"/>
              <w:right w:val="single" w:color="000000" w:sz="3"/>
            </w:tcBorders>
            <w:vAlign w:val="center"/>
          </w:tcPr>
          <w:p>
            <w:pPr>
              <w:pStyle w:val="0"/>
              <w:widowControl w:val="off"/>
              <w:wordWrap w:val="1"/>
              <w:jc w:val="left"/>
            </w:pPr>
            <w:r>
              <w:rPr/>
              <w:t xml:space="preserve">Raw(Not applied), </w:t>
            </w:r>
          </w:p>
          <w:p>
            <w:pPr>
              <w:pStyle w:val="0"/>
              <w:widowControl w:val="off"/>
              <w:wordWrap w:val="1"/>
              <w:jc w:val="left"/>
            </w:pPr>
            <w:r>
              <w:rPr/>
              <w:t>SMOTE</w:t>
            </w:r>
          </w:p>
        </w:tc>
        <w:tc>
          <w:tcPr>
            <w:tcW w:w="1048" w:type="dxa"/>
            <w:tcBorders>
              <w:top w:val="single" w:color="000000" w:sz="3"/>
              <w:left w:val="single" w:color="000000" w:sz="3"/>
              <w:bottom w:val="single" w:color="000000" w:sz="3"/>
              <w:right w:val="none" w:color="000000" w:sz="3"/>
            </w:tcBorders>
            <w:vAlign w:val="center"/>
          </w:tcPr>
          <w:p>
            <w:pPr>
              <w:pStyle w:val="0"/>
              <w:widowControl w:val="off"/>
              <w:wordWrap w:val="1"/>
              <w:jc w:val="left"/>
            </w:pPr>
            <w:r>
              <w:rPr/>
              <w:t>2</w:t>
            </w:r>
          </w:p>
        </w:tc>
      </w:tr>
      <w:tr>
        <w:trPr>
          <w:trHeight w:val="56"/>
        </w:trPr>
        <w:tc>
          <w:tcPr>
            <w:tcW w:w="1513" w:type="dxa"/>
            <w:tcBorders>
              <w:top w:val="single" w:color="000000" w:sz="3"/>
              <w:left w:val="none" w:color="000000" w:sz="3"/>
              <w:bottom w:val="single" w:color="000000" w:sz="3"/>
              <w:right w:val="single" w:color="000000" w:sz="3"/>
            </w:tcBorders>
            <w:vAlign w:val="center"/>
          </w:tcPr>
          <w:p>
            <w:pPr>
              <w:pStyle w:val="0"/>
              <w:widowControl w:val="off"/>
              <w:wordWrap w:val="1"/>
              <w:jc w:val="left"/>
            </w:pPr>
            <w:r>
              <w:rPr/>
              <w:t>3. Feature selection</w:t>
            </w:r>
          </w:p>
        </w:tc>
        <w:tc>
          <w:tcPr>
            <w:tcW w:w="2111" w:type="dxa"/>
            <w:tcBorders>
              <w:top w:val="single" w:color="000000" w:sz="3"/>
              <w:left w:val="single" w:color="000000" w:sz="3"/>
              <w:bottom w:val="single" w:color="000000" w:sz="3"/>
              <w:right w:val="single" w:color="000000" w:sz="3"/>
            </w:tcBorders>
            <w:vAlign w:val="center"/>
          </w:tcPr>
          <w:p>
            <w:pPr>
              <w:pStyle w:val="0"/>
              <w:widowControl w:val="off"/>
              <w:wordWrap w:val="1"/>
              <w:jc w:val="left"/>
            </w:pPr>
            <w:r>
              <w:rPr/>
              <w:t xml:space="preserve">chi2, </w:t>
            </w:r>
          </w:p>
          <w:p>
            <w:pPr>
              <w:pStyle w:val="0"/>
              <w:widowControl w:val="off"/>
              <w:wordWrap w:val="1"/>
              <w:jc w:val="left"/>
            </w:pPr>
            <w:r>
              <w:rPr/>
              <w:t xml:space="preserve">f_classif, </w:t>
            </w:r>
          </w:p>
          <w:p>
            <w:pPr>
              <w:pStyle w:val="0"/>
              <w:widowControl w:val="off"/>
              <w:wordWrap w:val="1"/>
              <w:jc w:val="left"/>
            </w:pPr>
            <w:r>
              <w:rPr/>
              <w:t xml:space="preserve">mutual_info, </w:t>
            </w:r>
          </w:p>
          <w:p>
            <w:pPr>
              <w:pStyle w:val="0"/>
              <w:widowControl w:val="off"/>
              <w:wordWrap w:val="1"/>
              <w:jc w:val="left"/>
            </w:pPr>
            <w:r>
              <w:rPr/>
              <w:t xml:space="preserve">FPR, </w:t>
            </w:r>
          </w:p>
          <w:p>
            <w:pPr>
              <w:pStyle w:val="0"/>
              <w:widowControl w:val="off"/>
              <w:wordWrap w:val="1"/>
              <w:jc w:val="left"/>
            </w:pPr>
            <w:r>
              <w:rPr/>
              <w:t xml:space="preserve">FDR, </w:t>
            </w:r>
          </w:p>
          <w:p>
            <w:pPr>
              <w:pStyle w:val="0"/>
              <w:widowControl w:val="off"/>
              <w:wordWrap w:val="1"/>
              <w:jc w:val="left"/>
            </w:pPr>
            <w:r>
              <w:rPr/>
              <w:t xml:space="preserve">FWE, </w:t>
            </w:r>
          </w:p>
          <w:p>
            <w:pPr>
              <w:pStyle w:val="0"/>
              <w:widowControl w:val="off"/>
              <w:wordWrap w:val="1"/>
              <w:jc w:val="left"/>
            </w:pPr>
            <w:r>
              <w:rPr/>
              <w:t>Raw(Not applied)</w:t>
            </w:r>
          </w:p>
        </w:tc>
        <w:tc>
          <w:tcPr>
            <w:tcW w:w="1048" w:type="dxa"/>
            <w:tcBorders>
              <w:top w:val="single" w:color="000000" w:sz="3"/>
              <w:left w:val="single" w:color="000000" w:sz="3"/>
              <w:bottom w:val="single" w:color="000000" w:sz="3"/>
              <w:right w:val="none" w:color="000000" w:sz="3"/>
            </w:tcBorders>
            <w:vAlign w:val="center"/>
          </w:tcPr>
          <w:p>
            <w:pPr>
              <w:pStyle w:val="0"/>
              <w:widowControl w:val="off"/>
              <w:wordWrap w:val="1"/>
              <w:jc w:val="left"/>
            </w:pPr>
            <w:r>
              <w:rPr/>
              <w:t>7</w:t>
            </w:r>
          </w:p>
        </w:tc>
      </w:tr>
      <w:tr>
        <w:trPr>
          <w:trHeight w:val="56"/>
        </w:trPr>
        <w:tc>
          <w:tcPr>
            <w:tcW w:w="1513" w:type="dxa"/>
            <w:tcBorders>
              <w:top w:val="single" w:color="000000" w:sz="3"/>
              <w:left w:val="none" w:color="000000" w:sz="3"/>
              <w:bottom w:val="single" w:color="000000" w:sz="11"/>
              <w:right w:val="single" w:color="000000" w:sz="3"/>
            </w:tcBorders>
            <w:vAlign w:val="center"/>
          </w:tcPr>
          <w:p>
            <w:pPr>
              <w:pStyle w:val="0"/>
              <w:widowControl w:val="off"/>
              <w:wordWrap w:val="1"/>
              <w:jc w:val="left"/>
            </w:pPr>
            <w:r>
              <w:rPr/>
              <w:t>4. Classification model</w:t>
            </w:r>
          </w:p>
        </w:tc>
        <w:tc>
          <w:tcPr>
            <w:tcW w:w="2111" w:type="dxa"/>
            <w:tcBorders>
              <w:top w:val="single" w:color="000000" w:sz="3"/>
              <w:left w:val="single" w:color="000000" w:sz="3"/>
              <w:bottom w:val="single" w:color="000000" w:sz="11"/>
              <w:right w:val="single" w:color="000000" w:sz="3"/>
            </w:tcBorders>
            <w:vAlign w:val="center"/>
          </w:tcPr>
          <w:p>
            <w:pPr>
              <w:pStyle w:val="0"/>
              <w:widowControl w:val="off"/>
              <w:wordWrap w:val="1"/>
              <w:jc w:val="left"/>
            </w:pPr>
            <w:r>
              <w:rPr/>
              <w:t xml:space="preserve">KNN, </w:t>
            </w:r>
          </w:p>
          <w:p>
            <w:pPr>
              <w:pStyle w:val="0"/>
              <w:widowControl w:val="off"/>
              <w:wordWrap w:val="1"/>
              <w:jc w:val="left"/>
            </w:pPr>
            <w:r>
              <w:rPr/>
              <w:t xml:space="preserve">SVM, </w:t>
            </w:r>
          </w:p>
          <w:p>
            <w:pPr>
              <w:pStyle w:val="0"/>
              <w:widowControl w:val="off"/>
              <w:wordWrap w:val="1"/>
              <w:jc w:val="left"/>
            </w:pPr>
            <w:r>
              <w:rPr/>
              <w:t>Logistic Regression, Random Forest,</w:t>
            </w:r>
          </w:p>
          <w:p>
            <w:pPr>
              <w:pStyle w:val="0"/>
              <w:widowControl w:val="off"/>
              <w:wordWrap w:val="1"/>
              <w:jc w:val="left"/>
            </w:pPr>
            <w:r>
              <w:rPr/>
              <w:t xml:space="preserve">XGBoost, </w:t>
            </w:r>
          </w:p>
          <w:p>
            <w:pPr>
              <w:pStyle w:val="0"/>
              <w:widowControl w:val="off"/>
              <w:wordWrap w:val="1"/>
              <w:jc w:val="left"/>
            </w:pPr>
            <w:r>
              <w:rPr/>
              <w:t>HGB</w:t>
            </w:r>
          </w:p>
        </w:tc>
        <w:tc>
          <w:tcPr>
            <w:tcW w:w="1048" w:type="dxa"/>
            <w:tcBorders>
              <w:top w:val="single" w:color="000000" w:sz="3"/>
              <w:left w:val="single" w:color="000000" w:sz="3"/>
              <w:bottom w:val="single" w:color="000000" w:sz="11"/>
              <w:right w:val="none" w:color="000000" w:sz="3"/>
            </w:tcBorders>
            <w:vAlign w:val="center"/>
          </w:tcPr>
          <w:p>
            <w:pPr>
              <w:pStyle w:val="0"/>
              <w:widowControl w:val="off"/>
              <w:wordWrap w:val="1"/>
              <w:jc w:val="left"/>
            </w:pPr>
            <w:r>
              <w:rPr/>
              <w:t>6</w:t>
            </w:r>
          </w:p>
        </w:tc>
      </w:tr>
      <w:tr>
        <w:trPr>
          <w:trHeight w:val="56"/>
        </w:trPr>
        <w:tc>
          <w:tcPr>
            <w:tcW w:w="1513" w:type="dxa"/>
            <w:tcBorders>
              <w:top w:val="single" w:color="000000" w:sz="11"/>
              <w:left w:val="none" w:color="000000" w:sz="3"/>
              <w:bottom w:val="single" w:color="000000" w:sz="11"/>
              <w:right w:val="single" w:color="000000" w:sz="3"/>
            </w:tcBorders>
            <w:vAlign w:val="center"/>
          </w:tcPr>
          <w:p>
            <w:pPr>
              <w:pStyle w:val="0"/>
              <w:widowControl w:val="off"/>
              <w:wordWrap w:val="1"/>
              <w:jc w:val="left"/>
            </w:pPr>
            <w:r>
              <w:rPr/>
              <w:t>Total number of combinations</w:t>
            </w:r>
          </w:p>
        </w:tc>
        <w:tc>
          <w:tcPr>
            <w:tcW w:w="2111" w:type="dxa"/>
            <w:tcBorders>
              <w:top w:val="single" w:color="000000" w:sz="11"/>
              <w:left w:val="single" w:color="000000" w:sz="3"/>
              <w:bottom w:val="single" w:color="000000" w:sz="11"/>
              <w:right w:val="single" w:color="000000" w:sz="3"/>
            </w:tcBorders>
            <w:vAlign w:val="center"/>
          </w:tcPr>
          <w:p>
            <w:pPr>
              <w:pStyle w:val="0"/>
              <w:widowControl w:val="off"/>
              <w:wordWrap w:val="1"/>
              <w:jc w:val="left"/>
            </w:pPr>
            <w:r>
              <w:rPr/>
              <w:t>11 × 2 × 7 × 6</w:t>
            </w:r>
          </w:p>
        </w:tc>
        <w:tc>
          <w:tcPr>
            <w:tcW w:w="1048" w:type="dxa"/>
            <w:tcBorders>
              <w:top w:val="single" w:color="000000" w:sz="11"/>
              <w:left w:val="single" w:color="000000" w:sz="3"/>
              <w:bottom w:val="single" w:color="000000" w:sz="11"/>
              <w:right w:val="none" w:color="000000" w:sz="3"/>
            </w:tcBorders>
            <w:vAlign w:val="center"/>
          </w:tcPr>
          <w:p>
            <w:pPr>
              <w:pStyle w:val="0"/>
              <w:widowControl w:val="off"/>
              <w:wordWrap w:val="1"/>
              <w:jc w:val="left"/>
            </w:pPr>
            <w:r>
              <w:rPr/>
              <w:t>924</w:t>
            </w:r>
          </w:p>
        </w:tc>
      </w:tr>
    </w:tbl>
    <w:p>
      <w:pPr>
        <w:pStyle w:val="47"/>
        <w:widowControl w:val="off"/>
      </w:pPr>
    </w:p>
    <w:p>
      <w:pPr>
        <w:pStyle w:val="47"/>
        <w:widowControl w:val="off"/>
      </w:pPr>
      <w:r>
        <w:rPr>
          <w:rFonts w:ascii="한양신명조" w:eastAsia="한양신명조"/>
          <w:b/>
        </w:rPr>
        <w:t xml:space="preserve"> 3.2 데이터 정제 및 결측 지시변수 생성</w:t>
      </w:r>
    </w:p>
    <w:p>
      <w:pPr>
        <w:pStyle w:val="47"/>
        <w:widowControl w:val="off"/>
        <w:rPr>
          <w:rFonts w:ascii="한양신명조" w:eastAsia="한양신명조"/>
          <w:color w:val="000000"/>
        </w:rPr>
      </w:pPr>
    </w:p>
    <w:p>
      <w:pPr>
        <w:pStyle w:val="47"/>
        <w:widowControl w:val="off"/>
      </w:pPr>
      <w:r>
        <w:rPr>
          <w:rFonts w:ascii="한양신명조" w:eastAsia="한양신명조"/>
        </w:rPr>
        <w:t xml:space="preserve"> 수집된 반도체 공정 원본 데이터에 대해 두 단계의 정제를 수행하여 분석의 신뢰성을 확보하였다. 첫째, 50% 이상의 결측률을 가진 특성(Feature)은 유의미한 정보 복원이 불가능하다고 판단하여 제거하였다. 둘째, 분산이 0.05 이하인 특성은 모든 샘플에서 유사한 값을 가져 불량 검출에 기여하지 못하므로 추가로 제거하였다. 이 과정을 거친 데이터를 기준 데이터(Raw)로 정의하였다.</w:t>
      </w:r>
    </w:p>
    <w:p>
      <w:pPr>
        <w:pStyle w:val="47"/>
        <w:widowControl w:val="off"/>
      </w:pPr>
      <w:r>
        <w:rPr>
          <w:rFonts w:ascii="한양신명조" w:eastAsia="한양신명조"/>
        </w:rPr>
        <w:t xml:space="preserve"> 이후, 정제된 데이터에 존재하는 결측 패턴 자체가 공정 이상의 유의미한 신호 (MNAR: Missing Not At Random)일 수 있다는 가설을 검증하기 위해 결측지시변수를 도입하였다. 임의의 센서 변수 </w:t>
      </w:r>
      <m:oMath>
        <m:sSub>
          <m:sSubPr>
            <m:ctrlpr>
              <m:rPr>
                <m:sty m:val="p"/>
              </m:rPr>
              <w:rPr>
                <w:rFonts w:ascii="Cambria Math" w:hAnsi="Cambria Math"/>
              </w:rPr>
            </m:ctrlpr>
          </m:sSubPr>
          <m:e>
            <m:r>
              <m:rPr>
                <m:sty m:val="p"/>
              </m:rPr>
              <w:rPr>
                <w:rFonts w:ascii="Cambria Math" w:hAnsi="Cambria Math"/>
              </w:rPr>
              <m:t>x</m:t>
            </m:r>
          </m:e>
          <m:sub>
            <m:r>
              <m:rPr>
                <m:sty m:val="p"/>
              </m:rPr>
              <w:rPr>
                <w:rFonts w:ascii="Cambria Math" w:hAnsi="Cambria Math"/>
              </w:rPr>
              <m:t>ij</m:t>
            </m:r>
          </m:sub>
        </m:sSub>
      </m:oMath>
      <w:r>
        <w:rPr>
          <w:rFonts w:ascii="한양신명조" w:eastAsia="한양신명조"/>
        </w:rPr>
        <w:t xml:space="preserve">에 대한 </w:t>
      </w:r>
      <m:oMath>
        <m:sSub>
          <m:sSubPr>
            <m:ctrlpr>
              <m:rPr>
                <m:sty m:val="p"/>
              </m:rPr>
              <w:rPr>
                <w:rFonts w:ascii="Cambria Math" w:hAnsi="Cambria Math"/>
              </w:rPr>
            </m:ctrlpr>
          </m:sSubPr>
          <m:e>
            <m:r>
              <m:rPr>
                <m:sty m:val="p"/>
              </m:rPr>
              <w:rPr>
                <w:rFonts w:ascii="Cambria Math" w:hAnsi="Cambria Math"/>
              </w:rPr>
              <m:t>M</m:t>
            </m:r>
          </m:e>
          <m:sub>
            <m:r>
              <m:rPr>
                <m:sty m:val="p"/>
              </m:rPr>
              <w:rPr>
                <w:rFonts w:ascii="Cambria Math" w:hAnsi="Cambria Math"/>
              </w:rPr>
              <m:t>ij</m:t>
            </m:r>
          </m:sub>
        </m:sSub>
      </m:oMath>
      <w:r>
        <w:rPr>
          <w:rFonts w:ascii="한양신명조" w:eastAsia="한양신명조"/>
        </w:rPr>
        <w:t>는 결측 발생 여부에 따라 1 또는 0의 이진 값을 갖도록 생성된다. 결측지시변수는 실험 설계에 기반하여 세 가지 조건으로 모델에 투입되었다.</w:t>
      </w:r>
    </w:p>
    <w:p>
      <w:pPr>
        <w:pStyle w:val="47"/>
        <w:widowControl w:val="off"/>
        <w:rPr>
          <w:rFonts w:ascii="한양신명조" w:eastAsia="한양신명조"/>
          <w:color w:val="000000"/>
        </w:rPr>
      </w:pPr>
    </w:p>
    <w:p>
      <w:pPr>
        <w:pStyle w:val="47"/>
        <w:widowControl w:val="off"/>
        <w:wordWrap w:val="1"/>
        <w:jc w:val="center"/>
      </w:pPr>
      <w:r>
        <w:rPr>
          <w:rFonts w:ascii="한양신명조"/>
          <w:b/>
        </w:rPr>
        <w:t xml:space="preserve">&lt;Table </w:t>
      </w:r>
      <w:fldSimple w:instr="SEQ 표 \* ARABIC">
        <w:r>
          <w:t>2</w:t>
        </w:r>
      </w:fldSimple>
      <w:r>
        <w:rPr>
          <w:rFonts w:ascii="한양신명조"/>
          <w:b/>
        </w:rPr>
        <w:t>&gt;</w:t>
      </w:r>
      <w:r>
        <w:rPr>
          <w:rFonts w:ascii="한양신명조"/>
        </w:rPr>
        <w:t xml:space="preserve"> Conditions for Applying Missing Indicator Variables (M Feature)</w:t>
      </w:r>
    </w:p>
    <w:tbl>
      <w:tblPr>
        <w:tblOverlap w:val="never"/>
        <w:tblW w:w="4642" w:type="dxa"/>
        <w:tblBorders>
          <w:top w:val="single" w:color="000000" w:sz="3"/>
          <w:left w:val="single" w:color="000000" w:sz="3"/>
          <w:bottom w:val="single" w:color="000000" w:sz="3"/>
          <w:right w:val="single" w:color="000000" w:sz="3"/>
        </w:tblBorders>
        <w:tblLayout w:type="fixed"/>
        <w:tblCellMar>
          <w:top w:w="28" w:type="dxa"/>
          <w:left w:w="102" w:type="dxa"/>
          <w:bottom w:w="28" w:type="dxa"/>
          <w:right w:w="102" w:type="dxa"/>
        </w:tblCellMar>
      </w:tblPr>
      <w:tblGrid>
        <w:gridCol w:w="1060"/>
        <w:gridCol w:w="3582"/>
      </w:tblGrid>
      <w:tr>
        <w:trPr>
          <w:trHeight w:val="352"/>
        </w:trPr>
        <w:tc>
          <w:tcPr>
            <w:tcW w:w="1060" w:type="dxa"/>
            <w:tcBorders>
              <w:top w:val="single" w:color="000000" w:sz="11"/>
              <w:left w:val="none" w:color="000000" w:sz="3"/>
              <w:bottom w:val="single" w:color="000000" w:sz="11"/>
              <w:right w:val="single" w:color="000000" w:sz="3"/>
            </w:tcBorders>
            <w:vAlign w:val="center"/>
          </w:tcPr>
          <w:p>
            <w:pPr>
              <w:pStyle w:val="0"/>
              <w:widowControl w:val="off"/>
              <w:wordWrap w:val="1"/>
              <w:jc w:val="left"/>
            </w:pPr>
            <w:r>
              <w:rPr/>
              <w:t>Application conditions</w:t>
            </w:r>
          </w:p>
        </w:tc>
        <w:tc>
          <w:tcPr>
            <w:tcW w:w="3582" w:type="dxa"/>
            <w:tcBorders>
              <w:top w:val="single" w:color="000000" w:sz="11"/>
              <w:left w:val="single" w:color="000000" w:sz="3"/>
              <w:bottom w:val="single" w:color="000000" w:sz="11"/>
              <w:right w:val="none" w:color="000000" w:sz="3"/>
            </w:tcBorders>
            <w:vAlign w:val="center"/>
          </w:tcPr>
          <w:p>
            <w:pPr>
              <w:pStyle w:val="0"/>
              <w:widowControl w:val="off"/>
              <w:wordWrap w:val="1"/>
              <w:jc w:val="left"/>
            </w:pPr>
            <w:r>
              <w:rPr/>
              <w:t>Data configuration</w:t>
            </w:r>
          </w:p>
        </w:tc>
      </w:tr>
      <w:tr>
        <w:trPr>
          <w:trHeight w:val="352"/>
        </w:trPr>
        <w:tc>
          <w:tcPr>
            <w:tcW w:w="1060" w:type="dxa"/>
            <w:tcBorders>
              <w:top w:val="single" w:color="000000" w:sz="11"/>
              <w:left w:val="none" w:color="000000" w:sz="3"/>
              <w:bottom w:val="single" w:color="000000" w:sz="3"/>
              <w:right w:val="single" w:color="000000" w:sz="3"/>
            </w:tcBorders>
            <w:vAlign w:val="center"/>
          </w:tcPr>
          <w:p>
            <w:pPr>
              <w:pStyle w:val="0"/>
              <w:widowControl w:val="off"/>
              <w:wordWrap w:val="1"/>
              <w:jc w:val="left"/>
            </w:pPr>
            <w:r>
              <w:rPr/>
              <w:t>Raw</w:t>
            </w:r>
          </w:p>
        </w:tc>
        <w:tc>
          <w:tcPr>
            <w:tcW w:w="3582" w:type="dxa"/>
            <w:tcBorders>
              <w:top w:val="single" w:color="000000" w:sz="11"/>
              <w:left w:val="single" w:color="000000" w:sz="3"/>
              <w:bottom w:val="single" w:color="000000" w:sz="3"/>
              <w:right w:val="none" w:color="000000" w:sz="3"/>
            </w:tcBorders>
            <w:vAlign w:val="center"/>
          </w:tcPr>
          <w:p>
            <w:pPr>
              <w:pStyle w:val="0"/>
              <w:widowControl w:val="off"/>
              <w:wordWrap w:val="1"/>
              <w:jc w:val="left"/>
            </w:pPr>
            <w:r>
              <w:rPr/>
              <w:t xml:space="preserve">Use only the original variables on which only missing values </w:t>
            </w:r>
            <w:r>
              <w:rPr/>
              <w:t>​​</w:t>
            </w:r>
            <w:r>
              <w:rPr/>
              <w:t>have been imputed</w:t>
            </w:r>
          </w:p>
        </w:tc>
      </w:tr>
      <w:tr>
        <w:trPr>
          <w:trHeight w:val="671"/>
        </w:trPr>
        <w:tc>
          <w:tcPr>
            <w:tcW w:w="1060" w:type="dxa"/>
            <w:tcBorders>
              <w:top w:val="single" w:color="000000" w:sz="3"/>
              <w:left w:val="none" w:color="000000" w:sz="3"/>
              <w:bottom w:val="single" w:color="000000" w:sz="3"/>
              <w:right w:val="single" w:color="000000" w:sz="3"/>
            </w:tcBorders>
            <w:vAlign w:val="center"/>
          </w:tcPr>
          <w:p>
            <w:pPr>
              <w:pStyle w:val="0"/>
              <w:widowControl w:val="off"/>
              <w:wordWrap w:val="1"/>
              <w:jc w:val="left"/>
            </w:pPr>
            <w:r>
              <w:rPr/>
              <w:t>Raw + M</w:t>
            </w:r>
          </w:p>
        </w:tc>
        <w:tc>
          <w:tcPr>
            <w:tcW w:w="3582" w:type="dxa"/>
            <w:tcBorders>
              <w:top w:val="single" w:color="000000" w:sz="3"/>
              <w:left w:val="single" w:color="000000" w:sz="3"/>
              <w:bottom w:val="single" w:color="000000" w:sz="3"/>
              <w:right w:val="none" w:color="000000" w:sz="3"/>
            </w:tcBorders>
            <w:vAlign w:val="center"/>
          </w:tcPr>
          <w:p>
            <w:pPr>
              <w:pStyle w:val="0"/>
              <w:widowControl w:val="off"/>
              <w:wordWrap w:val="1"/>
              <w:jc w:val="left"/>
            </w:pPr>
            <w:r>
              <w:rPr/>
              <w:t>Combine the M_Features with the original variable in the column direction</w:t>
            </w:r>
          </w:p>
        </w:tc>
      </w:tr>
      <w:tr>
        <w:trPr>
          <w:trHeight w:val="671"/>
        </w:trPr>
        <w:tc>
          <w:tcPr>
            <w:tcW w:w="1060" w:type="dxa"/>
            <w:tcBorders>
              <w:top w:val="single" w:color="000000" w:sz="3"/>
              <w:left w:val="none" w:color="000000" w:sz="3"/>
              <w:bottom w:val="single" w:color="000000" w:sz="11"/>
              <w:right w:val="single" w:color="000000" w:sz="3"/>
            </w:tcBorders>
            <w:vAlign w:val="center"/>
          </w:tcPr>
          <w:p>
            <w:pPr>
              <w:pStyle w:val="0"/>
              <w:widowControl w:val="off"/>
              <w:wordWrap w:val="1"/>
              <w:jc w:val="left"/>
            </w:pPr>
            <w:r>
              <w:rPr/>
              <w:t>M_only</w:t>
            </w:r>
          </w:p>
        </w:tc>
        <w:tc>
          <w:tcPr>
            <w:tcW w:w="3582" w:type="dxa"/>
            <w:tcBorders>
              <w:top w:val="single" w:color="000000" w:sz="3"/>
              <w:left w:val="single" w:color="000000" w:sz="3"/>
              <w:bottom w:val="single" w:color="000000" w:sz="11"/>
              <w:right w:val="none" w:color="000000" w:sz="3"/>
            </w:tcBorders>
            <w:vAlign w:val="center"/>
          </w:tcPr>
          <w:p>
            <w:pPr>
              <w:pStyle w:val="0"/>
              <w:widowControl w:val="off"/>
              <w:wordWrap w:val="1"/>
              <w:jc w:val="left"/>
            </w:pPr>
            <w:r>
              <w:rPr/>
              <w:t>Use only M_Features as independent input variables without original variables</w:t>
            </w:r>
          </w:p>
        </w:tc>
      </w:tr>
    </w:tbl>
    <w:p>
      <w:pPr>
        <w:pStyle w:val="47"/>
        <w:widowControl w:val="off"/>
      </w:pPr>
    </w:p>
    <w:p>
      <w:pPr>
        <w:pStyle w:val="47"/>
        <w:widowControl w:val="off"/>
        <w:rPr>
          <w:rFonts w:ascii="한양신명조" w:eastAsia="한양신명조"/>
          <w:color w:val="000000"/>
        </w:rPr>
      </w:pPr>
    </w:p>
    <w:p>
      <w:pPr>
        <w:pStyle w:val="47"/>
        <w:widowControl w:val="off"/>
      </w:pPr>
      <w:r>
        <w:rPr>
          <w:rFonts w:ascii="한양신명조" w:eastAsia="한양신명조"/>
          <w:b/>
        </w:rPr>
        <w:t xml:space="preserve"> 3.3 결측치 대치 및 클래스 불균형 처리</w:t>
      </w:r>
    </w:p>
    <w:p>
      <w:pPr>
        <w:pStyle w:val="47"/>
        <w:widowControl w:val="off"/>
        <w:rPr>
          <w:rFonts w:ascii="한양신명조" w:eastAsia="한양신명조"/>
          <w:color w:val="000000"/>
        </w:rPr>
      </w:pPr>
    </w:p>
    <w:p>
      <w:pPr>
        <w:pStyle w:val="47"/>
        <w:widowControl w:val="off"/>
      </w:pPr>
      <w:r>
        <w:rPr>
          <w:rFonts w:ascii="한양신명조" w:eastAsia="한양신명조"/>
        </w:rPr>
        <w:t xml:space="preserve"> 데이터 내 잔존하는 결측치를 처리하기 위해 단순 대치부터 다중 대치에 이르는 4가지 대치 기법을 파이프라인에 적용하였다. 비교의 기준점이 되는 평균 대치(Mean Imputation)를 비롯하여, 결측값의 신뢰도와 이웃 샘플 간의 거리를 기반으로 결측치를 추정하는 In-painting KNN, 변수 간의 조건부 분포를 반복적으로 모델링하는 MICE(Multiple Imputation by Chained Equations), 그리고 비선형적 관계 포착에 강점이 있는 Random Forest 기반의 MissForest를 활용하였다. 각 대치 기법은 앞서 정의한 M 피처 적용 조건과 결합되어 총 11가지의 대치 조건으로 확장된다.</w:t>
      </w:r>
    </w:p>
    <w:p>
      <w:pPr>
        <w:pStyle w:val="47"/>
        <w:widowControl w:val="off"/>
      </w:pPr>
      <w:r>
        <w:rPr>
          <w:rFonts w:ascii="한양신명조" w:eastAsia="한양신명조"/>
        </w:rPr>
        <w:t xml:space="preserve"> 반도체 공정 데이터의 극단적인 클래스 불균형(양품 대비 불량의 극소수 분포)을 해소하기 위해 오버샘플링 기법인 SMOTE(Synthetic Minority Over-sampling Technique)를 적용하였다. SMOTE 적용 조건과 미적용(Raw) 조건을 비교하여 데이터 균형화가 불량 검출 성능에 미치는 영향을 평가하였다.</w:t>
      </w:r>
    </w:p>
    <w:p>
      <w:pPr>
        <w:pStyle w:val="47"/>
        <w:widowControl w:val="off"/>
        <w:rPr>
          <w:rFonts w:ascii="한양신명조" w:eastAsia="한양신명조"/>
          <w:color w:val="000000"/>
        </w:rPr>
      </w:pPr>
    </w:p>
    <w:p>
      <w:pPr>
        <w:pStyle w:val="47"/>
        <w:widowControl w:val="off"/>
      </w:pPr>
      <w:r>
        <w:rPr>
          <w:rFonts w:ascii="한양신명조" w:eastAsia="한양신명조"/>
          <w:b/>
        </w:rPr>
        <w:t xml:space="preserve"> 3.4 특성 선택(Feature Selection)</w:t>
      </w:r>
    </w:p>
    <w:p>
      <w:pPr>
        <w:pStyle w:val="47"/>
        <w:widowControl w:val="off"/>
        <w:rPr>
          <w:rFonts w:ascii="한양신명조" w:eastAsia="한양신명조"/>
          <w:color w:val="000000"/>
        </w:rPr>
      </w:pPr>
    </w:p>
    <w:p>
      <w:pPr>
        <w:pStyle w:val="47"/>
        <w:widowControl w:val="off"/>
      </w:pPr>
      <w:r>
        <w:rPr>
          <w:rFonts w:ascii="한양신명조" w:eastAsia="한양신명조"/>
        </w:rPr>
        <w:t xml:space="preserve"> 고차원 센서 데이터에 포함된 잡음(Noise) 변수를 제거하고 모델의 학습 효율을 높이기 위해 단변량 통계 및 유의성 검정에 기반한 6가지 특성 선택 기법을 적용하였다. 범주형 목표 변수와의 연관성을 평가하는 카이제곱 검정(</w:t>
      </w:r>
      <m:oMath>
        <m:sSup>
          <m:sSupPr>
            <m:ctrlpr>
              <m:rPr>
                <m:sty m:val="p"/>
              </m:rPr>
              <w:rPr>
                <w:rFonts w:ascii="Cambria Math" w:hAnsi="Cambria Math"/>
              </w:rPr>
            </m:ctrlpr>
          </m:sSupPr>
          <m:e>
            <m:r>
              <m:rPr>
                <m:sty m:val="p"/>
              </m:rPr>
              <w:rPr>
                <w:rFonts w:ascii="Cambria Math" w:hAnsi="Cambria Math"/>
              </w:rPr>
              <m:t>χ</m:t>
            </m:r>
          </m:e>
          <m:sup>
            <m:r>
              <m:rPr>
                <m:sty m:val="p"/>
              </m:rPr>
              <w:rPr>
                <w:rFonts w:ascii="Cambria Math" w:hAnsi="Cambria Math"/>
              </w:rPr>
              <m:t>2</m:t>
            </m:r>
          </m:sup>
        </m:sSup>
      </m:oMath>
      <w:r>
        <w:rPr>
          <w:rFonts w:ascii="한양신명조" w:eastAsia="한양신명조"/>
        </w:rPr>
        <w:t>test), 연속형 변수의 클래스 간 분산을 비교하는 ANOVA F-검정(f_classif), 변수 간의 비선형적 의존성까지 포착하는 상호정보량(Mutual Information) 기법을 활용하였다. 또한, 다중 검정 오류를 통제하기 위해 위양성률 통제(FPR), 위발견율 통제(FDR), 집단오류율 통제(FWE) 방식을 함께 적용하였다. 특성 선택을 전혀 수행하지 않은 조건(Raw)을 포함하여 총 7가지 조건을 비교하였다.</w:t>
      </w:r>
    </w:p>
    <w:p>
      <w:pPr>
        <w:pStyle w:val="47"/>
        <w:widowControl w:val="off"/>
        <w:rPr>
          <w:rFonts w:ascii="한양신명조" w:eastAsia="한양신명조"/>
          <w:color w:val="000000"/>
        </w:rPr>
      </w:pPr>
    </w:p>
    <w:p>
      <w:pPr>
        <w:pStyle w:val="47"/>
        <w:widowControl w:val="off"/>
      </w:pPr>
      <w:r>
        <w:rPr>
          <w:rFonts w:ascii="한양신명조" w:eastAsia="한양신명조"/>
          <w:b/>
        </w:rPr>
        <w:t xml:space="preserve"> 3.5 분류 모델 및 성능 평가</w:t>
      </w:r>
    </w:p>
    <w:p>
      <w:pPr>
        <w:pStyle w:val="47"/>
        <w:widowControl w:val="off"/>
        <w:rPr>
          <w:rFonts w:ascii="한양신명조" w:eastAsia="한양신명조"/>
          <w:color w:val="000000"/>
        </w:rPr>
      </w:pPr>
    </w:p>
    <w:p>
      <w:pPr>
        <w:pStyle w:val="47"/>
        <w:widowControl w:val="off"/>
      </w:pPr>
      <w:r>
        <w:rPr>
          <w:rFonts w:ascii="한양신명조" w:eastAsia="한양신명조"/>
        </w:rPr>
        <w:t xml:space="preserve"> M 피처의 결합 효과를 다각도로 분석하기 위해 선형 및 비선형 기계학습 모델 6종을 파이프라인의 최종 분류기로 구성하였다. 비교적 단순한 결정 경계를 가지는 KNN, 서포트 벡터 머신(SVM), 로지스틱 회귀(Logistic Regression)와 함께, 고차원 데이터 처리에 강점이 있는 앙상블/부스팅 계열의 Random Forest, XGBoost, HGB를 평가 대상에 포함하였다. 특히 불균형 환경에서 소수 클래스 탐지력을 높이기 위해 검증 데이터 기반의 임계값 이동(Threshold Moving) 전략을 적용하였다.</w:t>
      </w:r>
    </w:p>
    <w:p>
      <w:pPr>
        <w:pStyle w:val="47"/>
        <w:widowControl w:val="off"/>
      </w:pPr>
      <w:r>
        <w:rPr>
          <w:rFonts w:ascii="한양신명조" w:eastAsia="한양신명조"/>
        </w:rPr>
        <w:t xml:space="preserve">파이프라인의 성능은 모델이 실제 불량을 놓치지 않고 탐지하는 능력을 최우선으로 고려하여 재현율(Recall)과 F2-score를 핵심 평가지표로 사용하였다. 또한, 과도한 오탐(False Alarm)으로 인한 현장 적용성 저하를 방지하기 위해 진음성률을 보조 지표로 모니터링하였다. 아울러 실효성 있는 파이프라인의 선별을 위해 전체 924개 조합 중 TNR </w:t>
      </w:r>
      <w:r>
        <w:rPr>
          <w:rFonts w:ascii="한양신명조"/>
        </w:rPr>
        <w:t>≥</w:t>
      </w:r>
      <w:r>
        <w:rPr>
          <w:rFonts w:ascii="한양신명조" w:eastAsia="한양신명조"/>
        </w:rPr>
        <w:t xml:space="preserve"> 0.5 및 Recall </w:t>
      </w:r>
      <w:r>
        <w:rPr>
          <w:rFonts w:ascii="한양신명조"/>
        </w:rPr>
        <w:t>≥</w:t>
      </w:r>
      <w:r>
        <w:rPr>
          <w:rFonts w:ascii="한양신명조" w:eastAsia="한양신명조"/>
        </w:rPr>
        <w:t xml:space="preserve"> 0.6을 동시에 만족하는 조합만을 '생존 파이프라인'으로 정의하였다. </w:t>
      </w:r>
      <w:r>
        <w:rPr>
          <w:rFonts w:ascii="한양신명조"/>
          <w:color w:val="0000ff"/>
        </w:rPr>
        <w:t xml:space="preserve">TNR </w:t>
      </w:r>
      <w:r>
        <w:rPr>
          <w:rFonts w:ascii="한양신명조"/>
          <w:color w:val="0000ff"/>
        </w:rPr>
        <w:t>≥</w:t>
      </w:r>
      <w:r>
        <w:rPr>
          <w:rFonts w:ascii="한양신명조" w:eastAsia="한양신명조"/>
          <w:color w:val="0000ff"/>
        </w:rPr>
        <w:t xml:space="preserve"> 0.5는 모델이 정상 샘플의 절반 이상을 올바르게 구분하는 최소 수준으로, 이를 하회하는 모델은 사실상 정상 샘플 대부분을 불량으로 오분류하는 극단적 편향 모델로 판단하여 제외하였다. Recall </w:t>
      </w:r>
      <w:r>
        <w:rPr>
          <w:rFonts w:ascii="한양신명조"/>
          <w:color w:val="0000ff"/>
        </w:rPr>
        <w:t>≥</w:t>
      </w:r>
      <w:r>
        <w:rPr>
          <w:rFonts w:ascii="한양신명조" w:eastAsia="한양신명조"/>
          <w:color w:val="0000ff"/>
        </w:rPr>
        <w:t xml:space="preserve"> 0.6은 실제 불량 샘플의 60% 이상을 탐지하는 최소 실용 수준으로, 반도체 공정에서 불량 미탐지(Type II Error)의 비용이 오탐(Type I Error)보다 큰 도메인 특성을 반영한 기준이다.</w:t>
      </w:r>
    </w:p>
    <w:p>
      <w:pPr>
        <w:pStyle w:val="47"/>
        <w:widowControl w:val="off"/>
        <w:rPr>
          <w:rFonts w:ascii="한양신명조" w:eastAsia="한양신명조"/>
          <w:b/>
          <w:color w:val="000000"/>
        </w:rPr>
      </w:pPr>
    </w:p>
    <w:p>
      <w:pPr>
        <w:pStyle w:val="47"/>
        <w:widowControl w:val="off"/>
      </w:pPr>
      <w:r>
        <w:rPr>
          <w:rFonts w:ascii="한양신명조" w:eastAsia="한양신명조"/>
          <w:b/>
          <w:sz w:val="24"/>
        </w:rPr>
        <w:t>4. 실험 결과 및 분석</w:t>
      </w:r>
    </w:p>
    <w:p>
      <w:pPr>
        <w:pStyle w:val="47"/>
        <w:widowControl w:val="off"/>
        <w:rPr>
          <w:rFonts w:ascii="한양신명조" w:eastAsia="한양신명조"/>
          <w:b/>
          <w:color w:val="000000"/>
        </w:rPr>
      </w:pPr>
    </w:p>
    <w:p>
      <w:pPr>
        <w:pStyle w:val="47"/>
        <w:widowControl w:val="off"/>
      </w:pPr>
      <w:r>
        <w:rPr>
          <w:rFonts w:ascii="한양신명조" w:eastAsia="한양신명조"/>
        </w:rPr>
        <w:t xml:space="preserve"> 생존 기준을 만족한 파이프라인은 총 137개로 확인되었으며, 이를 기준으로 각 파이프라인 구성 요소별 성능 특성을 분석하였다.</w:t>
      </w:r>
    </w:p>
    <w:p>
      <w:pPr>
        <w:pStyle w:val="47"/>
        <w:widowControl w:val="off"/>
        <w:rPr>
          <w:rFonts w:ascii="한양신명조" w:eastAsia="한양신명조"/>
          <w:color w:val="000000"/>
        </w:rPr>
      </w:pPr>
    </w:p>
    <w:p>
      <w:pPr>
        <w:pStyle w:val="47"/>
        <w:widowControl w:val="off"/>
        <w:rPr>
          <w:rFonts w:ascii="한양신명조" w:eastAsia="한양신명조"/>
          <w:b/>
          <w:color w:val="000000"/>
        </w:rPr>
      </w:pPr>
    </w:p>
    <w:p>
      <w:pPr>
        <w:pStyle w:val="47"/>
        <w:widowControl w:val="off"/>
      </w:pPr>
      <w:r>
        <w:rPr>
          <w:rFonts w:ascii="한양신명조" w:eastAsia="한양신명조"/>
          <w:b/>
        </w:rPr>
        <w:t xml:space="preserve"> 4.1 실험 환경 및 하이퍼파라미터 설정</w:t>
      </w:r>
    </w:p>
    <w:p>
      <w:pPr>
        <w:pStyle w:val="47"/>
        <w:widowControl w:val="off"/>
        <w:rPr>
          <w:rFonts w:ascii="한양신명조" w:eastAsia="한양신명조"/>
          <w:b/>
          <w:color w:val="000000"/>
        </w:rPr>
      </w:pPr>
    </w:p>
    <w:p>
      <w:pPr>
        <w:pStyle w:val="47"/>
        <w:widowControl w:val="off"/>
        <w:wordWrap w:val="1"/>
        <w:jc w:val="center"/>
      </w:pPr>
      <w:r>
        <w:rPr>
          <w:rFonts w:ascii="한양신명조"/>
          <w:b/>
        </w:rPr>
        <w:t xml:space="preserve">&lt;Table </w:t>
      </w:r>
      <w:fldSimple w:instr="SEQ 표 \* ARABIC">
        <w:r>
          <w:t>3</w:t>
        </w:r>
      </w:fldSimple>
      <w:r>
        <w:rPr>
          <w:rFonts w:ascii="한양신명조"/>
          <w:b/>
        </w:rPr>
        <w:t>&gt;</w:t>
      </w:r>
      <w:r>
        <w:rPr>
          <w:rFonts w:ascii="한양신명조"/>
        </w:rPr>
        <w:t xml:space="preserve">  Setting key parameters by classification model</w:t>
      </w:r>
    </w:p>
    <w:tbl>
      <w:tblPr>
        <w:tblOverlap w:val="never"/>
        <w:tblW w:w="9546" w:type="dxa"/>
        <w:tblBorders>
          <w:top w:val="single" w:color="000000" w:sz="3"/>
          <w:left w:val="single" w:color="000000" w:sz="3"/>
          <w:bottom w:val="single" w:color="000000" w:sz="3"/>
          <w:right w:val="single" w:color="000000" w:sz="3"/>
        </w:tblBorders>
        <w:tblLayout w:type="fixed"/>
        <w:tblCellMar>
          <w:top w:w="0" w:type="dxa"/>
          <w:left w:w="28" w:type="dxa"/>
          <w:bottom w:w="0" w:type="dxa"/>
          <w:right w:w="28" w:type="dxa"/>
        </w:tblCellMar>
      </w:tblPr>
      <w:tblGrid>
        <w:gridCol w:w="1324"/>
        <w:gridCol w:w="914"/>
        <w:gridCol w:w="914"/>
        <w:gridCol w:w="914"/>
        <w:gridCol w:w="914"/>
        <w:gridCol w:w="914"/>
        <w:gridCol w:w="914"/>
        <w:gridCol w:w="914"/>
        <w:gridCol w:w="914"/>
        <w:gridCol w:w="914"/>
      </w:tblGrid>
      <w:tr>
        <w:trPr>
          <w:trHeight w:val="795"/>
        </w:trPr>
        <w:tc>
          <w:tcPr>
            <w:tcW w:w="1324" w:type="dxa"/>
            <w:tcBorders>
              <w:top w:val="single" w:color="000000" w:sz="16"/>
              <w:left w:val="none" w:color="000000" w:sz="3"/>
              <w:bottom w:val="single" w:color="000000" w:sz="16"/>
              <w:right w:val="single" w:color="000000" w:sz="3"/>
            </w:tcBorders>
            <w:vAlign w:val="center"/>
          </w:tcPr>
          <w:p>
            <w:pPr>
              <w:pStyle w:val="0"/>
              <w:widowControl w:val="off"/>
              <w:wordWrap w:val="1"/>
              <w:jc w:val="center"/>
            </w:pPr>
            <w:r>
              <w:rPr/>
              <w:t>Model</w:t>
            </w:r>
          </w:p>
        </w:tc>
        <w:tc>
          <w:tcPr>
            <w:tcW w:w="914" w:type="dxa"/>
            <w:tcBorders>
              <w:top w:val="single" w:color="000000" w:sz="16"/>
              <w:left w:val="single" w:color="000000" w:sz="3"/>
              <w:bottom w:val="single" w:color="000000" w:sz="16"/>
              <w:right w:val="single" w:color="000000" w:sz="3"/>
            </w:tcBorders>
            <w:vAlign w:val="center"/>
          </w:tcPr>
          <w:p>
            <w:pPr>
              <w:pStyle w:val="0"/>
              <w:widowControl w:val="off"/>
              <w:wordWrap w:val="1"/>
              <w:jc w:val="center"/>
            </w:pPr>
            <w:r>
              <w:rPr/>
              <w:t>Num. of</w:t>
            </w:r>
            <w:r>
              <w:br/>
              <w:rPr/>
              <w:t>neighbors</w:t>
            </w:r>
          </w:p>
        </w:tc>
        <w:tc>
          <w:tcPr>
            <w:tcW w:w="914" w:type="dxa"/>
            <w:tcBorders>
              <w:top w:val="single" w:color="000000" w:sz="16"/>
              <w:left w:val="single" w:color="000000" w:sz="3"/>
              <w:bottom w:val="single" w:color="000000" w:sz="16"/>
              <w:right w:val="single" w:color="000000" w:sz="3"/>
            </w:tcBorders>
            <w:vAlign w:val="center"/>
          </w:tcPr>
          <w:p>
            <w:pPr>
              <w:pStyle w:val="0"/>
              <w:widowControl w:val="off"/>
              <w:wordWrap w:val="1"/>
              <w:jc w:val="center"/>
            </w:pPr>
            <w:r>
              <w:br w:type="column"/>
            </w:r>
            <w:r>
              <w:rPr/>
              <w:t>Kernel Function</w:t>
            </w:r>
          </w:p>
        </w:tc>
        <w:tc>
          <w:tcPr>
            <w:tcW w:w="914" w:type="dxa"/>
            <w:tcBorders>
              <w:top w:val="single" w:color="000000" w:sz="16"/>
              <w:left w:val="single" w:color="000000" w:sz="3"/>
              <w:bottom w:val="single" w:color="000000" w:sz="16"/>
              <w:right w:val="single" w:color="000000" w:sz="3"/>
            </w:tcBorders>
            <w:vAlign w:val="center"/>
          </w:tcPr>
          <w:p>
            <w:pPr>
              <w:pStyle w:val="0"/>
              <w:widowControl w:val="off"/>
              <w:wordWrap w:val="1"/>
              <w:jc w:val="center"/>
            </w:pPr>
            <w:r>
              <w:rPr/>
              <w:t>Regular-</w:t>
            </w:r>
            <w:r>
              <w:br/>
              <w:rPr/>
              <w:t>ization Parameter</w:t>
            </w:r>
          </w:p>
        </w:tc>
        <w:tc>
          <w:tcPr>
            <w:tcW w:w="914" w:type="dxa"/>
            <w:tcBorders>
              <w:top w:val="single" w:color="000000" w:sz="16"/>
              <w:left w:val="single" w:color="000000" w:sz="3"/>
              <w:bottom w:val="single" w:color="000000" w:sz="16"/>
              <w:right w:val="single" w:color="000000" w:sz="3"/>
            </w:tcBorders>
            <w:vAlign w:val="center"/>
          </w:tcPr>
          <w:p>
            <w:pPr>
              <w:pStyle w:val="0"/>
              <w:widowControl w:val="off"/>
              <w:wordWrap w:val="1"/>
              <w:jc w:val="center"/>
            </w:pPr>
            <w:r>
              <w:rPr/>
              <w:t>Max</w:t>
            </w:r>
            <w:r>
              <w:br/>
              <w:rPr/>
              <w:t>Num. of Iterations</w:t>
            </w:r>
          </w:p>
        </w:tc>
        <w:tc>
          <w:tcPr>
            <w:tcW w:w="914" w:type="dxa"/>
            <w:tcBorders>
              <w:top w:val="single" w:color="000000" w:sz="16"/>
              <w:left w:val="single" w:color="000000" w:sz="3"/>
              <w:bottom w:val="single" w:color="000000" w:sz="16"/>
              <w:right w:val="single" w:color="000000" w:sz="3"/>
            </w:tcBorders>
            <w:vAlign w:val="center"/>
          </w:tcPr>
          <w:p>
            <w:pPr>
              <w:pStyle w:val="0"/>
              <w:widowControl w:val="off"/>
              <w:wordWrap w:val="1"/>
              <w:jc w:val="center"/>
            </w:pPr>
            <w:r>
              <w:rPr/>
              <w:t>Class</w:t>
            </w:r>
            <w:r>
              <w:br/>
              <w:rPr/>
              <w:t>weight</w:t>
            </w:r>
          </w:p>
        </w:tc>
        <w:tc>
          <w:tcPr>
            <w:tcW w:w="914" w:type="dxa"/>
            <w:tcBorders>
              <w:top w:val="single" w:color="000000" w:sz="16"/>
              <w:left w:val="single" w:color="000000" w:sz="3"/>
              <w:bottom w:val="single" w:color="000000" w:sz="16"/>
              <w:right w:val="single" w:color="000000" w:sz="3"/>
            </w:tcBorders>
            <w:vAlign w:val="center"/>
          </w:tcPr>
          <w:p>
            <w:pPr>
              <w:pStyle w:val="0"/>
              <w:widowControl w:val="off"/>
              <w:wordWrap w:val="1"/>
              <w:jc w:val="center"/>
            </w:pPr>
            <w:r>
              <w:rPr/>
              <w:t>Num. of</w:t>
            </w:r>
            <w:r>
              <w:br/>
              <w:rPr/>
              <w:t>estimators</w:t>
            </w:r>
          </w:p>
        </w:tc>
        <w:tc>
          <w:tcPr>
            <w:tcW w:w="914" w:type="dxa"/>
            <w:tcBorders>
              <w:top w:val="single" w:color="000000" w:sz="16"/>
              <w:left w:val="single" w:color="000000" w:sz="3"/>
              <w:bottom w:val="single" w:color="000000" w:sz="16"/>
              <w:right w:val="single" w:color="000000" w:sz="3"/>
            </w:tcBorders>
            <w:vAlign w:val="center"/>
          </w:tcPr>
          <w:p>
            <w:pPr>
              <w:pStyle w:val="0"/>
              <w:widowControl w:val="off"/>
              <w:wordWrap w:val="1"/>
              <w:jc w:val="center"/>
            </w:pPr>
            <w:r>
              <w:rPr/>
              <w:t>Learning</w:t>
            </w:r>
            <w:r>
              <w:br/>
              <w:rPr/>
              <w:t>rate</w:t>
            </w:r>
          </w:p>
        </w:tc>
        <w:tc>
          <w:tcPr>
            <w:tcW w:w="914" w:type="dxa"/>
            <w:tcBorders>
              <w:top w:val="single" w:color="000000" w:sz="16"/>
              <w:left w:val="single" w:color="000000" w:sz="3"/>
              <w:bottom w:val="single" w:color="000000" w:sz="16"/>
              <w:right w:val="single" w:color="000000" w:sz="3"/>
            </w:tcBorders>
            <w:vAlign w:val="center"/>
          </w:tcPr>
          <w:p>
            <w:pPr>
              <w:pStyle w:val="0"/>
              <w:widowControl w:val="off"/>
              <w:wordWrap w:val="1"/>
              <w:jc w:val="center"/>
            </w:pPr>
            <w:r>
              <w:rPr/>
              <w:t>Max-Tree</w:t>
            </w:r>
            <w:r>
              <w:br/>
              <w:rPr/>
              <w:t>depth</w:t>
            </w:r>
          </w:p>
        </w:tc>
        <w:tc>
          <w:tcPr>
            <w:tcW w:w="914" w:type="dxa"/>
            <w:tcBorders>
              <w:top w:val="single" w:color="000000" w:sz="16"/>
              <w:left w:val="single" w:color="000000" w:sz="3"/>
              <w:bottom w:val="single" w:color="000000" w:sz="16"/>
              <w:right w:val="none" w:color="000000" w:sz="3"/>
            </w:tcBorders>
            <w:vAlign w:val="center"/>
          </w:tcPr>
          <w:p>
            <w:pPr>
              <w:pStyle w:val="0"/>
              <w:widowControl w:val="off"/>
              <w:wordWrap w:val="1"/>
              <w:jc w:val="center"/>
            </w:pPr>
            <w:r>
              <w:rPr/>
              <w:t>Positive Class Weight</w:t>
            </w:r>
          </w:p>
        </w:tc>
      </w:tr>
      <w:tr>
        <w:trPr>
          <w:trHeight w:val="720"/>
        </w:trPr>
        <w:tc>
          <w:tcPr>
            <w:tcW w:w="1324" w:type="dxa"/>
            <w:tcBorders>
              <w:top w:val="single" w:color="000000" w:sz="16"/>
              <w:left w:val="none" w:color="000000" w:sz="3"/>
              <w:bottom w:val="single" w:color="000000" w:sz="3"/>
              <w:right w:val="single" w:color="000000" w:sz="3"/>
            </w:tcBorders>
            <w:vAlign w:val="center"/>
          </w:tcPr>
          <w:p>
            <w:pPr>
              <w:pStyle w:val="0"/>
              <w:widowControl w:val="off"/>
              <w:wordWrap w:val="1"/>
              <w:jc w:val="center"/>
            </w:pPr>
            <w:r>
              <w:rPr/>
              <w:t>KNN</w:t>
            </w:r>
          </w:p>
        </w:tc>
        <w:tc>
          <w:tcPr>
            <w:tcW w:w="914" w:type="dxa"/>
            <w:tcBorders>
              <w:top w:val="single" w:color="000000" w:sz="16"/>
              <w:left w:val="single" w:color="000000" w:sz="3"/>
              <w:bottom w:val="single" w:color="000000" w:sz="3"/>
              <w:right w:val="single" w:color="000000" w:sz="3"/>
            </w:tcBorders>
            <w:vAlign w:val="center"/>
          </w:tcPr>
          <w:p>
            <w:pPr>
              <w:pStyle w:val="0"/>
              <w:widowControl w:val="off"/>
              <w:wordWrap w:val="1"/>
              <w:jc w:val="center"/>
            </w:pPr>
            <w:r>
              <w:rPr/>
              <w:t>5 (Default)</w:t>
            </w:r>
          </w:p>
        </w:tc>
        <w:tc>
          <w:tcPr>
            <w:tcW w:w="914" w:type="dxa"/>
            <w:tcBorders>
              <w:top w:val="single" w:color="000000" w:sz="16"/>
              <w:left w:val="single" w:color="000000" w:sz="3"/>
              <w:bottom w:val="single" w:color="000000" w:sz="3"/>
              <w:right w:val="single" w:color="000000" w:sz="3"/>
            </w:tcBorders>
            <w:vAlign w:val="center"/>
          </w:tcPr>
          <w:p>
            <w:pPr>
              <w:pStyle w:val="0"/>
              <w:widowControl w:val="off"/>
              <w:wordWrap w:val="1"/>
              <w:jc w:val="center"/>
            </w:pPr>
            <w:r>
              <w:rPr/>
              <w:t>N/A</w:t>
            </w:r>
          </w:p>
        </w:tc>
        <w:tc>
          <w:tcPr>
            <w:tcW w:w="914" w:type="dxa"/>
            <w:tcBorders>
              <w:top w:val="single" w:color="000000" w:sz="16"/>
              <w:left w:val="single" w:color="000000" w:sz="3"/>
              <w:bottom w:val="single" w:color="000000" w:sz="3"/>
              <w:right w:val="single" w:color="000000" w:sz="3"/>
            </w:tcBorders>
            <w:vAlign w:val="center"/>
          </w:tcPr>
          <w:p>
            <w:pPr>
              <w:pStyle w:val="0"/>
              <w:widowControl w:val="off"/>
              <w:wordWrap w:val="1"/>
              <w:jc w:val="center"/>
            </w:pPr>
            <w:r>
              <w:rPr/>
              <w:t>N/A</w:t>
            </w:r>
          </w:p>
        </w:tc>
        <w:tc>
          <w:tcPr>
            <w:tcW w:w="914" w:type="dxa"/>
            <w:tcBorders>
              <w:top w:val="single" w:color="000000" w:sz="16"/>
              <w:left w:val="single" w:color="000000" w:sz="3"/>
              <w:bottom w:val="single" w:color="000000" w:sz="3"/>
              <w:right w:val="single" w:color="000000" w:sz="3"/>
            </w:tcBorders>
            <w:vAlign w:val="center"/>
          </w:tcPr>
          <w:p>
            <w:pPr>
              <w:pStyle w:val="0"/>
              <w:widowControl w:val="off"/>
              <w:wordWrap w:val="1"/>
              <w:jc w:val="center"/>
            </w:pPr>
            <w:r>
              <w:rPr/>
              <w:t>N/A</w:t>
            </w:r>
          </w:p>
        </w:tc>
        <w:tc>
          <w:tcPr>
            <w:tcW w:w="914" w:type="dxa"/>
            <w:tcBorders>
              <w:top w:val="single" w:color="000000" w:sz="16"/>
              <w:left w:val="single" w:color="000000" w:sz="3"/>
              <w:bottom w:val="single" w:color="000000" w:sz="3"/>
              <w:right w:val="single" w:color="000000" w:sz="3"/>
            </w:tcBorders>
            <w:vAlign w:val="center"/>
          </w:tcPr>
          <w:p>
            <w:pPr>
              <w:pStyle w:val="0"/>
              <w:widowControl w:val="off"/>
              <w:wordWrap w:val="1"/>
              <w:jc w:val="center"/>
            </w:pPr>
            <w:r>
              <w:rPr/>
              <w:t>N/A</w:t>
            </w:r>
          </w:p>
        </w:tc>
        <w:tc>
          <w:tcPr>
            <w:tcW w:w="914" w:type="dxa"/>
            <w:tcBorders>
              <w:top w:val="single" w:color="000000" w:sz="16"/>
              <w:left w:val="single" w:color="000000" w:sz="3"/>
              <w:bottom w:val="single" w:color="000000" w:sz="3"/>
              <w:right w:val="single" w:color="000000" w:sz="3"/>
            </w:tcBorders>
            <w:vAlign w:val="center"/>
          </w:tcPr>
          <w:p>
            <w:pPr>
              <w:pStyle w:val="0"/>
              <w:widowControl w:val="off"/>
              <w:wordWrap w:val="1"/>
              <w:jc w:val="center"/>
            </w:pPr>
            <w:r>
              <w:rPr/>
              <w:t>N/A</w:t>
            </w:r>
          </w:p>
        </w:tc>
        <w:tc>
          <w:tcPr>
            <w:tcW w:w="914" w:type="dxa"/>
            <w:tcBorders>
              <w:top w:val="single" w:color="000000" w:sz="16"/>
              <w:left w:val="single" w:color="000000" w:sz="3"/>
              <w:bottom w:val="single" w:color="000000" w:sz="3"/>
              <w:right w:val="single" w:color="000000" w:sz="3"/>
            </w:tcBorders>
            <w:vAlign w:val="center"/>
          </w:tcPr>
          <w:p>
            <w:pPr>
              <w:pStyle w:val="0"/>
              <w:widowControl w:val="off"/>
              <w:wordWrap w:val="1"/>
              <w:jc w:val="center"/>
            </w:pPr>
            <w:r>
              <w:rPr/>
              <w:t>N/A</w:t>
            </w:r>
          </w:p>
        </w:tc>
        <w:tc>
          <w:tcPr>
            <w:tcW w:w="914" w:type="dxa"/>
            <w:tcBorders>
              <w:top w:val="single" w:color="000000" w:sz="16"/>
              <w:left w:val="single" w:color="000000" w:sz="3"/>
              <w:bottom w:val="single" w:color="000000" w:sz="3"/>
              <w:right w:val="single" w:color="000000" w:sz="3"/>
            </w:tcBorders>
            <w:vAlign w:val="center"/>
          </w:tcPr>
          <w:p>
            <w:pPr>
              <w:pStyle w:val="0"/>
              <w:widowControl w:val="off"/>
              <w:wordWrap w:val="1"/>
              <w:jc w:val="center"/>
            </w:pPr>
            <w:r>
              <w:rPr/>
              <w:t>N/A</w:t>
            </w:r>
          </w:p>
        </w:tc>
        <w:tc>
          <w:tcPr>
            <w:tcW w:w="914" w:type="dxa"/>
            <w:tcBorders>
              <w:top w:val="single" w:color="000000" w:sz="16"/>
              <w:left w:val="single" w:color="000000" w:sz="3"/>
              <w:bottom w:val="single" w:color="000000" w:sz="3"/>
              <w:right w:val="none" w:color="000000" w:sz="3"/>
            </w:tcBorders>
            <w:vAlign w:val="center"/>
          </w:tcPr>
          <w:p>
            <w:pPr>
              <w:pStyle w:val="0"/>
              <w:widowControl w:val="off"/>
              <w:wordWrap w:val="1"/>
              <w:jc w:val="center"/>
            </w:pPr>
            <w:r>
              <w:rPr/>
              <w:t>N/A</w:t>
            </w:r>
          </w:p>
        </w:tc>
      </w:tr>
      <w:tr>
        <w:trPr>
          <w:trHeight w:val="720"/>
        </w:trPr>
        <w:tc>
          <w:tcPr>
            <w:tcW w:w="1324" w:type="dxa"/>
            <w:tcBorders>
              <w:top w:val="single" w:color="000000" w:sz="3"/>
              <w:left w:val="none" w:color="000000" w:sz="3"/>
              <w:bottom w:val="single" w:color="000000" w:sz="3"/>
              <w:right w:val="single" w:color="000000" w:sz="3"/>
            </w:tcBorders>
            <w:vAlign w:val="center"/>
          </w:tcPr>
          <w:p>
            <w:pPr>
              <w:pStyle w:val="0"/>
              <w:widowControl w:val="off"/>
              <w:wordWrap w:val="1"/>
              <w:jc w:val="center"/>
            </w:pPr>
            <w:r>
              <w:rPr/>
              <w:t>SVM</w:t>
            </w:r>
          </w:p>
        </w:tc>
        <w:tc>
          <w:tcPr>
            <w:tcW w:w="914"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t>N/A</w:t>
            </w:r>
          </w:p>
        </w:tc>
        <w:tc>
          <w:tcPr>
            <w:tcW w:w="914"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t>RBF</w:t>
            </w:r>
          </w:p>
        </w:tc>
        <w:tc>
          <w:tcPr>
            <w:tcW w:w="914"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t>1</w:t>
            </w:r>
          </w:p>
        </w:tc>
        <w:tc>
          <w:tcPr>
            <w:tcW w:w="914"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t>N/A</w:t>
            </w:r>
          </w:p>
        </w:tc>
        <w:tc>
          <w:tcPr>
            <w:tcW w:w="914"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t>N/A</w:t>
            </w:r>
          </w:p>
        </w:tc>
        <w:tc>
          <w:tcPr>
            <w:tcW w:w="914"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t>N/A</w:t>
            </w:r>
          </w:p>
        </w:tc>
        <w:tc>
          <w:tcPr>
            <w:tcW w:w="914"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t>N/A</w:t>
            </w:r>
          </w:p>
        </w:tc>
        <w:tc>
          <w:tcPr>
            <w:tcW w:w="914"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t>N/A</w:t>
            </w:r>
          </w:p>
        </w:tc>
        <w:tc>
          <w:tcPr>
            <w:tcW w:w="914" w:type="dxa"/>
            <w:tcBorders>
              <w:top w:val="single" w:color="000000" w:sz="3"/>
              <w:left w:val="single" w:color="000000" w:sz="3"/>
              <w:bottom w:val="single" w:color="000000" w:sz="3"/>
              <w:right w:val="none" w:color="000000" w:sz="3"/>
            </w:tcBorders>
            <w:vAlign w:val="center"/>
          </w:tcPr>
          <w:p>
            <w:pPr>
              <w:pStyle w:val="0"/>
              <w:widowControl w:val="off"/>
              <w:wordWrap w:val="1"/>
              <w:jc w:val="center"/>
            </w:pPr>
            <w:r>
              <w:rPr/>
              <w:t>N/A</w:t>
            </w:r>
          </w:p>
        </w:tc>
      </w:tr>
      <w:tr>
        <w:trPr>
          <w:trHeight w:val="720"/>
        </w:trPr>
        <w:tc>
          <w:tcPr>
            <w:tcW w:w="1324" w:type="dxa"/>
            <w:tcBorders>
              <w:top w:val="single" w:color="000000" w:sz="3"/>
              <w:left w:val="none" w:color="000000" w:sz="3"/>
              <w:bottom w:val="single" w:color="000000" w:sz="3"/>
              <w:right w:val="single" w:color="000000" w:sz="3"/>
            </w:tcBorders>
            <w:vAlign w:val="center"/>
          </w:tcPr>
          <w:p>
            <w:pPr>
              <w:pStyle w:val="0"/>
              <w:widowControl w:val="off"/>
              <w:wordWrap w:val="1"/>
              <w:jc w:val="center"/>
            </w:pPr>
            <w:r>
              <w:rPr/>
              <w:t>Logistic Regression</w:t>
            </w:r>
          </w:p>
        </w:tc>
        <w:tc>
          <w:tcPr>
            <w:tcW w:w="914"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t>N/A</w:t>
            </w:r>
          </w:p>
        </w:tc>
        <w:tc>
          <w:tcPr>
            <w:tcW w:w="914"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t>N/A</w:t>
            </w:r>
          </w:p>
        </w:tc>
        <w:tc>
          <w:tcPr>
            <w:tcW w:w="914"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t>1</w:t>
            </w:r>
          </w:p>
        </w:tc>
        <w:tc>
          <w:tcPr>
            <w:tcW w:w="914"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t>10000</w:t>
            </w:r>
          </w:p>
        </w:tc>
        <w:tc>
          <w:tcPr>
            <w:tcW w:w="914"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t>balanced</w:t>
            </w:r>
          </w:p>
        </w:tc>
        <w:tc>
          <w:tcPr>
            <w:tcW w:w="914"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t>N/A</w:t>
            </w:r>
          </w:p>
        </w:tc>
        <w:tc>
          <w:tcPr>
            <w:tcW w:w="914"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t>N/A</w:t>
            </w:r>
          </w:p>
        </w:tc>
        <w:tc>
          <w:tcPr>
            <w:tcW w:w="914"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t>N/A</w:t>
            </w:r>
          </w:p>
        </w:tc>
        <w:tc>
          <w:tcPr>
            <w:tcW w:w="914" w:type="dxa"/>
            <w:tcBorders>
              <w:top w:val="single" w:color="000000" w:sz="3"/>
              <w:left w:val="single" w:color="000000" w:sz="3"/>
              <w:bottom w:val="single" w:color="000000" w:sz="3"/>
              <w:right w:val="none" w:color="000000" w:sz="3"/>
            </w:tcBorders>
            <w:vAlign w:val="center"/>
          </w:tcPr>
          <w:p>
            <w:pPr>
              <w:pStyle w:val="0"/>
              <w:widowControl w:val="off"/>
              <w:wordWrap w:val="1"/>
              <w:jc w:val="center"/>
            </w:pPr>
            <w:r>
              <w:rPr/>
              <w:t>N/A</w:t>
            </w:r>
          </w:p>
        </w:tc>
      </w:tr>
      <w:tr>
        <w:trPr>
          <w:trHeight w:val="720"/>
        </w:trPr>
        <w:tc>
          <w:tcPr>
            <w:tcW w:w="1324" w:type="dxa"/>
            <w:tcBorders>
              <w:top w:val="single" w:color="000000" w:sz="3"/>
              <w:left w:val="none" w:color="000000" w:sz="3"/>
              <w:bottom w:val="single" w:color="000000" w:sz="3"/>
              <w:right w:val="single" w:color="000000" w:sz="3"/>
            </w:tcBorders>
            <w:vAlign w:val="center"/>
          </w:tcPr>
          <w:p>
            <w:pPr>
              <w:pStyle w:val="0"/>
              <w:widowControl w:val="off"/>
              <w:wordWrap w:val="1"/>
              <w:jc w:val="center"/>
            </w:pPr>
            <w:r>
              <w:rPr/>
              <w:t>Random Forest</w:t>
            </w:r>
          </w:p>
        </w:tc>
        <w:tc>
          <w:tcPr>
            <w:tcW w:w="914"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t>N/A</w:t>
            </w:r>
          </w:p>
        </w:tc>
        <w:tc>
          <w:tcPr>
            <w:tcW w:w="914"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t>N/A</w:t>
            </w:r>
          </w:p>
        </w:tc>
        <w:tc>
          <w:tcPr>
            <w:tcW w:w="914"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t>N/A</w:t>
            </w:r>
          </w:p>
        </w:tc>
        <w:tc>
          <w:tcPr>
            <w:tcW w:w="914"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t>N/A</w:t>
            </w:r>
          </w:p>
        </w:tc>
        <w:tc>
          <w:tcPr>
            <w:tcW w:w="914"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t>balanced</w:t>
            </w:r>
          </w:p>
        </w:tc>
        <w:tc>
          <w:tcPr>
            <w:tcW w:w="914"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t>100</w:t>
            </w:r>
          </w:p>
        </w:tc>
        <w:tc>
          <w:tcPr>
            <w:tcW w:w="914"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t>N/A</w:t>
            </w:r>
          </w:p>
        </w:tc>
        <w:tc>
          <w:tcPr>
            <w:tcW w:w="914"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t>N/A</w:t>
            </w:r>
          </w:p>
        </w:tc>
        <w:tc>
          <w:tcPr>
            <w:tcW w:w="914" w:type="dxa"/>
            <w:tcBorders>
              <w:top w:val="single" w:color="000000" w:sz="3"/>
              <w:left w:val="single" w:color="000000" w:sz="3"/>
              <w:bottom w:val="single" w:color="000000" w:sz="3"/>
              <w:right w:val="none" w:color="000000" w:sz="3"/>
            </w:tcBorders>
            <w:vAlign w:val="center"/>
          </w:tcPr>
          <w:p>
            <w:pPr>
              <w:pStyle w:val="0"/>
              <w:widowControl w:val="off"/>
              <w:wordWrap w:val="1"/>
              <w:jc w:val="center"/>
            </w:pPr>
            <w:r>
              <w:rPr/>
              <w:t>N/A</w:t>
            </w:r>
          </w:p>
        </w:tc>
      </w:tr>
      <w:tr>
        <w:trPr>
          <w:trHeight w:val="720"/>
        </w:trPr>
        <w:tc>
          <w:tcPr>
            <w:tcW w:w="1324" w:type="dxa"/>
            <w:tcBorders>
              <w:top w:val="single" w:color="000000" w:sz="3"/>
              <w:left w:val="none" w:color="000000" w:sz="3"/>
              <w:bottom w:val="single" w:color="000000" w:sz="3"/>
              <w:right w:val="single" w:color="000000" w:sz="3"/>
            </w:tcBorders>
            <w:vAlign w:val="center"/>
          </w:tcPr>
          <w:p>
            <w:pPr>
              <w:pStyle w:val="0"/>
              <w:widowControl w:val="off"/>
              <w:wordWrap w:val="1"/>
              <w:jc w:val="center"/>
            </w:pPr>
            <w:r>
              <w:rPr/>
              <w:t>XGBoost</w:t>
            </w:r>
          </w:p>
        </w:tc>
        <w:tc>
          <w:tcPr>
            <w:tcW w:w="914"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t>N/A</w:t>
            </w:r>
          </w:p>
        </w:tc>
        <w:tc>
          <w:tcPr>
            <w:tcW w:w="914"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t>N/A</w:t>
            </w:r>
          </w:p>
        </w:tc>
        <w:tc>
          <w:tcPr>
            <w:tcW w:w="914"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t>N/A</w:t>
            </w:r>
          </w:p>
        </w:tc>
        <w:tc>
          <w:tcPr>
            <w:tcW w:w="914"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t>N/A</w:t>
            </w:r>
          </w:p>
        </w:tc>
        <w:tc>
          <w:tcPr>
            <w:tcW w:w="914"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t>N/A</w:t>
            </w:r>
          </w:p>
        </w:tc>
        <w:tc>
          <w:tcPr>
            <w:tcW w:w="914"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t>100</w:t>
            </w:r>
          </w:p>
        </w:tc>
        <w:tc>
          <w:tcPr>
            <w:tcW w:w="914"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t>0.1</w:t>
            </w:r>
          </w:p>
        </w:tc>
        <w:tc>
          <w:tcPr>
            <w:tcW w:w="914"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t>3</w:t>
            </w:r>
          </w:p>
        </w:tc>
        <w:tc>
          <w:tcPr>
            <w:tcW w:w="914" w:type="dxa"/>
            <w:tcBorders>
              <w:top w:val="single" w:color="000000" w:sz="3"/>
              <w:left w:val="single" w:color="000000" w:sz="3"/>
              <w:bottom w:val="single" w:color="000000" w:sz="3"/>
              <w:right w:val="none" w:color="000000" w:sz="3"/>
            </w:tcBorders>
            <w:vAlign w:val="center"/>
          </w:tcPr>
          <w:p>
            <w:pPr>
              <w:pStyle w:val="0"/>
              <w:widowControl w:val="off"/>
              <w:wordWrap w:val="1"/>
              <w:spacing w:line="312" w:lineRule="auto"/>
              <w:jc w:val="center"/>
            </w:pPr>
            <w:r>
              <w:rPr/>
              <w:t>inverse class ratio : normal</w:t>
            </w:r>
          </w:p>
        </w:tc>
      </w:tr>
      <w:tr>
        <w:trPr>
          <w:trHeight w:val="720"/>
        </w:trPr>
        <w:tc>
          <w:tcPr>
            <w:tcW w:w="1324" w:type="dxa"/>
            <w:tcBorders>
              <w:top w:val="single" w:color="000000" w:sz="3"/>
              <w:left w:val="none" w:color="000000" w:sz="3"/>
              <w:bottom w:val="single" w:color="000000" w:sz="16"/>
              <w:right w:val="single" w:color="000000" w:sz="3"/>
            </w:tcBorders>
            <w:vAlign w:val="center"/>
          </w:tcPr>
          <w:p>
            <w:pPr>
              <w:pStyle w:val="0"/>
              <w:widowControl w:val="off"/>
              <w:wordWrap w:val="1"/>
              <w:jc w:val="center"/>
            </w:pPr>
            <w:r>
              <w:rPr/>
              <w:t>HGB</w:t>
            </w:r>
          </w:p>
        </w:tc>
        <w:tc>
          <w:tcPr>
            <w:tcW w:w="914" w:type="dxa"/>
            <w:tcBorders>
              <w:top w:val="single" w:color="000000" w:sz="3"/>
              <w:left w:val="single" w:color="000000" w:sz="3"/>
              <w:bottom w:val="single" w:color="000000" w:sz="16"/>
              <w:right w:val="single" w:color="000000" w:sz="3"/>
            </w:tcBorders>
            <w:vAlign w:val="center"/>
          </w:tcPr>
          <w:p>
            <w:pPr>
              <w:pStyle w:val="0"/>
              <w:widowControl w:val="off"/>
              <w:wordWrap w:val="1"/>
              <w:jc w:val="center"/>
            </w:pPr>
            <w:r>
              <w:rPr/>
              <w:t>N/A</w:t>
            </w:r>
          </w:p>
        </w:tc>
        <w:tc>
          <w:tcPr>
            <w:tcW w:w="914" w:type="dxa"/>
            <w:tcBorders>
              <w:top w:val="single" w:color="000000" w:sz="3"/>
              <w:left w:val="single" w:color="000000" w:sz="3"/>
              <w:bottom w:val="single" w:color="000000" w:sz="16"/>
              <w:right w:val="single" w:color="000000" w:sz="3"/>
            </w:tcBorders>
            <w:vAlign w:val="center"/>
          </w:tcPr>
          <w:p>
            <w:pPr>
              <w:pStyle w:val="0"/>
              <w:widowControl w:val="off"/>
              <w:wordWrap w:val="1"/>
              <w:jc w:val="center"/>
            </w:pPr>
            <w:r>
              <w:rPr/>
              <w:t>N/A</w:t>
            </w:r>
          </w:p>
        </w:tc>
        <w:tc>
          <w:tcPr>
            <w:tcW w:w="914" w:type="dxa"/>
            <w:tcBorders>
              <w:top w:val="single" w:color="000000" w:sz="3"/>
              <w:left w:val="single" w:color="000000" w:sz="3"/>
              <w:bottom w:val="single" w:color="000000" w:sz="16"/>
              <w:right w:val="single" w:color="000000" w:sz="3"/>
            </w:tcBorders>
            <w:vAlign w:val="center"/>
          </w:tcPr>
          <w:p>
            <w:pPr>
              <w:pStyle w:val="0"/>
              <w:widowControl w:val="off"/>
              <w:wordWrap w:val="1"/>
              <w:jc w:val="center"/>
            </w:pPr>
            <w:r>
              <w:rPr/>
              <w:t>N/A</w:t>
            </w:r>
          </w:p>
        </w:tc>
        <w:tc>
          <w:tcPr>
            <w:tcW w:w="914" w:type="dxa"/>
            <w:tcBorders>
              <w:top w:val="single" w:color="000000" w:sz="3"/>
              <w:left w:val="single" w:color="000000" w:sz="3"/>
              <w:bottom w:val="single" w:color="000000" w:sz="16"/>
              <w:right w:val="single" w:color="000000" w:sz="3"/>
            </w:tcBorders>
            <w:vAlign w:val="center"/>
          </w:tcPr>
          <w:p>
            <w:pPr>
              <w:pStyle w:val="0"/>
              <w:widowControl w:val="off"/>
              <w:wordWrap w:val="1"/>
              <w:jc w:val="center"/>
            </w:pPr>
            <w:r>
              <w:rPr/>
              <w:t>100</w:t>
            </w:r>
          </w:p>
        </w:tc>
        <w:tc>
          <w:tcPr>
            <w:tcW w:w="914" w:type="dxa"/>
            <w:tcBorders>
              <w:top w:val="single" w:color="000000" w:sz="3"/>
              <w:left w:val="single" w:color="000000" w:sz="3"/>
              <w:bottom w:val="single" w:color="000000" w:sz="16"/>
              <w:right w:val="single" w:color="000000" w:sz="3"/>
            </w:tcBorders>
            <w:vAlign w:val="center"/>
          </w:tcPr>
          <w:p>
            <w:pPr>
              <w:pStyle w:val="0"/>
              <w:widowControl w:val="off"/>
              <w:wordWrap w:val="1"/>
              <w:jc w:val="center"/>
            </w:pPr>
            <w:r>
              <w:rPr/>
              <w:t>balanced</w:t>
            </w:r>
          </w:p>
        </w:tc>
        <w:tc>
          <w:tcPr>
            <w:tcW w:w="914" w:type="dxa"/>
            <w:tcBorders>
              <w:top w:val="single" w:color="000000" w:sz="3"/>
              <w:left w:val="single" w:color="000000" w:sz="3"/>
              <w:bottom w:val="single" w:color="000000" w:sz="16"/>
              <w:right w:val="single" w:color="000000" w:sz="3"/>
            </w:tcBorders>
            <w:vAlign w:val="center"/>
          </w:tcPr>
          <w:p>
            <w:pPr>
              <w:pStyle w:val="0"/>
              <w:widowControl w:val="off"/>
              <w:wordWrap w:val="1"/>
              <w:jc w:val="center"/>
            </w:pPr>
            <w:r>
              <w:rPr/>
              <w:t>N/A</w:t>
            </w:r>
          </w:p>
        </w:tc>
        <w:tc>
          <w:tcPr>
            <w:tcW w:w="914" w:type="dxa"/>
            <w:tcBorders>
              <w:top w:val="single" w:color="000000" w:sz="3"/>
              <w:left w:val="single" w:color="000000" w:sz="3"/>
              <w:bottom w:val="single" w:color="000000" w:sz="16"/>
              <w:right w:val="single" w:color="000000" w:sz="3"/>
            </w:tcBorders>
            <w:vAlign w:val="center"/>
          </w:tcPr>
          <w:p>
            <w:pPr>
              <w:pStyle w:val="0"/>
              <w:widowControl w:val="off"/>
              <w:wordWrap w:val="1"/>
              <w:jc w:val="center"/>
            </w:pPr>
            <w:r>
              <w:rPr/>
              <w:t>0.1</w:t>
            </w:r>
          </w:p>
        </w:tc>
        <w:tc>
          <w:tcPr>
            <w:tcW w:w="914" w:type="dxa"/>
            <w:tcBorders>
              <w:top w:val="single" w:color="000000" w:sz="3"/>
              <w:left w:val="single" w:color="000000" w:sz="3"/>
              <w:bottom w:val="single" w:color="000000" w:sz="16"/>
              <w:right w:val="single" w:color="000000" w:sz="3"/>
            </w:tcBorders>
            <w:vAlign w:val="center"/>
          </w:tcPr>
          <w:p>
            <w:pPr>
              <w:pStyle w:val="0"/>
              <w:widowControl w:val="off"/>
              <w:wordWrap w:val="1"/>
              <w:jc w:val="center"/>
            </w:pPr>
            <w:r>
              <w:rPr/>
              <w:t>None</w:t>
            </w:r>
          </w:p>
        </w:tc>
        <w:tc>
          <w:tcPr>
            <w:tcW w:w="914" w:type="dxa"/>
            <w:tcBorders>
              <w:top w:val="single" w:color="000000" w:sz="3"/>
              <w:left w:val="single" w:color="000000" w:sz="3"/>
              <w:bottom w:val="single" w:color="000000" w:sz="16"/>
              <w:right w:val="none" w:color="000000" w:sz="3"/>
            </w:tcBorders>
            <w:vAlign w:val="center"/>
          </w:tcPr>
          <w:p>
            <w:pPr>
              <w:pStyle w:val="0"/>
              <w:widowControl w:val="off"/>
              <w:wordWrap w:val="1"/>
              <w:jc w:val="center"/>
            </w:pPr>
            <w:r>
              <w:rPr/>
              <w:t>N/A</w:t>
            </w:r>
          </w:p>
        </w:tc>
      </w:tr>
    </w:tbl>
    <w:p>
      <w:pPr>
        <w:pStyle w:val="47"/>
        <w:widowControl w:val="off"/>
      </w:pPr>
      <w:r>
        <w:rPr>
          <w:rFonts w:ascii="한양신명조" w:eastAsia="한양신명조"/>
        </w:rPr>
        <w:t xml:space="preserve"> 제안한 파이프라인의 객관적인 성능 평가와 데이터 누출 방지를 위해 모든 실험을 K-Fold(K=9) 교차 검증 구조 내에서 수행하였다. 각 전처리 단계 및 분류 모델의 하이퍼파라미터는 데이터 규모와 클래스 불균형 비율을 고려하여 설정하였다. </w:t>
      </w:r>
      <w:r>
        <w:rPr>
          <w:rFonts w:ascii="한양신명조" w:eastAsia="한양신명조"/>
          <w:color w:val="0000ff"/>
        </w:rPr>
        <w:t>파이프라인 구성 요소 간 공정한 비교를 위해 하이퍼파라미터는 각 모델의 기본값 또는 불균형 대응에 최소한으로 필요한 값으로 고정하였으며, 모델 자체의 최적화보다 전처리 조합의 영향력 분석에 초점을 두었다.</w:t>
      </w:r>
    </w:p>
    <w:p>
      <w:pPr>
        <w:pStyle w:val="47"/>
        <w:widowControl w:val="off"/>
      </w:pPr>
      <w:r>
        <w:rPr>
          <w:rFonts w:ascii="한양신명조" w:eastAsia="한양신명조"/>
        </w:rPr>
        <w:t xml:space="preserve"> 결측치 대치 기법 중 평균 대치는 각 훈련 폴드의 열별 평균값을 적용하였고, In-painting KNN은 이웃 수(K)를 5로 설정하였다. 다중 대치법인 MICE와 MissForest는 학습의 안정성을 위해 최대 반복 횟수(max_iter)를 10으로, MissForest 내부 RF의 트리 수(n_estimators)는 100으로 고정하였다. 클래스 불균형 처리를 위한 SMOTE 역시 합성 샘플 생성 시 참조하는 이웃 수를 5로 설정하고, 훈련 집합 내 양품·불량 비율이 1:1이 되도록 지정하였다. 특성 선택 기법 중 단변량 통계 기반 기법(</w:t>
      </w:r>
      <m:oMath>
        <m:sSup>
          <m:sSupPr>
            <m:ctrlpr>
              <m:rPr>
                <m:sty m:val="p"/>
              </m:rPr>
              <w:rPr>
                <w:rFonts w:ascii="Cambria Math" w:hAnsi="Cambria Math"/>
              </w:rPr>
            </m:ctrlpr>
          </m:sSupPr>
          <m:e>
            <m:r>
              <m:rPr>
                <m:sty m:val="p"/>
              </m:rPr>
              <w:rPr>
                <w:rFonts w:ascii="Cambria Math" w:hAnsi="Cambria Math"/>
              </w:rPr>
              <m:t>χ</m:t>
            </m:r>
          </m:e>
          <m:sup>
            <m:r>
              <m:rPr>
                <m:sty m:val="p"/>
              </m:rPr>
              <w:rPr>
                <w:rFonts w:ascii="Cambria Math" w:hAnsi="Cambria Math"/>
              </w:rPr>
              <m:t>2</m:t>
            </m:r>
          </m:sup>
        </m:sSup>
      </m:oMath>
      <w:r>
        <w:rPr>
          <w:rFonts w:ascii="한양신명조" w:eastAsia="한양신명조"/>
        </w:rPr>
        <w:t>, f_classif, mutual_info)은 교차 검증 루프 내에서 최적의 특성 수를 탐색하였으며, 통계적 유의성 기반 기법(FPR, FDR, FWE)은 유의 수준(</w:t>
      </w:r>
      <m:oMath>
        <m:r>
          <m:rPr>
            <m:sty m:val="p"/>
          </m:rPr>
          <w:rPr>
            <w:rFonts w:ascii="Cambria Math" w:hAnsi="Cambria Math"/>
          </w:rPr>
          <m:t>α</m:t>
        </m:r>
      </m:oMath>
      <w:r>
        <w:rPr>
          <w:rFonts w:ascii="한양신명조" w:eastAsia="한양신명조"/>
        </w:rPr>
        <w:t>)을 0.05로 일괄 고정하였다.</w:t>
      </w:r>
    </w:p>
    <w:p>
      <w:pPr>
        <w:pStyle w:val="47"/>
        <w:widowControl w:val="off"/>
      </w:pPr>
      <w:r>
        <w:rPr>
          <w:rFonts w:ascii="한양신명조" w:eastAsia="한양신명조"/>
        </w:rPr>
        <w:t xml:space="preserve"> 최종 분류기 6종에 대한 파라미터는 각 모델의 기본 특성을 반영하되 클래스 불균형에 대응하도록 구성하였다. 선형 모델(Logistic Regression, SVM)과 앙상블 모델(Random Forest, HGB)에는 클래스 빈도의 역수에 비례하는 class_weight= 'balanced' 가중치를 부여하였다. </w:t>
      </w:r>
    </w:p>
    <w:p>
      <w:pPr>
        <w:pStyle w:val="47"/>
        <w:widowControl w:val="off"/>
      </w:pPr>
      <w:r>
        <w:rPr>
          <w:rFonts w:ascii="한양신명조" w:eastAsia="한양신명조"/>
        </w:rPr>
        <w:t xml:space="preserve"> XGBoost의 경우 각 폴드마다 '정상 샘플 수 / 불량 샘플 수'를 scale_pos_weight로 동적 계산하여 불량 클래스에 대한 손실 가중치를 상향 조정하였다. 또한 판정 임계값(0.5)을 그대로 사용할 경우 소수 클래스 탐지 성능이 저하되는 것을 막기 위해, [0.01, 0.99] 구간을 0.01 단위로 탐색하여 검증 폴드 상에서 F2-score를 최대화하는 최적 임계값(Threshold Moving)을 도출하였다. SVM은 비선형 결정 경계를 효과적으로 학습하기 위해 RBF(Radial Basis Function) 커널을 적용하였으며, 정규화 파라미터(C)는 기본값인 1로 설정하였다. 로지스틱 회귀는 클래스 불균형 환경에서도 최적화 과정이 충분히 수렴할 수 있도록 최대 반복 횟수(max_iter)를 10000으로 설정하였다. RF와 XGBoost는 예측 안정성과 과적합 완화를 위해 트리 수(n_estimators)를 100으로 고정하였다. 특히 XGBoost는 안정적인 부스팅 학습을 위해 학습률(learning_rate)을 0.1로 설정하고, 과도한 모델 복잡도를 방지하기 위해 최대 트리 깊이(max_depth)를 3으로 제한하였다. HGB는 안정적인 수렴을 위해 max_iter=100, learning_rate=0.1을 적용하였다.</w:t>
      </w:r>
    </w:p>
    <w:p>
      <w:pPr>
        <w:pStyle w:val="47"/>
        <w:widowControl w:val="off"/>
      </w:pPr>
      <w:r>
        <w:rPr>
          <w:rFonts w:ascii="한양신명조"/>
          <w:b/>
        </w:rPr>
        <w:t xml:space="preserve"> </w:t>
      </w:r>
    </w:p>
    <w:p>
      <w:pPr>
        <w:pStyle w:val="47"/>
        <w:widowControl w:val="off"/>
      </w:pPr>
      <w:r>
        <w:rPr>
          <w:rFonts w:ascii="한양신명조" w:eastAsia="한양신명조"/>
          <w:b/>
        </w:rPr>
        <w:t xml:space="preserve"> 4.2 결측치 대치 방법별 성능 비교</w:t>
      </w:r>
    </w:p>
    <w:p>
      <w:pPr>
        <w:pStyle w:val="47"/>
        <w:widowControl w:val="off"/>
        <w:rPr>
          <w:rFonts w:ascii="한양신명조" w:eastAsia="한양신명조"/>
          <w:b/>
          <w:color w:val="000000"/>
        </w:rPr>
      </w:pPr>
    </w:p>
    <w:p>
      <w:pPr>
        <w:pStyle w:val="47"/>
        <w:widowControl w:val="off"/>
      </w:pPr>
      <w:r>
        <w:rPr>
          <w:rFonts w:ascii="한양신명조" w:eastAsia="한양신명조"/>
        </w:rPr>
        <w:t xml:space="preserve"> 결측치 대치 방법에 따른 불량 검출 성능 차이를 분석하였다. </w:t>
      </w:r>
      <w:r>
        <w:rPr>
          <w:rFonts w:ascii="한양신명조" w:eastAsia="한양신명조"/>
          <w:color w:val="0000ff"/>
        </w:rPr>
        <w:t>해당 분석은 동일 대치 조건을 공유하는 생존 파이프라인들의 평균 성능을 비교한 것으로, 특정 조합의 단일 최고 성능을 비교한 후속 내용과는 분석 단위가 다르다.</w:t>
      </w:r>
    </w:p>
    <w:p>
      <w:pPr>
        <w:pStyle w:val="47"/>
        <w:widowControl w:val="off"/>
      </w:pPr>
      <w:r>
        <w:rPr>
          <w:rFonts w:ascii="한양신명조" w:eastAsia="한양신명조"/>
        </w:rPr>
        <w:t xml:space="preserve"> 결측지시변수만 사용한 조합(M_only) 15개는 원본 특성을 사용하지 않고 결측 여부 정보만을 사용하는 별도 분석 대상이므로, 대치 비교에서는 이를 제외하였다. 따라서 대치 방법별 성능 비교는 원본 특성 또는 원본 특성에 결측지시변수를 추가한 경우를 사용하는 122개의 생존 파이프라인을 대상으로 수행하였다.</w:t>
      </w:r>
    </w:p>
    <w:p>
      <w:pPr>
        <w:pStyle w:val="47"/>
        <w:widowControl w:val="off"/>
        <w:wordWrap w:val="1"/>
        <w:jc w:val="center"/>
        <w:rPr>
          <w:rFonts w:ascii="한양신명조" w:eastAsia="한양신명조"/>
          <w:color w:val="000000"/>
        </w:rPr>
      </w:pPr>
    </w:p>
    <w:p>
      <w:pPr>
        <w:pStyle w:val="47"/>
        <w:widowControl w:val="off"/>
        <w:wordWrap w:val="1"/>
        <w:jc w:val="center"/>
      </w:pPr>
      <w:r>
        <w:rPr>
          <w:rFonts w:ascii="한양신명조"/>
          <w:b/>
        </w:rPr>
        <w:t xml:space="preserve">&lt;Table </w:t>
      </w:r>
      <w:fldSimple w:instr="SEQ 표 \* ARABIC">
        <w:r>
          <w:t>4</w:t>
        </w:r>
      </w:fldSimple>
      <w:r>
        <w:rPr>
          <w:rFonts w:ascii="한양신명조"/>
          <w:b/>
        </w:rPr>
        <w:t>&gt;</w:t>
      </w:r>
      <w:r>
        <w:rPr>
          <w:rFonts w:ascii="한양신명조"/>
        </w:rPr>
        <w:t xml:space="preserve"> Top 3 Imputation Pipelines in Surviving Pipelines</w:t>
      </w:r>
    </w:p>
    <w:tbl>
      <w:tblPr>
        <w:tblOverlap w:val="never"/>
        <w:tblW w:w="4521" w:type="dxa"/>
        <w:tblBorders>
          <w:top w:val="single" w:color="000000" w:sz="3"/>
          <w:left w:val="single" w:color="000000" w:sz="3"/>
          <w:bottom w:val="single" w:color="000000" w:sz="3"/>
          <w:right w:val="single" w:color="000000" w:sz="3"/>
        </w:tblBorders>
        <w:tblLayout w:type="fixed"/>
        <w:tblCellMar>
          <w:top w:w="28" w:type="dxa"/>
          <w:left w:w="102" w:type="dxa"/>
          <w:bottom w:w="28" w:type="dxa"/>
          <w:right w:w="102" w:type="dxa"/>
        </w:tblCellMar>
      </w:tblPr>
      <w:tblGrid>
        <w:gridCol w:w="369"/>
        <w:gridCol w:w="1041"/>
        <w:gridCol w:w="937"/>
        <w:gridCol w:w="1137"/>
        <w:gridCol w:w="1038"/>
      </w:tblGrid>
      <w:tr>
        <w:trPr>
          <w:trHeight w:val="56"/>
        </w:trPr>
        <w:tc>
          <w:tcPr>
            <w:tcW w:w="369" w:type="dxa"/>
            <w:tcBorders>
              <w:top w:val="single" w:color="000000" w:sz="11"/>
              <w:left w:val="none" w:color="000000" w:sz="3"/>
              <w:bottom w:val="single" w:color="000000" w:sz="11"/>
              <w:right w:val="single" w:color="000000" w:sz="3"/>
            </w:tcBorders>
            <w:vAlign w:val="center"/>
          </w:tcPr>
          <w:p>
            <w:pPr>
              <w:pStyle w:val="0"/>
              <w:widowControl w:val="off"/>
              <w:rPr/>
            </w:pPr>
          </w:p>
        </w:tc>
        <w:tc>
          <w:tcPr>
            <w:tcW w:w="1041" w:type="dxa"/>
            <w:tcBorders>
              <w:top w:val="single" w:color="000000" w:sz="11"/>
              <w:left w:val="single" w:color="000000" w:sz="3"/>
              <w:bottom w:val="single" w:color="000000" w:sz="11"/>
              <w:right w:val="single" w:color="000000" w:sz="3"/>
            </w:tcBorders>
            <w:vAlign w:val="center"/>
          </w:tcPr>
          <w:p>
            <w:pPr>
              <w:pStyle w:val="0"/>
              <w:widowControl w:val="off"/>
            </w:pPr>
            <w:r>
              <w:rPr/>
              <w:t>imputation</w:t>
            </w:r>
          </w:p>
        </w:tc>
        <w:tc>
          <w:tcPr>
            <w:tcW w:w="937" w:type="dxa"/>
            <w:tcBorders>
              <w:top w:val="single" w:color="000000" w:sz="11"/>
              <w:left w:val="single" w:color="000000" w:sz="3"/>
              <w:bottom w:val="single" w:color="000000" w:sz="11"/>
              <w:right w:val="single" w:color="000000" w:sz="3"/>
            </w:tcBorders>
            <w:vAlign w:val="center"/>
          </w:tcPr>
          <w:p>
            <w:pPr>
              <w:pStyle w:val="0"/>
              <w:widowControl w:val="off"/>
            </w:pPr>
            <w:r>
              <w:rPr/>
              <w:t>F2</w:t>
            </w:r>
          </w:p>
        </w:tc>
        <w:tc>
          <w:tcPr>
            <w:tcW w:w="1137" w:type="dxa"/>
            <w:tcBorders>
              <w:top w:val="single" w:color="000000" w:sz="11"/>
              <w:left w:val="single" w:color="000000" w:sz="3"/>
              <w:bottom w:val="single" w:color="000000" w:sz="11"/>
              <w:right w:val="single" w:color="000000" w:sz="3"/>
            </w:tcBorders>
            <w:vAlign w:val="center"/>
          </w:tcPr>
          <w:p>
            <w:pPr>
              <w:pStyle w:val="0"/>
              <w:widowControl w:val="off"/>
            </w:pPr>
            <w:r>
              <w:rPr/>
              <w:t>Recall</w:t>
            </w:r>
          </w:p>
        </w:tc>
        <w:tc>
          <w:tcPr>
            <w:tcW w:w="1038" w:type="dxa"/>
            <w:tcBorders>
              <w:top w:val="single" w:color="000000" w:sz="11"/>
              <w:left w:val="single" w:color="000000" w:sz="3"/>
              <w:bottom w:val="single" w:color="000000" w:sz="11"/>
              <w:right w:val="none" w:color="000000" w:sz="3"/>
            </w:tcBorders>
            <w:vAlign w:val="center"/>
          </w:tcPr>
          <w:p>
            <w:pPr>
              <w:pStyle w:val="0"/>
              <w:widowControl w:val="off"/>
            </w:pPr>
            <w:r>
              <w:rPr/>
              <w:t>TNR</w:t>
            </w:r>
          </w:p>
        </w:tc>
      </w:tr>
      <w:tr>
        <w:trPr>
          <w:trHeight w:val="56"/>
        </w:trPr>
        <w:tc>
          <w:tcPr>
            <w:tcW w:w="369" w:type="dxa"/>
            <w:tcBorders>
              <w:top w:val="single" w:color="000000" w:sz="11"/>
              <w:left w:val="none" w:color="000000" w:sz="3"/>
              <w:bottom w:val="single" w:color="000000" w:sz="3"/>
              <w:right w:val="single" w:color="000000" w:sz="3"/>
            </w:tcBorders>
            <w:vAlign w:val="center"/>
          </w:tcPr>
          <w:p>
            <w:pPr>
              <w:pStyle w:val="0"/>
              <w:widowControl w:val="off"/>
            </w:pPr>
            <w:r>
              <w:rPr/>
              <w:t>1</w:t>
            </w:r>
          </w:p>
        </w:tc>
        <w:tc>
          <w:tcPr>
            <w:tcW w:w="1041" w:type="dxa"/>
            <w:tcBorders>
              <w:top w:val="single" w:color="000000" w:sz="11"/>
              <w:left w:val="single" w:color="000000" w:sz="3"/>
              <w:bottom w:val="single" w:color="000000" w:sz="3"/>
              <w:right w:val="single" w:color="000000" w:sz="3"/>
            </w:tcBorders>
            <w:vAlign w:val="center"/>
          </w:tcPr>
          <w:p>
            <w:pPr>
              <w:pStyle w:val="0"/>
              <w:widowControl w:val="off"/>
            </w:pPr>
            <w:r>
              <w:rPr/>
              <w:t>Mean_M</w:t>
            </w:r>
          </w:p>
        </w:tc>
        <w:tc>
          <w:tcPr>
            <w:tcW w:w="937" w:type="dxa"/>
            <w:tcBorders>
              <w:top w:val="single" w:color="000000" w:sz="11"/>
              <w:left w:val="single" w:color="000000" w:sz="3"/>
              <w:bottom w:val="single" w:color="000000" w:sz="3"/>
              <w:right w:val="single" w:color="000000" w:sz="3"/>
            </w:tcBorders>
            <w:vAlign w:val="center"/>
          </w:tcPr>
          <w:p>
            <w:pPr>
              <w:pStyle w:val="0"/>
              <w:widowControl w:val="off"/>
            </w:pPr>
            <w:r>
              <w:rPr/>
              <w:t>0.3340</w:t>
            </w:r>
          </w:p>
        </w:tc>
        <w:tc>
          <w:tcPr>
            <w:tcW w:w="1137" w:type="dxa"/>
            <w:tcBorders>
              <w:top w:val="single" w:color="000000" w:sz="11"/>
              <w:left w:val="single" w:color="000000" w:sz="3"/>
              <w:bottom w:val="single" w:color="000000" w:sz="3"/>
              <w:right w:val="single" w:color="000000" w:sz="3"/>
            </w:tcBorders>
            <w:vAlign w:val="center"/>
          </w:tcPr>
          <w:p>
            <w:pPr>
              <w:pStyle w:val="0"/>
              <w:widowControl w:val="off"/>
            </w:pPr>
            <w:r>
              <w:rPr/>
              <w:t>0.6797</w:t>
            </w:r>
          </w:p>
        </w:tc>
        <w:tc>
          <w:tcPr>
            <w:tcW w:w="1038" w:type="dxa"/>
            <w:tcBorders>
              <w:top w:val="single" w:color="000000" w:sz="11"/>
              <w:left w:val="single" w:color="000000" w:sz="3"/>
              <w:bottom w:val="single" w:color="000000" w:sz="3"/>
              <w:right w:val="none" w:color="000000" w:sz="3"/>
            </w:tcBorders>
            <w:vAlign w:val="center"/>
          </w:tcPr>
          <w:p>
            <w:pPr>
              <w:pStyle w:val="0"/>
              <w:widowControl w:val="off"/>
            </w:pPr>
            <w:r>
              <w:rPr/>
              <w:t>0.6198</w:t>
            </w:r>
          </w:p>
        </w:tc>
      </w:tr>
      <w:tr>
        <w:trPr>
          <w:trHeight w:val="56"/>
        </w:trPr>
        <w:tc>
          <w:tcPr>
            <w:tcW w:w="369" w:type="dxa"/>
            <w:tcBorders>
              <w:top w:val="single" w:color="000000" w:sz="3"/>
              <w:left w:val="none" w:color="000000" w:sz="3"/>
              <w:bottom w:val="single" w:color="000000" w:sz="3"/>
              <w:right w:val="single" w:color="000000" w:sz="3"/>
            </w:tcBorders>
            <w:vAlign w:val="center"/>
          </w:tcPr>
          <w:p>
            <w:pPr>
              <w:pStyle w:val="0"/>
              <w:widowControl w:val="off"/>
            </w:pPr>
            <w:r>
              <w:rPr/>
              <w:t>2</w:t>
            </w:r>
          </w:p>
        </w:tc>
        <w:tc>
          <w:tcPr>
            <w:tcW w:w="1041" w:type="dxa"/>
            <w:tcBorders>
              <w:top w:val="single" w:color="000000" w:sz="3"/>
              <w:left w:val="single" w:color="000000" w:sz="3"/>
              <w:bottom w:val="single" w:color="000000" w:sz="3"/>
              <w:right w:val="single" w:color="000000" w:sz="3"/>
            </w:tcBorders>
            <w:vAlign w:val="center"/>
          </w:tcPr>
          <w:p>
            <w:pPr>
              <w:pStyle w:val="0"/>
              <w:widowControl w:val="off"/>
            </w:pPr>
            <w:r>
              <w:rPr/>
              <w:t>Missforest</w:t>
            </w:r>
          </w:p>
        </w:tc>
        <w:tc>
          <w:tcPr>
            <w:tcW w:w="937" w:type="dxa"/>
            <w:tcBorders>
              <w:top w:val="single" w:color="000000" w:sz="3"/>
              <w:left w:val="single" w:color="000000" w:sz="3"/>
              <w:bottom w:val="single" w:color="000000" w:sz="3"/>
              <w:right w:val="single" w:color="000000" w:sz="3"/>
            </w:tcBorders>
            <w:vAlign w:val="center"/>
          </w:tcPr>
          <w:p>
            <w:pPr>
              <w:pStyle w:val="0"/>
              <w:widowControl w:val="off"/>
            </w:pPr>
            <w:r>
              <w:rPr/>
              <w:t>0.3259</w:t>
            </w:r>
          </w:p>
        </w:tc>
        <w:tc>
          <w:tcPr>
            <w:tcW w:w="1137" w:type="dxa"/>
            <w:tcBorders>
              <w:top w:val="single" w:color="000000" w:sz="3"/>
              <w:left w:val="single" w:color="000000" w:sz="3"/>
              <w:bottom w:val="single" w:color="000000" w:sz="3"/>
              <w:right w:val="single" w:color="000000" w:sz="3"/>
            </w:tcBorders>
            <w:vAlign w:val="center"/>
          </w:tcPr>
          <w:p>
            <w:pPr>
              <w:pStyle w:val="0"/>
              <w:widowControl w:val="off"/>
            </w:pPr>
            <w:r>
              <w:rPr/>
              <w:t>0.6510</w:t>
            </w:r>
          </w:p>
        </w:tc>
        <w:tc>
          <w:tcPr>
            <w:tcW w:w="1038" w:type="dxa"/>
            <w:tcBorders>
              <w:top w:val="single" w:color="000000" w:sz="3"/>
              <w:left w:val="single" w:color="000000" w:sz="3"/>
              <w:bottom w:val="single" w:color="000000" w:sz="3"/>
              <w:right w:val="none" w:color="000000" w:sz="3"/>
            </w:tcBorders>
            <w:vAlign w:val="center"/>
          </w:tcPr>
          <w:p>
            <w:pPr>
              <w:pStyle w:val="0"/>
              <w:widowControl w:val="off"/>
            </w:pPr>
            <w:r>
              <w:rPr/>
              <w:t>0.6289</w:t>
            </w:r>
          </w:p>
        </w:tc>
      </w:tr>
      <w:tr>
        <w:trPr>
          <w:trHeight w:val="56"/>
        </w:trPr>
        <w:tc>
          <w:tcPr>
            <w:tcW w:w="369" w:type="dxa"/>
            <w:tcBorders>
              <w:top w:val="single" w:color="000000" w:sz="3"/>
              <w:left w:val="none" w:color="000000" w:sz="3"/>
              <w:bottom w:val="single" w:color="000000" w:sz="11"/>
              <w:right w:val="single" w:color="000000" w:sz="3"/>
            </w:tcBorders>
            <w:vAlign w:val="center"/>
          </w:tcPr>
          <w:p>
            <w:pPr>
              <w:pStyle w:val="0"/>
              <w:widowControl w:val="off"/>
            </w:pPr>
            <w:r>
              <w:rPr/>
              <w:t>3</w:t>
            </w:r>
          </w:p>
        </w:tc>
        <w:tc>
          <w:tcPr>
            <w:tcW w:w="1041" w:type="dxa"/>
            <w:tcBorders>
              <w:top w:val="single" w:color="000000" w:sz="3"/>
              <w:left w:val="single" w:color="000000" w:sz="3"/>
              <w:bottom w:val="single" w:color="000000" w:sz="11"/>
              <w:right w:val="single" w:color="000000" w:sz="3"/>
            </w:tcBorders>
            <w:vAlign w:val="center"/>
          </w:tcPr>
          <w:p>
            <w:pPr>
              <w:pStyle w:val="0"/>
              <w:widowControl w:val="off"/>
            </w:pPr>
            <w:r>
              <w:rPr/>
              <w:t>Mean</w:t>
            </w:r>
          </w:p>
        </w:tc>
        <w:tc>
          <w:tcPr>
            <w:tcW w:w="937" w:type="dxa"/>
            <w:tcBorders>
              <w:top w:val="single" w:color="000000" w:sz="3"/>
              <w:left w:val="single" w:color="000000" w:sz="3"/>
              <w:bottom w:val="single" w:color="000000" w:sz="11"/>
              <w:right w:val="single" w:color="000000" w:sz="3"/>
            </w:tcBorders>
            <w:vAlign w:val="center"/>
          </w:tcPr>
          <w:p>
            <w:pPr>
              <w:pStyle w:val="0"/>
              <w:widowControl w:val="off"/>
            </w:pPr>
            <w:r>
              <w:rPr/>
              <w:t>0.3237</w:t>
            </w:r>
          </w:p>
        </w:tc>
        <w:tc>
          <w:tcPr>
            <w:tcW w:w="1137" w:type="dxa"/>
            <w:tcBorders>
              <w:top w:val="single" w:color="000000" w:sz="3"/>
              <w:left w:val="single" w:color="000000" w:sz="3"/>
              <w:bottom w:val="single" w:color="000000" w:sz="11"/>
              <w:right w:val="single" w:color="000000" w:sz="3"/>
            </w:tcBorders>
            <w:vAlign w:val="center"/>
          </w:tcPr>
          <w:p>
            <w:pPr>
              <w:pStyle w:val="0"/>
              <w:widowControl w:val="off"/>
            </w:pPr>
            <w:r>
              <w:rPr/>
              <w:t>0.6617</w:t>
            </w:r>
          </w:p>
        </w:tc>
        <w:tc>
          <w:tcPr>
            <w:tcW w:w="1038" w:type="dxa"/>
            <w:tcBorders>
              <w:top w:val="single" w:color="000000" w:sz="3"/>
              <w:left w:val="single" w:color="000000" w:sz="3"/>
              <w:bottom w:val="single" w:color="000000" w:sz="11"/>
              <w:right w:val="none" w:color="000000" w:sz="3"/>
            </w:tcBorders>
            <w:vAlign w:val="center"/>
          </w:tcPr>
          <w:p>
            <w:pPr>
              <w:pStyle w:val="0"/>
              <w:widowControl w:val="off"/>
            </w:pPr>
            <w:r>
              <w:rPr/>
              <w:t>0.6149</w:t>
            </w:r>
          </w:p>
        </w:tc>
      </w:tr>
    </w:tbl>
    <w:p>
      <w:pPr>
        <w:pStyle w:val="47"/>
        <w:widowControl w:val="off"/>
      </w:pPr>
    </w:p>
    <w:p>
      <w:pPr>
        <w:pStyle w:val="47"/>
        <w:widowControl w:val="off"/>
        <w:rPr>
          <w:rFonts w:ascii="한양신명조" w:eastAsia="한양신명조"/>
          <w:color w:val="000000"/>
        </w:rPr>
      </w:pPr>
    </w:p>
    <w:p>
      <w:pPr>
        <w:pStyle w:val="47"/>
        <w:widowControl w:val="off"/>
      </w:pPr>
      <w:r>
        <w:rPr>
          <w:rFonts w:ascii="한양신명조" w:eastAsia="한양신명조"/>
        </w:rPr>
        <w:t>대치 조건별 성능을 비교한 결과 &lt;Table 4&gt;, Mean_M 조합이 평균 F2-score 0.3340으로 가장 높은 성능을 보였다. Mean_M은 Recall 0.6797, TNR 0.6198을 기록하여 불량 검출 성능과 정상 샘플 구분 성능 사이에서 비교적 안정적인 결과를 나타냈다. 이를 통해 먼저 단순 평균 대치 방식에 결측지시변수를 추가하는 것이 일부 조건에서는 결측 정보의 보조적 효과를 통해 성능 향상에 기여하였음을 확인하였다. 두 번째로 높은 성능을 보인 MissForest는 평균 F2-score 0.3259, TNR 0.6289를 기록하여 정상 샘플 구분 측면에서 안정적이었다. 세 번째로 높은 성능을 보인 Mean은 평균 F2-score 0.3237, Recall 0.6617, TNR 0.6149을 기록하였는데, 이는 복잡한 대치 방법이 항상 높은 성능을 보장하는 것은 아니며 단순 평균 대치도 특정 특성 선택·모델 조합에서는 충분히 경쟁력 있는 성능을 낼 수 있음을 시사한다. 종합하면 Mean_M이 가장 높은 평균 F2-score를 기록했다는 점은, 결측지시변수가 모든 조합에서 일관되게 효과적이지는 않으나 특정 대치 조건에서는 성능 향상에 기여할 수 있음을 보여준다.</w:t>
      </w:r>
    </w:p>
    <w:p>
      <w:pPr>
        <w:pStyle w:val="47"/>
        <w:widowControl w:val="off"/>
        <w:rPr>
          <w:rFonts w:ascii="한양신명조" w:eastAsia="한양신명조"/>
          <w:color w:val="000000"/>
        </w:rPr>
      </w:pPr>
    </w:p>
    <w:p>
      <w:pPr>
        <w:pStyle w:val="47"/>
        <w:widowControl w:val="off"/>
      </w:pPr>
      <w:r>
        <w:rPr>
          <w:rFonts w:ascii="한양신명조"/>
        </w:rPr>
        <w:t xml:space="preserve"> </w:t>
      </w:r>
      <w:r>
        <w:rPr>
          <w:rFonts w:ascii="한양신명조" w:eastAsia="한양신명조"/>
          <w:b/>
        </w:rPr>
        <w:t>4.3 SMOTE 적용여부에 따른 성능비교</w:t>
      </w:r>
    </w:p>
    <w:p>
      <w:pPr>
        <w:pStyle w:val="47"/>
        <w:widowControl w:val="off"/>
        <w:rPr>
          <w:rFonts w:ascii="한양신명조" w:eastAsia="한양신명조"/>
          <w:b/>
          <w:color w:val="000000"/>
        </w:rPr>
      </w:pPr>
    </w:p>
    <w:p>
      <w:pPr>
        <w:pStyle w:val="47"/>
        <w:widowControl w:val="off"/>
      </w:pPr>
      <w:r>
        <w:rPr>
          <w:rFonts w:ascii="한양신명조" w:eastAsia="한양신명조"/>
        </w:rPr>
        <w:t xml:space="preserve"> 클래스 불균형 문제를 완화하기 위한 SMOTE 적용 여부가 불량 검출 성능에 미치는 영향을 분석하였다.</w:t>
      </w:r>
    </w:p>
    <w:p>
      <w:pPr>
        <w:pStyle w:val="47"/>
        <w:widowControl w:val="off"/>
        <w:rPr>
          <w:rFonts w:ascii="한양신명조" w:eastAsia="한양신명조"/>
          <w:color w:val="000000"/>
        </w:rPr>
      </w:pPr>
    </w:p>
    <w:p>
      <w:pPr>
        <w:pStyle w:val="47"/>
        <w:widowControl w:val="off"/>
        <w:wordWrap w:val="1"/>
        <w:jc w:val="center"/>
      </w:pPr>
      <w:r>
        <w:rPr>
          <w:rFonts w:ascii="한양신명조"/>
          <w:b/>
        </w:rPr>
        <w:t xml:space="preserve">&lt;Table </w:t>
      </w:r>
      <w:fldSimple w:instr="SEQ 표 \* ARABIC">
        <w:r>
          <w:t>5</w:t>
        </w:r>
      </w:fldSimple>
      <w:r>
        <w:rPr>
          <w:rFonts w:ascii="한양신명조"/>
          <w:b/>
        </w:rPr>
        <w:t>&gt;</w:t>
      </w:r>
      <w:r>
        <w:rPr>
          <w:rFonts w:ascii="한양신명조"/>
        </w:rPr>
        <w:t xml:space="preserve"> Performance Comparison According to SMOTE Application in Surviving Pipelines</w:t>
      </w:r>
    </w:p>
    <w:tbl>
      <w:tblPr>
        <w:tblOverlap w:val="never"/>
        <w:tblW w:w="4536" w:type="dxa"/>
        <w:tblBorders>
          <w:top w:val="single" w:color="000000" w:sz="3"/>
          <w:left w:val="single" w:color="000000" w:sz="3"/>
          <w:bottom w:val="single" w:color="000000" w:sz="3"/>
          <w:right w:val="single" w:color="000000" w:sz="3"/>
        </w:tblBorders>
        <w:tblLayout w:type="fixed"/>
        <w:tblCellMar>
          <w:top w:w="28" w:type="dxa"/>
          <w:left w:w="102" w:type="dxa"/>
          <w:bottom w:w="28" w:type="dxa"/>
          <w:right w:w="102" w:type="dxa"/>
        </w:tblCellMar>
      </w:tblPr>
      <w:tblGrid>
        <w:gridCol w:w="1029"/>
        <w:gridCol w:w="1085"/>
        <w:gridCol w:w="1142"/>
        <w:gridCol w:w="1279"/>
      </w:tblGrid>
      <w:tr>
        <w:trPr>
          <w:trHeight w:val="294"/>
        </w:trPr>
        <w:tc>
          <w:tcPr>
            <w:tcW w:w="1029" w:type="dxa"/>
            <w:tcBorders>
              <w:top w:val="single" w:color="000000" w:sz="11"/>
              <w:left w:val="none" w:color="000000" w:sz="3"/>
              <w:bottom w:val="single" w:color="000000" w:sz="11"/>
              <w:right w:val="single" w:color="000000" w:sz="3"/>
            </w:tcBorders>
            <w:vAlign w:val="center"/>
          </w:tcPr>
          <w:p>
            <w:pPr>
              <w:pStyle w:val="0"/>
              <w:widowControl w:val="off"/>
            </w:pPr>
            <w:r>
              <w:rPr/>
              <w:t>Balancing</w:t>
            </w:r>
          </w:p>
        </w:tc>
        <w:tc>
          <w:tcPr>
            <w:tcW w:w="1085" w:type="dxa"/>
            <w:tcBorders>
              <w:top w:val="single" w:color="000000" w:sz="11"/>
              <w:left w:val="single" w:color="000000" w:sz="3"/>
              <w:bottom w:val="single" w:color="000000" w:sz="11"/>
              <w:right w:val="single" w:color="000000" w:sz="3"/>
            </w:tcBorders>
            <w:vAlign w:val="center"/>
          </w:tcPr>
          <w:p>
            <w:pPr>
              <w:pStyle w:val="0"/>
              <w:widowControl w:val="off"/>
            </w:pPr>
            <w:r>
              <w:rPr/>
              <w:t>F2</w:t>
            </w:r>
          </w:p>
        </w:tc>
        <w:tc>
          <w:tcPr>
            <w:tcW w:w="1142" w:type="dxa"/>
            <w:tcBorders>
              <w:top w:val="single" w:color="000000" w:sz="11"/>
              <w:left w:val="single" w:color="000000" w:sz="3"/>
              <w:bottom w:val="single" w:color="000000" w:sz="11"/>
              <w:right w:val="single" w:color="000000" w:sz="3"/>
            </w:tcBorders>
            <w:vAlign w:val="center"/>
          </w:tcPr>
          <w:p>
            <w:pPr>
              <w:pStyle w:val="0"/>
              <w:widowControl w:val="off"/>
            </w:pPr>
            <w:r>
              <w:rPr/>
              <w:t>Recall</w:t>
            </w:r>
          </w:p>
        </w:tc>
        <w:tc>
          <w:tcPr>
            <w:tcW w:w="1279" w:type="dxa"/>
            <w:tcBorders>
              <w:top w:val="single" w:color="000000" w:sz="11"/>
              <w:left w:val="single" w:color="000000" w:sz="3"/>
              <w:bottom w:val="single" w:color="000000" w:sz="11"/>
              <w:right w:val="none" w:color="000000" w:sz="3"/>
            </w:tcBorders>
            <w:vAlign w:val="center"/>
          </w:tcPr>
          <w:p>
            <w:pPr>
              <w:pStyle w:val="0"/>
              <w:widowControl w:val="off"/>
            </w:pPr>
            <w:r>
              <w:rPr/>
              <w:t>TNR</w:t>
            </w:r>
          </w:p>
        </w:tc>
      </w:tr>
      <w:tr>
        <w:trPr>
          <w:trHeight w:val="294"/>
        </w:trPr>
        <w:tc>
          <w:tcPr>
            <w:tcW w:w="1029" w:type="dxa"/>
            <w:tcBorders>
              <w:top w:val="single" w:color="000000" w:sz="11"/>
              <w:left w:val="none" w:color="000000" w:sz="3"/>
              <w:bottom w:val="single" w:color="000000" w:sz="3"/>
              <w:right w:val="single" w:color="000000" w:sz="3"/>
            </w:tcBorders>
            <w:vAlign w:val="center"/>
          </w:tcPr>
          <w:p>
            <w:pPr>
              <w:pStyle w:val="0"/>
              <w:widowControl w:val="off"/>
            </w:pPr>
            <w:r>
              <w:rPr/>
              <w:t>SMOTE</w:t>
            </w:r>
          </w:p>
        </w:tc>
        <w:tc>
          <w:tcPr>
            <w:tcW w:w="1085" w:type="dxa"/>
            <w:tcBorders>
              <w:top w:val="single" w:color="000000" w:sz="11"/>
              <w:left w:val="single" w:color="000000" w:sz="3"/>
              <w:bottom w:val="single" w:color="000000" w:sz="3"/>
              <w:right w:val="single" w:color="000000" w:sz="3"/>
            </w:tcBorders>
            <w:vAlign w:val="center"/>
          </w:tcPr>
          <w:p>
            <w:pPr>
              <w:pStyle w:val="0"/>
              <w:widowControl w:val="off"/>
            </w:pPr>
            <w:r>
              <w:rPr/>
              <w:t>0.3249</w:t>
            </w:r>
          </w:p>
        </w:tc>
        <w:tc>
          <w:tcPr>
            <w:tcW w:w="1142" w:type="dxa"/>
            <w:tcBorders>
              <w:top w:val="single" w:color="000000" w:sz="11"/>
              <w:left w:val="single" w:color="000000" w:sz="3"/>
              <w:bottom w:val="single" w:color="000000" w:sz="3"/>
              <w:right w:val="single" w:color="000000" w:sz="3"/>
            </w:tcBorders>
            <w:vAlign w:val="center"/>
          </w:tcPr>
          <w:p>
            <w:pPr>
              <w:pStyle w:val="0"/>
              <w:widowControl w:val="off"/>
            </w:pPr>
            <w:r>
              <w:rPr/>
              <w:t>0.6688</w:t>
            </w:r>
          </w:p>
        </w:tc>
        <w:tc>
          <w:tcPr>
            <w:tcW w:w="1279" w:type="dxa"/>
            <w:tcBorders>
              <w:top w:val="single" w:color="000000" w:sz="11"/>
              <w:left w:val="single" w:color="000000" w:sz="3"/>
              <w:bottom w:val="single" w:color="000000" w:sz="3"/>
              <w:right w:val="none" w:color="000000" w:sz="3"/>
            </w:tcBorders>
            <w:vAlign w:val="center"/>
          </w:tcPr>
          <w:p>
            <w:pPr>
              <w:pStyle w:val="0"/>
              <w:widowControl w:val="off"/>
            </w:pPr>
            <w:r>
              <w:rPr/>
              <w:t>0.6081</w:t>
            </w:r>
          </w:p>
        </w:tc>
      </w:tr>
      <w:tr>
        <w:trPr>
          <w:trHeight w:val="294"/>
        </w:trPr>
        <w:tc>
          <w:tcPr>
            <w:tcW w:w="1029" w:type="dxa"/>
            <w:tcBorders>
              <w:top w:val="single" w:color="000000" w:sz="3"/>
              <w:left w:val="none" w:color="000000" w:sz="3"/>
              <w:bottom w:val="single" w:color="000000" w:sz="11"/>
              <w:right w:val="single" w:color="000000" w:sz="3"/>
            </w:tcBorders>
            <w:vAlign w:val="center"/>
          </w:tcPr>
          <w:p>
            <w:pPr>
              <w:pStyle w:val="0"/>
              <w:widowControl w:val="off"/>
            </w:pPr>
            <w:r>
              <w:rPr/>
              <w:t>Raw</w:t>
            </w:r>
          </w:p>
        </w:tc>
        <w:tc>
          <w:tcPr>
            <w:tcW w:w="1085" w:type="dxa"/>
            <w:tcBorders>
              <w:top w:val="single" w:color="000000" w:sz="3"/>
              <w:left w:val="single" w:color="000000" w:sz="3"/>
              <w:bottom w:val="single" w:color="000000" w:sz="11"/>
              <w:right w:val="single" w:color="000000" w:sz="3"/>
            </w:tcBorders>
            <w:vAlign w:val="center"/>
          </w:tcPr>
          <w:p>
            <w:pPr>
              <w:pStyle w:val="0"/>
              <w:widowControl w:val="off"/>
            </w:pPr>
            <w:r>
              <w:rPr/>
              <w:t>0.3214</w:t>
            </w:r>
          </w:p>
        </w:tc>
        <w:tc>
          <w:tcPr>
            <w:tcW w:w="1142" w:type="dxa"/>
            <w:tcBorders>
              <w:top w:val="single" w:color="000000" w:sz="3"/>
              <w:left w:val="single" w:color="000000" w:sz="3"/>
              <w:bottom w:val="single" w:color="000000" w:sz="11"/>
              <w:right w:val="single" w:color="000000" w:sz="3"/>
            </w:tcBorders>
            <w:vAlign w:val="center"/>
          </w:tcPr>
          <w:p>
            <w:pPr>
              <w:pStyle w:val="0"/>
              <w:widowControl w:val="off"/>
            </w:pPr>
            <w:r>
              <w:rPr/>
              <w:t>0.6644</w:t>
            </w:r>
          </w:p>
        </w:tc>
        <w:tc>
          <w:tcPr>
            <w:tcW w:w="1279" w:type="dxa"/>
            <w:tcBorders>
              <w:top w:val="single" w:color="000000" w:sz="3"/>
              <w:left w:val="single" w:color="000000" w:sz="3"/>
              <w:bottom w:val="single" w:color="000000" w:sz="11"/>
              <w:right w:val="none" w:color="000000" w:sz="3"/>
            </w:tcBorders>
            <w:vAlign w:val="center"/>
          </w:tcPr>
          <w:p>
            <w:pPr>
              <w:pStyle w:val="0"/>
              <w:widowControl w:val="off"/>
            </w:pPr>
            <w:r>
              <w:rPr/>
              <w:t>0.6099</w:t>
            </w:r>
          </w:p>
        </w:tc>
      </w:tr>
    </w:tbl>
    <w:p>
      <w:pPr>
        <w:pStyle w:val="0"/>
        <w:widowControl w:val="off"/>
      </w:pPr>
    </w:p>
    <w:p>
      <w:pPr>
        <w:pStyle w:val="47"/>
        <w:widowControl w:val="off"/>
        <w:rPr>
          <w:rFonts w:ascii="한양신명조" w:eastAsia="한양신명조"/>
          <w:color w:val="000000"/>
        </w:rPr>
      </w:pPr>
    </w:p>
    <w:p>
      <w:pPr>
        <w:pStyle w:val="47"/>
        <w:widowControl w:val="off"/>
      </w:pPr>
      <w:r>
        <w:rPr>
          <w:rFonts w:ascii="한양신명조" w:eastAsia="한양신명조"/>
        </w:rPr>
        <w:t xml:space="preserve"> SMOTE 적용 여부에 따른 성능을 비교한 결과 &lt;Table 5&gt;, SMOTE를 적용한 조합은 평균 F2-score 0.3249로 Raw 조합의 0.3214보다 소폭 높은 성능을 보였다. Recall 역시 SMOTE 적용 조합에서 0.6688로 나타나 Raw의 0.6644보다 약간 높았다. 해당 결과는 소수 클래스인 불량 샘플을 보강하는 과정이 불량 검출 성능 향상에 일정 부분 기여하였음을 의미한다.</w:t>
      </w:r>
    </w:p>
    <w:p>
      <w:pPr>
        <w:pStyle w:val="47"/>
        <w:widowControl w:val="off"/>
      </w:pPr>
      <w:r>
        <w:rPr>
          <w:rFonts w:ascii="한양신명조" w:eastAsia="한양신명조"/>
        </w:rPr>
        <w:t xml:space="preserve"> 다만 TNR은 SMOTE 적용 조합에서 0.6081, 균형화 기법을 적용하지 않은 조합에서 0.6099로 거의 유사하게 나타났다. 이는 생존 파이프라인만을</w:t>
      </w:r>
      <w:r>
        <w:drawing>
          <wp:anchor distT="0" distB="0" distL="0" distR="0" simplePos="0" relativeHeight="20" behindDoc="0" locked="0" layoutInCell="1" allowOverlap="1">
            <wp:simplePos x="0" y="0"/>
            <wp:positionH relativeFrom="column">
              <wp:posOffset>0</wp:posOffset>
            </wp:positionH>
            <wp:positionV relativeFrom="paragraph">
              <wp:posOffset>0</wp:posOffset>
            </wp:positionV>
            <wp:extent cx="6120130" cy="2040636"/>
            <wp:effectExtent l="0" t="0" r="0" b="0"/>
            <wp:wrapTopAndBottom/>
            <wp:docPr id="2" name="그림 %d 2"/>
            <wp:cNvGraphicFramePr/>
            <a:graphic>
              <a:graphicData uri="http://schemas.openxmlformats.org/drawingml/2006/picture">
                <pic:pic>
                  <pic:nvPicPr>
                    <pic:cNvPr id="0" name="C:\Users\지명근\AppData\Local\Temp\Hnc\BinData\EMB000057e0520a.png"/>
                    <pic:cNvPicPr/>
                  </pic:nvPicPr>
                  <pic:blipFill>
                    <a:blip r:embed="rId2"/>
                    <a:stretch>
                      <a:fillRect/>
                    </a:stretch>
                  </pic:blipFill>
                  <pic:spPr>
                    <a:xfrm>
                      <a:off x="0" y="0"/>
                      <a:ext cx="6120130" cy="2040636"/>
                    </a:xfrm>
                    <a:prstGeom prst="rect">
                      <a:avLst/>
                    </a:prstGeom>
                    <a:effectLst/>
                  </pic:spPr>
                </pic:pic>
              </a:graphicData>
            </a:graphic>
          </wp:anchor>
        </w:drawing>
        <w:rPr>
          <w:rFonts w:ascii="한양신명조" w:eastAsia="한양신명조"/>
        </w:rPr>
        <w:t xml:space="preserve"> 대상으로 할 경우, SMOTE 적용 여부에 따른 정상 샘플 구분 성능 차이가 크지 않음을 보여주었다.</w:t>
      </w:r>
    </w:p>
    <w:p>
      <w:pPr>
        <w:pStyle w:val="47"/>
        <w:widowControl w:val="off"/>
        <w:wordWrap w:val="1"/>
        <w:jc w:val="center"/>
      </w:pPr>
      <w:r>
        <w:rPr>
          <w:rFonts w:ascii="한양신명조"/>
          <w:b/>
        </w:rPr>
        <w:t>&lt;Figure 2&gt;</w:t>
      </w:r>
      <w:r>
        <w:rPr>
          <w:rFonts w:ascii="한양신명조"/>
        </w:rPr>
        <w:t xml:space="preserve"> Component-wise Performance Comparison in Surviving Pipelines (Top 3)</w:t>
      </w:r>
    </w:p>
    <w:p>
      <w:pPr>
        <w:pStyle w:val="47"/>
        <w:widowControl w:val="off"/>
        <w:wordWrap w:val="1"/>
        <w:jc w:val="center"/>
        <w:rPr>
          <w:rFonts w:ascii="한양신명조" w:eastAsia="한양신명조"/>
          <w:color w:val="000000"/>
        </w:rPr>
      </w:pPr>
    </w:p>
    <w:p>
      <w:pPr>
        <w:pStyle w:val="47"/>
        <w:widowControl w:val="off"/>
      </w:pPr>
      <w:r>
        <w:rPr>
          <w:rFonts w:ascii="한양신명조" w:eastAsia="한양신명조"/>
        </w:rPr>
        <w:t xml:space="preserve"> 종합적으로 SMOTE는 생존 파이프라인 내에서 F2-score, Recall을 소폭 향상시키는 경향을 보였으나, 그 차이는 크지 않았다. 따라서 SMOTE는 불량 검출 성능 향상에 유효한 클래스 불균형 처리 전략이지만, 성능 향상 폭은 대치, 특성 선택, 모델 조합에 따라 제한적으로 나타나는 것으로 해석된다.</w:t>
      </w:r>
    </w:p>
    <w:p>
      <w:pPr>
        <w:pStyle w:val="47"/>
        <w:widowControl w:val="off"/>
        <w:rPr>
          <w:rFonts w:ascii="한양신명조" w:eastAsia="한양신명조"/>
          <w:color w:val="000000"/>
        </w:rPr>
      </w:pPr>
    </w:p>
    <w:p>
      <w:pPr>
        <w:pStyle w:val="47"/>
        <w:widowControl w:val="off"/>
      </w:pPr>
      <w:r>
        <w:rPr>
          <w:rFonts w:ascii="한양신명조" w:eastAsia="한양신명조"/>
          <w:b/>
        </w:rPr>
        <w:t xml:space="preserve"> 4.4 특성 선택 방법별 성능 비교</w:t>
      </w:r>
    </w:p>
    <w:p>
      <w:pPr>
        <w:pStyle w:val="47"/>
        <w:widowControl w:val="off"/>
        <w:rPr>
          <w:rFonts w:ascii="한양신명조" w:eastAsia="한양신명조"/>
          <w:b/>
          <w:color w:val="000000"/>
        </w:rPr>
      </w:pPr>
    </w:p>
    <w:p>
      <w:pPr>
        <w:pStyle w:val="47"/>
        <w:widowControl w:val="off"/>
        <w:wordWrap w:val="1"/>
        <w:jc w:val="center"/>
      </w:pPr>
      <w:r>
        <w:rPr>
          <w:rFonts w:ascii="한양신명조"/>
          <w:b/>
        </w:rPr>
        <w:t xml:space="preserve">&lt;Table </w:t>
      </w:r>
      <w:fldSimple w:instr="SEQ 표 \* ARABIC">
        <w:r>
          <w:t>6</w:t>
        </w:r>
      </w:fldSimple>
      <w:r>
        <w:rPr>
          <w:rFonts w:ascii="한양신명조"/>
          <w:b/>
        </w:rPr>
        <w:t>&gt;</w:t>
      </w:r>
      <w:r>
        <w:rPr>
          <w:rFonts w:ascii="한양신명조"/>
        </w:rPr>
        <w:t xml:space="preserve"> Top 3 Feature Selection Strategies in Surviving Pipelines</w:t>
      </w:r>
    </w:p>
    <w:tbl>
      <w:tblPr>
        <w:tblOverlap w:val="never"/>
        <w:tblW w:w="4635" w:type="dxa"/>
        <w:tblBorders>
          <w:top w:val="single" w:color="000000" w:sz="3"/>
          <w:left w:val="single" w:color="000000" w:sz="3"/>
          <w:bottom w:val="single" w:color="000000" w:sz="3"/>
          <w:right w:val="single" w:color="000000" w:sz="3"/>
        </w:tblBorders>
        <w:tblLayout w:type="fixed"/>
        <w:tblCellMar>
          <w:top w:w="28" w:type="dxa"/>
          <w:left w:w="102" w:type="dxa"/>
          <w:bottom w:w="28" w:type="dxa"/>
          <w:right w:w="102" w:type="dxa"/>
        </w:tblCellMar>
      </w:tblPr>
      <w:tblGrid>
        <w:gridCol w:w="337"/>
        <w:gridCol w:w="1482"/>
        <w:gridCol w:w="934"/>
        <w:gridCol w:w="952"/>
        <w:gridCol w:w="930"/>
      </w:tblGrid>
      <w:tr>
        <w:trPr>
          <w:trHeight w:val="285"/>
        </w:trPr>
        <w:tc>
          <w:tcPr>
            <w:tcW w:w="337" w:type="dxa"/>
            <w:tcBorders>
              <w:top w:val="single" w:color="000000" w:sz="11"/>
              <w:left w:val="none" w:color="000000" w:sz="3"/>
              <w:bottom w:val="single" w:color="000000" w:sz="11"/>
              <w:right w:val="single" w:color="000000" w:sz="3"/>
            </w:tcBorders>
            <w:vAlign w:val="center"/>
          </w:tcPr>
          <w:p>
            <w:pPr>
              <w:pStyle w:val="0"/>
              <w:widowControl w:val="off"/>
              <w:rPr/>
            </w:pPr>
          </w:p>
        </w:tc>
        <w:tc>
          <w:tcPr>
            <w:tcW w:w="1482" w:type="dxa"/>
            <w:tcBorders>
              <w:top w:val="single" w:color="000000" w:sz="11"/>
              <w:left w:val="single" w:color="000000" w:sz="3"/>
              <w:bottom w:val="single" w:color="000000" w:sz="11"/>
              <w:right w:val="single" w:color="000000" w:sz="3"/>
            </w:tcBorders>
            <w:vAlign w:val="center"/>
          </w:tcPr>
          <w:p>
            <w:pPr>
              <w:pStyle w:val="0"/>
              <w:widowControl w:val="off"/>
            </w:pPr>
            <w:r>
              <w:rPr/>
              <w:t>feature selection</w:t>
            </w:r>
          </w:p>
        </w:tc>
        <w:tc>
          <w:tcPr>
            <w:tcW w:w="934" w:type="dxa"/>
            <w:tcBorders>
              <w:top w:val="single" w:color="000000" w:sz="11"/>
              <w:left w:val="single" w:color="000000" w:sz="3"/>
              <w:bottom w:val="single" w:color="000000" w:sz="11"/>
              <w:right w:val="single" w:color="000000" w:sz="3"/>
            </w:tcBorders>
            <w:vAlign w:val="center"/>
          </w:tcPr>
          <w:p>
            <w:pPr>
              <w:pStyle w:val="0"/>
              <w:widowControl w:val="off"/>
            </w:pPr>
            <w:r>
              <w:rPr/>
              <w:t>F2</w:t>
            </w:r>
          </w:p>
        </w:tc>
        <w:tc>
          <w:tcPr>
            <w:tcW w:w="952" w:type="dxa"/>
            <w:tcBorders>
              <w:top w:val="single" w:color="000000" w:sz="11"/>
              <w:left w:val="single" w:color="000000" w:sz="3"/>
              <w:bottom w:val="single" w:color="000000" w:sz="11"/>
              <w:right w:val="single" w:color="000000" w:sz="3"/>
            </w:tcBorders>
            <w:vAlign w:val="center"/>
          </w:tcPr>
          <w:p>
            <w:pPr>
              <w:pStyle w:val="0"/>
              <w:widowControl w:val="off"/>
            </w:pPr>
            <w:r>
              <w:rPr/>
              <w:t>Recall</w:t>
            </w:r>
          </w:p>
        </w:tc>
        <w:tc>
          <w:tcPr>
            <w:tcW w:w="930" w:type="dxa"/>
            <w:tcBorders>
              <w:top w:val="single" w:color="000000" w:sz="11"/>
              <w:left w:val="single" w:color="000000" w:sz="3"/>
              <w:bottom w:val="single" w:color="000000" w:sz="11"/>
              <w:right w:val="none" w:color="000000" w:sz="3"/>
            </w:tcBorders>
            <w:vAlign w:val="center"/>
          </w:tcPr>
          <w:p>
            <w:pPr>
              <w:pStyle w:val="0"/>
              <w:widowControl w:val="off"/>
            </w:pPr>
            <w:r>
              <w:rPr/>
              <w:t>TNR</w:t>
            </w:r>
          </w:p>
        </w:tc>
      </w:tr>
      <w:tr>
        <w:trPr>
          <w:trHeight w:val="285"/>
        </w:trPr>
        <w:tc>
          <w:tcPr>
            <w:tcW w:w="337" w:type="dxa"/>
            <w:tcBorders>
              <w:top w:val="single" w:color="000000" w:sz="11"/>
              <w:left w:val="none" w:color="000000" w:sz="3"/>
              <w:bottom w:val="single" w:color="000000" w:sz="3"/>
              <w:right w:val="single" w:color="000000" w:sz="3"/>
            </w:tcBorders>
            <w:vAlign w:val="center"/>
          </w:tcPr>
          <w:p>
            <w:pPr>
              <w:pStyle w:val="0"/>
              <w:widowControl w:val="off"/>
            </w:pPr>
            <w:r>
              <w:rPr/>
              <w:t>1</w:t>
            </w:r>
          </w:p>
        </w:tc>
        <w:tc>
          <w:tcPr>
            <w:tcW w:w="1482" w:type="dxa"/>
            <w:tcBorders>
              <w:top w:val="single" w:color="000000" w:sz="11"/>
              <w:left w:val="single" w:color="000000" w:sz="3"/>
              <w:bottom w:val="single" w:color="000000" w:sz="3"/>
              <w:right w:val="single" w:color="000000" w:sz="3"/>
            </w:tcBorders>
            <w:vAlign w:val="center"/>
          </w:tcPr>
          <w:p>
            <w:pPr>
              <w:pStyle w:val="0"/>
              <w:widowControl w:val="off"/>
            </w:pPr>
            <w:r>
              <w:rPr/>
              <w:t>f_classif</w:t>
            </w:r>
          </w:p>
        </w:tc>
        <w:tc>
          <w:tcPr>
            <w:tcW w:w="934" w:type="dxa"/>
            <w:tcBorders>
              <w:top w:val="single" w:color="000000" w:sz="11"/>
              <w:left w:val="single" w:color="000000" w:sz="3"/>
              <w:bottom w:val="single" w:color="000000" w:sz="3"/>
              <w:right w:val="single" w:color="000000" w:sz="3"/>
            </w:tcBorders>
            <w:vAlign w:val="center"/>
          </w:tcPr>
          <w:p>
            <w:pPr>
              <w:pStyle w:val="0"/>
              <w:widowControl w:val="off"/>
            </w:pPr>
            <w:r>
              <w:rPr/>
              <w:t>0.3462</w:t>
            </w:r>
          </w:p>
        </w:tc>
        <w:tc>
          <w:tcPr>
            <w:tcW w:w="952" w:type="dxa"/>
            <w:tcBorders>
              <w:top w:val="single" w:color="000000" w:sz="11"/>
              <w:left w:val="single" w:color="000000" w:sz="3"/>
              <w:bottom w:val="single" w:color="000000" w:sz="3"/>
              <w:right w:val="single" w:color="000000" w:sz="3"/>
            </w:tcBorders>
            <w:vAlign w:val="center"/>
          </w:tcPr>
          <w:p>
            <w:pPr>
              <w:pStyle w:val="0"/>
              <w:widowControl w:val="off"/>
            </w:pPr>
            <w:r>
              <w:rPr/>
              <w:t>0.6869</w:t>
            </w:r>
          </w:p>
        </w:tc>
        <w:tc>
          <w:tcPr>
            <w:tcW w:w="930" w:type="dxa"/>
            <w:tcBorders>
              <w:top w:val="single" w:color="000000" w:sz="11"/>
              <w:left w:val="single" w:color="000000" w:sz="3"/>
              <w:bottom w:val="single" w:color="000000" w:sz="3"/>
              <w:right w:val="none" w:color="000000" w:sz="3"/>
            </w:tcBorders>
            <w:vAlign w:val="center"/>
          </w:tcPr>
          <w:p>
            <w:pPr>
              <w:pStyle w:val="0"/>
              <w:widowControl w:val="off"/>
            </w:pPr>
            <w:r>
              <w:rPr/>
              <w:t>0.6399</w:t>
            </w:r>
          </w:p>
        </w:tc>
      </w:tr>
      <w:tr>
        <w:trPr>
          <w:trHeight w:val="285"/>
        </w:trPr>
        <w:tc>
          <w:tcPr>
            <w:tcW w:w="337" w:type="dxa"/>
            <w:tcBorders>
              <w:top w:val="single" w:color="000000" w:sz="3"/>
              <w:left w:val="none" w:color="000000" w:sz="3"/>
              <w:bottom w:val="single" w:color="000000" w:sz="3"/>
              <w:right w:val="single" w:color="000000" w:sz="3"/>
            </w:tcBorders>
            <w:vAlign w:val="center"/>
          </w:tcPr>
          <w:p>
            <w:pPr>
              <w:pStyle w:val="0"/>
              <w:widowControl w:val="off"/>
            </w:pPr>
            <w:r>
              <w:rPr/>
              <w:t>2</w:t>
            </w:r>
          </w:p>
        </w:tc>
        <w:tc>
          <w:tcPr>
            <w:tcW w:w="1482" w:type="dxa"/>
            <w:tcBorders>
              <w:top w:val="single" w:color="000000" w:sz="3"/>
              <w:left w:val="single" w:color="000000" w:sz="3"/>
              <w:bottom w:val="single" w:color="000000" w:sz="3"/>
              <w:right w:val="single" w:color="000000" w:sz="3"/>
            </w:tcBorders>
            <w:vAlign w:val="center"/>
          </w:tcPr>
          <w:p>
            <w:pPr>
              <w:pStyle w:val="0"/>
              <w:widowControl w:val="off"/>
            </w:pPr>
            <w:r>
              <w:rPr/>
              <w:t>FPR</w:t>
            </w:r>
          </w:p>
        </w:tc>
        <w:tc>
          <w:tcPr>
            <w:tcW w:w="934" w:type="dxa"/>
            <w:tcBorders>
              <w:top w:val="single" w:color="000000" w:sz="3"/>
              <w:left w:val="single" w:color="000000" w:sz="3"/>
              <w:bottom w:val="single" w:color="000000" w:sz="3"/>
              <w:right w:val="single" w:color="000000" w:sz="3"/>
            </w:tcBorders>
            <w:vAlign w:val="center"/>
          </w:tcPr>
          <w:p>
            <w:pPr>
              <w:pStyle w:val="0"/>
              <w:widowControl w:val="off"/>
            </w:pPr>
            <w:r>
              <w:rPr/>
              <w:t>0.3415</w:t>
            </w:r>
          </w:p>
        </w:tc>
        <w:tc>
          <w:tcPr>
            <w:tcW w:w="952" w:type="dxa"/>
            <w:tcBorders>
              <w:top w:val="single" w:color="000000" w:sz="3"/>
              <w:left w:val="single" w:color="000000" w:sz="3"/>
              <w:bottom w:val="single" w:color="000000" w:sz="3"/>
              <w:right w:val="single" w:color="000000" w:sz="3"/>
            </w:tcBorders>
            <w:vAlign w:val="center"/>
          </w:tcPr>
          <w:p>
            <w:pPr>
              <w:pStyle w:val="0"/>
              <w:widowControl w:val="off"/>
            </w:pPr>
            <w:r>
              <w:rPr/>
              <w:t>0.6650</w:t>
            </w:r>
          </w:p>
        </w:tc>
        <w:tc>
          <w:tcPr>
            <w:tcW w:w="930" w:type="dxa"/>
            <w:tcBorders>
              <w:top w:val="single" w:color="000000" w:sz="3"/>
              <w:left w:val="single" w:color="000000" w:sz="3"/>
              <w:bottom w:val="single" w:color="000000" w:sz="3"/>
              <w:right w:val="none" w:color="000000" w:sz="3"/>
            </w:tcBorders>
            <w:vAlign w:val="center"/>
          </w:tcPr>
          <w:p>
            <w:pPr>
              <w:pStyle w:val="0"/>
              <w:widowControl w:val="off"/>
            </w:pPr>
            <w:r>
              <w:rPr/>
              <w:t>0.6484</w:t>
            </w:r>
          </w:p>
        </w:tc>
      </w:tr>
      <w:tr>
        <w:trPr>
          <w:trHeight w:val="284"/>
        </w:trPr>
        <w:tc>
          <w:tcPr>
            <w:tcW w:w="337" w:type="dxa"/>
            <w:tcBorders>
              <w:top w:val="single" w:color="000000" w:sz="3"/>
              <w:left w:val="none" w:color="000000" w:sz="3"/>
              <w:bottom w:val="single" w:color="000000" w:sz="11"/>
              <w:right w:val="single" w:color="000000" w:sz="3"/>
            </w:tcBorders>
            <w:vAlign w:val="center"/>
          </w:tcPr>
          <w:p>
            <w:pPr>
              <w:pStyle w:val="0"/>
              <w:widowControl w:val="off"/>
            </w:pPr>
            <w:r>
              <w:rPr/>
              <w:t>3</w:t>
            </w:r>
          </w:p>
        </w:tc>
        <w:tc>
          <w:tcPr>
            <w:tcW w:w="1482" w:type="dxa"/>
            <w:tcBorders>
              <w:top w:val="single" w:color="000000" w:sz="3"/>
              <w:left w:val="single" w:color="000000" w:sz="3"/>
              <w:bottom w:val="single" w:color="000000" w:sz="11"/>
              <w:right w:val="single" w:color="000000" w:sz="3"/>
            </w:tcBorders>
            <w:vAlign w:val="center"/>
          </w:tcPr>
          <w:p>
            <w:pPr>
              <w:pStyle w:val="0"/>
              <w:widowControl w:val="off"/>
            </w:pPr>
            <w:r>
              <w:rPr/>
              <w:t>Raw</w:t>
            </w:r>
          </w:p>
        </w:tc>
        <w:tc>
          <w:tcPr>
            <w:tcW w:w="934" w:type="dxa"/>
            <w:tcBorders>
              <w:top w:val="single" w:color="000000" w:sz="3"/>
              <w:left w:val="single" w:color="000000" w:sz="3"/>
              <w:bottom w:val="single" w:color="000000" w:sz="11"/>
              <w:right w:val="single" w:color="000000" w:sz="3"/>
            </w:tcBorders>
            <w:vAlign w:val="center"/>
          </w:tcPr>
          <w:p>
            <w:pPr>
              <w:pStyle w:val="0"/>
              <w:widowControl w:val="off"/>
            </w:pPr>
            <w:r>
              <w:rPr/>
              <w:t>0.3221</w:t>
            </w:r>
          </w:p>
        </w:tc>
        <w:tc>
          <w:tcPr>
            <w:tcW w:w="952" w:type="dxa"/>
            <w:tcBorders>
              <w:top w:val="single" w:color="000000" w:sz="3"/>
              <w:left w:val="single" w:color="000000" w:sz="3"/>
              <w:bottom w:val="single" w:color="000000" w:sz="11"/>
              <w:right w:val="single" w:color="000000" w:sz="3"/>
            </w:tcBorders>
            <w:vAlign w:val="center"/>
          </w:tcPr>
          <w:p>
            <w:pPr>
              <w:pStyle w:val="0"/>
              <w:widowControl w:val="off"/>
            </w:pPr>
            <w:r>
              <w:rPr/>
              <w:t>0.7106</w:t>
            </w:r>
          </w:p>
        </w:tc>
        <w:tc>
          <w:tcPr>
            <w:tcW w:w="930" w:type="dxa"/>
            <w:tcBorders>
              <w:top w:val="single" w:color="000000" w:sz="3"/>
              <w:left w:val="single" w:color="000000" w:sz="3"/>
              <w:bottom w:val="single" w:color="000000" w:sz="11"/>
              <w:right w:val="none" w:color="000000" w:sz="3"/>
            </w:tcBorders>
            <w:vAlign w:val="center"/>
          </w:tcPr>
          <w:p>
            <w:pPr>
              <w:pStyle w:val="0"/>
              <w:widowControl w:val="off"/>
            </w:pPr>
            <w:r>
              <w:rPr/>
              <w:t>0.5694</w:t>
            </w:r>
          </w:p>
        </w:tc>
      </w:tr>
    </w:tbl>
    <w:p>
      <w:pPr>
        <w:pStyle w:val="47"/>
        <w:widowControl w:val="off"/>
      </w:pPr>
    </w:p>
    <w:p>
      <w:pPr>
        <w:pStyle w:val="47"/>
        <w:widowControl w:val="off"/>
        <w:rPr>
          <w:rFonts w:ascii="한양신명조" w:eastAsia="한양신명조"/>
          <w:color w:val="000000"/>
        </w:rPr>
      </w:pPr>
    </w:p>
    <w:p>
      <w:pPr>
        <w:pStyle w:val="47"/>
        <w:widowControl w:val="off"/>
      </w:pPr>
      <w:r>
        <w:rPr>
          <w:rFonts w:ascii="한양신명조" w:eastAsia="한양신명조"/>
        </w:rPr>
        <w:t>특성 선택 방법별 성능을 비교한 결과 &lt;Table 6&gt;, f_classif 기반 변수 선택 방식이 평균 F2-score 0.3462로 가장 높은 성능을 보였다. f_classif는 Recall 0.6869, TNR 0.6399를 기록하여 불량 검출 성능과 정상 샘플 구분 성능 모두 비교적 안정적이었다. 두 번째로 높은 성능을 보인 FPR 방식은 평균 F2-score 0.3415를 기록하였으며, TNR은 0.6484로 상위 3개 방법 중 가장 높아, 불량 검출 성능을 유지하면서도 정상 샘플을 구분하는 데 비교적 효과적으로 작동했음을 의미한다. 별도의 특성 선택을 적용하지 않은 Raw는 평균 F2-score 0.3221로 세 번째에 위치하였으며, 특히 Recall은 0.7106로 가장 높게 나타나 모든 변수를 유지하는 방식이 불량 샘플 탐지에 유리할 수 있음을 보여준다. 그러나 TNR은 0.5694로 f_classif 및 FPR보다 낮아, 정상 샘플 오분류 가능성이 상대적으로 큰 것으로 해석된다.  실제 특성 선택 기법만을 기준으로 보면 Raw를 제외하고 f_classif, FPR, mutual_info 순으로 높은 성능을 보였다. 그러나 전체 파이프라인 구성 전략 관점에서는 Raw 역시 특성 선택 미적용 기준선으로 의미가 있으며, f_classif와 FPR이 F2-score와 TNR의 균형 측면에서 가장 안정적인 변수 선택 방식으로 확인되었다.</w:t>
      </w:r>
    </w:p>
    <w:p>
      <w:pPr>
        <w:pStyle w:val="47"/>
        <w:widowControl w:val="off"/>
        <w:rPr>
          <w:rFonts w:ascii="한양신명조" w:eastAsia="한양신명조"/>
          <w:color w:val="000000"/>
        </w:rPr>
      </w:pPr>
    </w:p>
    <w:p>
      <w:pPr>
        <w:pStyle w:val="47"/>
        <w:widowControl w:val="off"/>
      </w:pPr>
      <w:r>
        <w:rPr>
          <w:rFonts w:ascii="한양신명조" w:eastAsia="한양신명조"/>
          <w:b/>
        </w:rPr>
        <w:t xml:space="preserve"> 4.5 모델별 성능 비교</w:t>
      </w:r>
    </w:p>
    <w:p>
      <w:pPr>
        <w:pStyle w:val="47"/>
        <w:widowControl w:val="off"/>
        <w:wordWrap w:val="1"/>
        <w:jc w:val="center"/>
        <w:rPr>
          <w:rFonts w:ascii="한양신명조" w:eastAsia="한양신명조"/>
          <w:color w:val="000000"/>
        </w:rPr>
      </w:pPr>
    </w:p>
    <w:p>
      <w:pPr>
        <w:pStyle w:val="47"/>
        <w:widowControl w:val="off"/>
        <w:wordWrap w:val="1"/>
        <w:jc w:val="center"/>
      </w:pPr>
      <w:r>
        <w:rPr>
          <w:rFonts w:ascii="한양신명조"/>
          <w:b/>
        </w:rPr>
        <w:t xml:space="preserve">&lt;Table </w:t>
      </w:r>
      <w:fldSimple w:instr="SEQ 표 \* ARABIC">
        <w:r>
          <w:t>7</w:t>
        </w:r>
      </w:fldSimple>
      <w:r>
        <w:rPr>
          <w:rFonts w:ascii="한양신명조"/>
          <w:b/>
        </w:rPr>
        <w:t>&gt;</w:t>
      </w:r>
      <w:r>
        <w:rPr>
          <w:rFonts w:ascii="한양신명조"/>
        </w:rPr>
        <w:t xml:space="preserve"> Top 3 Models in Surviving Pipelines</w:t>
      </w:r>
    </w:p>
    <w:tbl>
      <w:tblPr>
        <w:tblOverlap w:val="never"/>
        <w:tblW w:w="4639" w:type="dxa"/>
        <w:tblBorders>
          <w:top w:val="single" w:color="000000" w:sz="3"/>
          <w:left w:val="single" w:color="000000" w:sz="3"/>
          <w:bottom w:val="single" w:color="000000" w:sz="3"/>
          <w:right w:val="single" w:color="000000" w:sz="3"/>
        </w:tblBorders>
        <w:tblLayout w:type="fixed"/>
        <w:tblCellMar>
          <w:top w:w="28" w:type="dxa"/>
          <w:left w:w="102" w:type="dxa"/>
          <w:bottom w:w="28" w:type="dxa"/>
          <w:right w:w="102" w:type="dxa"/>
        </w:tblCellMar>
      </w:tblPr>
      <w:tblGrid>
        <w:gridCol w:w="261"/>
        <w:gridCol w:w="724"/>
        <w:gridCol w:w="1061"/>
        <w:gridCol w:w="1215"/>
        <w:gridCol w:w="1378"/>
      </w:tblGrid>
      <w:tr>
        <w:trPr>
          <w:trHeight w:val="56"/>
        </w:trPr>
        <w:tc>
          <w:tcPr>
            <w:tcW w:w="261" w:type="dxa"/>
            <w:tcBorders>
              <w:top w:val="single" w:color="000000" w:sz="11"/>
              <w:left w:val="none" w:color="000000" w:sz="3"/>
              <w:bottom w:val="single" w:color="000000" w:sz="11"/>
              <w:right w:val="single" w:color="000000" w:sz="3"/>
            </w:tcBorders>
            <w:vAlign w:val="center"/>
          </w:tcPr>
          <w:p>
            <w:pPr>
              <w:pStyle w:val="0"/>
              <w:widowControl w:val="off"/>
              <w:rPr/>
            </w:pPr>
          </w:p>
        </w:tc>
        <w:tc>
          <w:tcPr>
            <w:tcW w:w="724" w:type="dxa"/>
            <w:tcBorders>
              <w:top w:val="single" w:color="000000" w:sz="11"/>
              <w:left w:val="single" w:color="000000" w:sz="3"/>
              <w:bottom w:val="single" w:color="000000" w:sz="11"/>
              <w:right w:val="single" w:color="000000" w:sz="3"/>
            </w:tcBorders>
            <w:vAlign w:val="center"/>
          </w:tcPr>
          <w:p>
            <w:pPr>
              <w:pStyle w:val="0"/>
              <w:widowControl w:val="off"/>
            </w:pPr>
            <w:r>
              <w:rPr/>
              <w:t>model</w:t>
            </w:r>
          </w:p>
        </w:tc>
        <w:tc>
          <w:tcPr>
            <w:tcW w:w="1061" w:type="dxa"/>
            <w:tcBorders>
              <w:top w:val="single" w:color="000000" w:sz="11"/>
              <w:left w:val="single" w:color="000000" w:sz="3"/>
              <w:bottom w:val="single" w:color="000000" w:sz="11"/>
              <w:right w:val="single" w:color="000000" w:sz="3"/>
            </w:tcBorders>
            <w:vAlign w:val="center"/>
          </w:tcPr>
          <w:p>
            <w:pPr>
              <w:pStyle w:val="0"/>
              <w:widowControl w:val="off"/>
            </w:pPr>
            <w:r>
              <w:rPr/>
              <w:t>F2</w:t>
            </w:r>
          </w:p>
        </w:tc>
        <w:tc>
          <w:tcPr>
            <w:tcW w:w="1215" w:type="dxa"/>
            <w:tcBorders>
              <w:top w:val="single" w:color="000000" w:sz="11"/>
              <w:left w:val="single" w:color="000000" w:sz="3"/>
              <w:bottom w:val="single" w:color="000000" w:sz="11"/>
              <w:right w:val="single" w:color="000000" w:sz="3"/>
            </w:tcBorders>
            <w:vAlign w:val="center"/>
          </w:tcPr>
          <w:p>
            <w:pPr>
              <w:pStyle w:val="0"/>
              <w:widowControl w:val="off"/>
            </w:pPr>
            <w:r>
              <w:rPr/>
              <w:t>Recall</w:t>
            </w:r>
          </w:p>
        </w:tc>
        <w:tc>
          <w:tcPr>
            <w:tcW w:w="1378" w:type="dxa"/>
            <w:tcBorders>
              <w:top w:val="single" w:color="000000" w:sz="11"/>
              <w:left w:val="single" w:color="000000" w:sz="3"/>
              <w:bottom w:val="single" w:color="000000" w:sz="11"/>
              <w:right w:val="none" w:color="000000" w:sz="3"/>
            </w:tcBorders>
            <w:vAlign w:val="center"/>
          </w:tcPr>
          <w:p>
            <w:pPr>
              <w:pStyle w:val="0"/>
              <w:widowControl w:val="off"/>
            </w:pPr>
            <w:r>
              <w:rPr/>
              <w:t>TNR</w:t>
            </w:r>
          </w:p>
        </w:tc>
      </w:tr>
      <w:tr>
        <w:trPr>
          <w:trHeight w:val="56"/>
        </w:trPr>
        <w:tc>
          <w:tcPr>
            <w:tcW w:w="261" w:type="dxa"/>
            <w:tcBorders>
              <w:top w:val="single" w:color="000000" w:sz="11"/>
              <w:left w:val="none" w:color="000000" w:sz="3"/>
              <w:bottom w:val="single" w:color="000000" w:sz="3"/>
              <w:right w:val="single" w:color="000000" w:sz="3"/>
            </w:tcBorders>
            <w:vAlign w:val="center"/>
          </w:tcPr>
          <w:p>
            <w:pPr>
              <w:pStyle w:val="0"/>
              <w:widowControl w:val="off"/>
            </w:pPr>
            <w:r>
              <w:rPr/>
              <w:t>1</w:t>
            </w:r>
          </w:p>
        </w:tc>
        <w:tc>
          <w:tcPr>
            <w:tcW w:w="724" w:type="dxa"/>
            <w:tcBorders>
              <w:top w:val="single" w:color="000000" w:sz="11"/>
              <w:left w:val="single" w:color="000000" w:sz="3"/>
              <w:bottom w:val="single" w:color="000000" w:sz="3"/>
              <w:right w:val="single" w:color="000000" w:sz="3"/>
            </w:tcBorders>
            <w:vAlign w:val="center"/>
          </w:tcPr>
          <w:p>
            <w:pPr>
              <w:pStyle w:val="0"/>
              <w:widowControl w:val="off"/>
            </w:pPr>
            <w:r>
              <w:rPr/>
              <w:t>KNN</w:t>
            </w:r>
          </w:p>
        </w:tc>
        <w:tc>
          <w:tcPr>
            <w:tcW w:w="1061" w:type="dxa"/>
            <w:tcBorders>
              <w:top w:val="single" w:color="000000" w:sz="11"/>
              <w:left w:val="single" w:color="000000" w:sz="3"/>
              <w:bottom w:val="single" w:color="000000" w:sz="3"/>
              <w:right w:val="single" w:color="000000" w:sz="3"/>
            </w:tcBorders>
            <w:vAlign w:val="center"/>
          </w:tcPr>
          <w:p>
            <w:pPr>
              <w:pStyle w:val="0"/>
              <w:widowControl w:val="off"/>
            </w:pPr>
            <w:r>
              <w:rPr/>
              <w:t>0.3342</w:t>
            </w:r>
          </w:p>
        </w:tc>
        <w:tc>
          <w:tcPr>
            <w:tcW w:w="1215" w:type="dxa"/>
            <w:tcBorders>
              <w:top w:val="single" w:color="000000" w:sz="11"/>
              <w:left w:val="single" w:color="000000" w:sz="3"/>
              <w:bottom w:val="single" w:color="000000" w:sz="3"/>
              <w:right w:val="single" w:color="000000" w:sz="3"/>
            </w:tcBorders>
            <w:vAlign w:val="center"/>
          </w:tcPr>
          <w:p>
            <w:pPr>
              <w:pStyle w:val="0"/>
              <w:widowControl w:val="off"/>
            </w:pPr>
            <w:r>
              <w:rPr/>
              <w:t>0.6608</w:t>
            </w:r>
          </w:p>
        </w:tc>
        <w:tc>
          <w:tcPr>
            <w:tcW w:w="1378" w:type="dxa"/>
            <w:tcBorders>
              <w:top w:val="single" w:color="000000" w:sz="11"/>
              <w:left w:val="single" w:color="000000" w:sz="3"/>
              <w:bottom w:val="single" w:color="000000" w:sz="3"/>
              <w:right w:val="none" w:color="000000" w:sz="3"/>
            </w:tcBorders>
            <w:vAlign w:val="center"/>
          </w:tcPr>
          <w:p>
            <w:pPr>
              <w:pStyle w:val="0"/>
              <w:widowControl w:val="off"/>
            </w:pPr>
            <w:r>
              <w:rPr/>
              <w:t>0.6360</w:t>
            </w:r>
          </w:p>
        </w:tc>
      </w:tr>
      <w:tr>
        <w:trPr>
          <w:trHeight w:val="56"/>
        </w:trPr>
        <w:tc>
          <w:tcPr>
            <w:tcW w:w="261" w:type="dxa"/>
            <w:tcBorders>
              <w:top w:val="single" w:color="000000" w:sz="3"/>
              <w:left w:val="none" w:color="000000" w:sz="3"/>
              <w:bottom w:val="single" w:color="000000" w:sz="3"/>
              <w:right w:val="single" w:color="000000" w:sz="3"/>
            </w:tcBorders>
            <w:vAlign w:val="center"/>
          </w:tcPr>
          <w:p>
            <w:pPr>
              <w:pStyle w:val="0"/>
              <w:widowControl w:val="off"/>
            </w:pPr>
            <w:r>
              <w:rPr/>
              <w:t>2</w:t>
            </w:r>
          </w:p>
        </w:tc>
        <w:tc>
          <w:tcPr>
            <w:tcW w:w="724" w:type="dxa"/>
            <w:tcBorders>
              <w:top w:val="single" w:color="000000" w:sz="3"/>
              <w:left w:val="single" w:color="000000" w:sz="3"/>
              <w:bottom w:val="single" w:color="000000" w:sz="3"/>
              <w:right w:val="single" w:color="000000" w:sz="3"/>
            </w:tcBorders>
            <w:vAlign w:val="center"/>
          </w:tcPr>
          <w:p>
            <w:pPr>
              <w:pStyle w:val="0"/>
              <w:widowControl w:val="off"/>
            </w:pPr>
            <w:r>
              <w:rPr/>
              <w:t>SVM</w:t>
            </w:r>
          </w:p>
        </w:tc>
        <w:tc>
          <w:tcPr>
            <w:tcW w:w="1061" w:type="dxa"/>
            <w:tcBorders>
              <w:top w:val="single" w:color="000000" w:sz="3"/>
              <w:left w:val="single" w:color="000000" w:sz="3"/>
              <w:bottom w:val="single" w:color="000000" w:sz="3"/>
              <w:right w:val="single" w:color="000000" w:sz="3"/>
            </w:tcBorders>
            <w:vAlign w:val="center"/>
          </w:tcPr>
          <w:p>
            <w:pPr>
              <w:pStyle w:val="0"/>
              <w:widowControl w:val="off"/>
            </w:pPr>
            <w:r>
              <w:rPr/>
              <w:t>0.3298</w:t>
            </w:r>
          </w:p>
        </w:tc>
        <w:tc>
          <w:tcPr>
            <w:tcW w:w="1215" w:type="dxa"/>
            <w:tcBorders>
              <w:top w:val="single" w:color="000000" w:sz="3"/>
              <w:left w:val="single" w:color="000000" w:sz="3"/>
              <w:bottom w:val="single" w:color="000000" w:sz="3"/>
              <w:right w:val="single" w:color="000000" w:sz="3"/>
            </w:tcBorders>
            <w:vAlign w:val="center"/>
          </w:tcPr>
          <w:p>
            <w:pPr>
              <w:pStyle w:val="0"/>
              <w:widowControl w:val="off"/>
            </w:pPr>
            <w:r>
              <w:rPr/>
              <w:t>0.6969</w:t>
            </w:r>
          </w:p>
        </w:tc>
        <w:tc>
          <w:tcPr>
            <w:tcW w:w="1378" w:type="dxa"/>
            <w:tcBorders>
              <w:top w:val="single" w:color="000000" w:sz="3"/>
              <w:left w:val="single" w:color="000000" w:sz="3"/>
              <w:bottom w:val="single" w:color="000000" w:sz="3"/>
              <w:right w:val="none" w:color="000000" w:sz="3"/>
            </w:tcBorders>
            <w:vAlign w:val="center"/>
          </w:tcPr>
          <w:p>
            <w:pPr>
              <w:pStyle w:val="0"/>
              <w:widowControl w:val="off"/>
            </w:pPr>
            <w:r>
              <w:rPr/>
              <w:t>0.5975</w:t>
            </w:r>
          </w:p>
        </w:tc>
      </w:tr>
      <w:tr>
        <w:trPr>
          <w:trHeight w:val="56"/>
        </w:trPr>
        <w:tc>
          <w:tcPr>
            <w:tcW w:w="261" w:type="dxa"/>
            <w:tcBorders>
              <w:top w:val="single" w:color="000000" w:sz="3"/>
              <w:left w:val="none" w:color="000000" w:sz="3"/>
              <w:bottom w:val="single" w:color="000000" w:sz="11"/>
              <w:right w:val="single" w:color="000000" w:sz="3"/>
            </w:tcBorders>
            <w:vAlign w:val="center"/>
          </w:tcPr>
          <w:p>
            <w:pPr>
              <w:pStyle w:val="0"/>
              <w:widowControl w:val="off"/>
            </w:pPr>
            <w:r>
              <w:rPr/>
              <w:t>3</w:t>
            </w:r>
          </w:p>
        </w:tc>
        <w:tc>
          <w:tcPr>
            <w:tcW w:w="724" w:type="dxa"/>
            <w:tcBorders>
              <w:top w:val="single" w:color="000000" w:sz="3"/>
              <w:left w:val="single" w:color="000000" w:sz="3"/>
              <w:bottom w:val="single" w:color="000000" w:sz="11"/>
              <w:right w:val="single" w:color="000000" w:sz="3"/>
            </w:tcBorders>
            <w:vAlign w:val="center"/>
          </w:tcPr>
          <w:p>
            <w:pPr>
              <w:pStyle w:val="0"/>
              <w:widowControl w:val="off"/>
            </w:pPr>
            <w:r>
              <w:rPr/>
              <w:t>RF</w:t>
            </w:r>
          </w:p>
        </w:tc>
        <w:tc>
          <w:tcPr>
            <w:tcW w:w="1061" w:type="dxa"/>
            <w:tcBorders>
              <w:top w:val="single" w:color="000000" w:sz="3"/>
              <w:left w:val="single" w:color="000000" w:sz="3"/>
              <w:bottom w:val="single" w:color="000000" w:sz="11"/>
              <w:right w:val="single" w:color="000000" w:sz="3"/>
            </w:tcBorders>
            <w:vAlign w:val="center"/>
          </w:tcPr>
          <w:p>
            <w:pPr>
              <w:pStyle w:val="0"/>
              <w:widowControl w:val="off"/>
            </w:pPr>
            <w:r>
              <w:rPr/>
              <w:t>0.3253</w:t>
            </w:r>
          </w:p>
        </w:tc>
        <w:tc>
          <w:tcPr>
            <w:tcW w:w="1215" w:type="dxa"/>
            <w:tcBorders>
              <w:top w:val="single" w:color="000000" w:sz="3"/>
              <w:left w:val="single" w:color="000000" w:sz="3"/>
              <w:bottom w:val="single" w:color="000000" w:sz="11"/>
              <w:right w:val="single" w:color="000000" w:sz="3"/>
            </w:tcBorders>
            <w:vAlign w:val="center"/>
          </w:tcPr>
          <w:p>
            <w:pPr>
              <w:pStyle w:val="0"/>
              <w:widowControl w:val="off"/>
            </w:pPr>
            <w:r>
              <w:rPr/>
              <w:t>0.6660</w:t>
            </w:r>
          </w:p>
        </w:tc>
        <w:tc>
          <w:tcPr>
            <w:tcW w:w="1378" w:type="dxa"/>
            <w:tcBorders>
              <w:top w:val="single" w:color="000000" w:sz="3"/>
              <w:left w:val="single" w:color="000000" w:sz="3"/>
              <w:bottom w:val="single" w:color="000000" w:sz="11"/>
              <w:right w:val="none" w:color="000000" w:sz="3"/>
            </w:tcBorders>
            <w:vAlign w:val="center"/>
          </w:tcPr>
          <w:p>
            <w:pPr>
              <w:pStyle w:val="0"/>
              <w:widowControl w:val="off"/>
            </w:pPr>
            <w:r>
              <w:rPr/>
              <w:t>0.6139</w:t>
            </w:r>
          </w:p>
        </w:tc>
      </w:tr>
    </w:tbl>
    <w:p>
      <w:pPr>
        <w:pStyle w:val="47"/>
        <w:widowControl w:val="off"/>
      </w:pPr>
    </w:p>
    <w:p>
      <w:pPr>
        <w:pStyle w:val="47"/>
        <w:widowControl w:val="off"/>
        <w:rPr>
          <w:rFonts w:ascii="한양신명조" w:eastAsia="한양신명조"/>
          <w:color w:val="000000"/>
        </w:rPr>
      </w:pPr>
    </w:p>
    <w:p>
      <w:pPr>
        <w:pStyle w:val="47"/>
        <w:widowControl w:val="off"/>
      </w:pPr>
      <w:r>
        <w:rPr>
          <w:rFonts w:ascii="한양신명조" w:eastAsia="한양신명조"/>
        </w:rPr>
        <w:t xml:space="preserve"> 모델별 평균 성능을 비교한 결과 &lt;Table </w:t>
      </w:r>
      <w:fldSimple w:instr="SEQ 표 \* ARABIC">
        <w:r>
          <w:t>7</w:t>
        </w:r>
      </w:fldSimple>
      <w:r>
        <w:rPr>
          <w:rFonts w:ascii="한양신명조" w:eastAsia="한양신명조"/>
        </w:rPr>
        <w:t xml:space="preserve">&gt;, KNN이 평균 F2-score 0.3342로 가장 높았다.  KNN은 Recall 0.6608, TNR 0.6360을 기록하여 불량 검출 성능과 정상 샘플 구분 성능 사이에서 비교적 균형 잡힌 결과를 보였다. 다만 </w:t>
      </w:r>
      <w:r>
        <w:rPr>
          <w:rFonts w:ascii="한양신명조" w:eastAsia="한양신명조"/>
          <w:color w:val="0000ff"/>
        </w:rPr>
        <w:t xml:space="preserve">KNN의 상대적 우위는 특성 선택을 거쳐 생존 변수 수가 축소된 환경에서 측정된 결과로, 고차원 원본 데이터에서의 일반적인 KNN 한계와는 상이한 조건임을 고려할 필요가 있다. 또한 KNN은 생존 파이프라인 수가 상대적으로 적어, 특정 전처리 조합에서만 높은 성능을 보이는 경향이 있었는데, </w:t>
      </w:r>
      <w:r>
        <w:rPr>
          <w:rFonts w:ascii="한양신명조" w:eastAsia="한양신명조"/>
        </w:rPr>
        <w:t>이는 특정 전처리 및 특성 선택 조합에서 유사도 기반 분류 방식이 SECOM 데이터의 일부 구조를 효과적으로 반영했을 가능성을 보여준다. SVM은 평균 F2-score 0.3298로 두 번째에 위치하였으며, Recall은 0.6969으로 상위 3개 모델 중 가장 높게 나타났다. 이는 SVM이 불량 샘플을 탐지하는 데 상대적으로 민감하게 작동했음을 의미한다. 다만 TNR은 0.5975으로 KNN 및 RF보다 낮아, 정상 샘플 오분류 가능성은 상대적으로 큰 것으로 해석된다. RF는 평균 F2-score 0.3253으로 세 번째에 위치하였다. 그러나 RF는 생존 파이프라인 수가 39개로 가장 많았다. 이는 RF가 특정 소수 조합에서만 우수한 것이 아니라, 다양한 대치·균형화·특성 선택 조건에서 안정적으로 필터 조건을 만족했음을 의미한다. 따라서 평균 F2-score 기준으로는 KNN과 SVM이 더 높게 나타났지만, 실험 전반의 안정성 측면에서는 RF 역시 중요한 후보 모델로 판단된다.</w:t>
      </w:r>
    </w:p>
    <w:p>
      <w:pPr>
        <w:pStyle w:val="47"/>
        <w:widowControl w:val="off"/>
      </w:pPr>
      <w:r>
        <w:rPr>
          <w:rFonts w:ascii="한양신명조" w:eastAsia="한양신명조"/>
        </w:rPr>
        <w:t xml:space="preserve"> 종합적으로 모델 비교 결과, 평균 F2-score 기준으로는 KNN과 SVM이 높았으나, 실험 전반의 안정성 측면에서는 RF가 다양한 조건에서 안정적으로 작동하는 모델로 확인되었다.</w:t>
      </w:r>
    </w:p>
    <w:p>
      <w:pPr>
        <w:pStyle w:val="47"/>
        <w:widowControl w:val="off"/>
        <w:rPr>
          <w:rFonts w:ascii="한양신명조" w:eastAsia="한양신명조"/>
          <w:color w:val="000000"/>
          <w:sz w:val="22"/>
        </w:rPr>
      </w:pPr>
    </w:p>
    <w:p>
      <w:pPr>
        <w:pStyle w:val="47"/>
        <w:widowControl w:val="off"/>
      </w:pPr>
      <w:r>
        <w:rPr>
          <w:rFonts w:ascii="한양신명조" w:eastAsia="한양신명조"/>
          <w:b/>
        </w:rPr>
        <w:t xml:space="preserve"> 4.6 결측지시변수 추가 효과 분석</w:t>
      </w:r>
    </w:p>
    <w:p>
      <w:pPr>
        <w:pStyle w:val="47"/>
        <w:widowControl w:val="off"/>
      </w:pPr>
      <w:r>
        <w:rPr>
          <w:rFonts w:ascii="한양신명조"/>
        </w:rPr>
        <w:t xml:space="preserve"> </w:t>
      </w:r>
    </w:p>
    <w:p>
      <w:pPr>
        <w:pStyle w:val="47"/>
        <w:widowControl w:val="off"/>
      </w:pPr>
      <w:r>
        <w:rPr>
          <w:rFonts w:ascii="한양신명조" w:eastAsia="한양신명조"/>
        </w:rPr>
        <w:t xml:space="preserve"> 상위 성능 조합들을 분석한 결과, 가장 높은 성능을 기록한 조합은 MICE / Raw / mutual_info / RF 조합으로 확인되었다. 이는 결측지시변수의 추가가 모든 환경에서 항상 최고 성능으로 이어지는 것은 아님을 보여준다. 반면 생존 파이프라인 중 두 번째로 높은 성능을 기록한 mean_M / SMOTE / fpr / HGB 조합은 결측지시변수의 효과가 비교적 뚜렷하게 관찰된 대표 사례였다. 해당 조합은 동일 조건에서 결측지시변수를 사용하지 않은 mean / SMOTE / fpr / HGB 조합과 비교하여 Recall을 유지하면서 F2-score와 TNR이 동시에 향상되었다.</w:t>
      </w:r>
    </w:p>
    <w:p>
      <w:pPr>
        <w:pStyle w:val="47"/>
        <w:widowControl w:val="off"/>
        <w:rPr>
          <w:rFonts w:ascii="한양신명조" w:eastAsia="한양신명조"/>
          <w:color w:val="000000"/>
        </w:rPr>
      </w:pPr>
    </w:p>
    <w:p>
      <w:pPr>
        <w:pStyle w:val="47"/>
        <w:widowControl w:val="off"/>
        <w:rPr>
          <w:rFonts w:ascii="한양신명조" w:eastAsia="한양신명조"/>
          <w:color w:val="000000"/>
        </w:rPr>
      </w:pPr>
    </w:p>
    <w:p>
      <w:pPr>
        <w:pStyle w:val="47"/>
        <w:widowControl w:val="off"/>
        <w:wordWrap w:val="1"/>
        <w:jc w:val="center"/>
      </w:pPr>
      <w:r>
        <w:rPr>
          <w:rFonts w:ascii="한양신명조"/>
          <w:b/>
        </w:rPr>
        <w:t xml:space="preserve">&lt;Table </w:t>
      </w:r>
      <w:fldSimple w:instr="SEQ 표 \* ARABIC">
        <w:r>
          <w:t>8</w:t>
        </w:r>
      </w:fldSimple>
      <w:r>
        <w:rPr>
          <w:rFonts w:ascii="한양신명조"/>
          <w:b/>
        </w:rPr>
        <w:t>&gt;</w:t>
      </w:r>
      <w:r>
        <w:rPr>
          <w:rFonts w:ascii="한양신명조"/>
        </w:rPr>
        <w:t xml:space="preserve"> Representative Pipeline Showing the effect of M Feature</w:t>
      </w:r>
    </w:p>
    <w:tbl>
      <w:tblPr>
        <w:tblOverlap w:val="never"/>
        <w:tblW w:w="4565" w:type="dxa"/>
        <w:tblBorders>
          <w:top w:val="single" w:color="000000" w:sz="3"/>
          <w:left w:val="single" w:color="000000" w:sz="3"/>
          <w:bottom w:val="single" w:color="000000" w:sz="3"/>
          <w:right w:val="single" w:color="000000" w:sz="3"/>
        </w:tblBorders>
        <w:tblLayout w:type="fixed"/>
        <w:tblCellMar>
          <w:top w:w="28" w:type="dxa"/>
          <w:left w:w="102" w:type="dxa"/>
          <w:bottom w:w="28" w:type="dxa"/>
          <w:right w:w="102" w:type="dxa"/>
        </w:tblCellMar>
      </w:tblPr>
      <w:tblGrid>
        <w:gridCol w:w="2103"/>
        <w:gridCol w:w="821"/>
        <w:gridCol w:w="821"/>
        <w:gridCol w:w="821"/>
      </w:tblGrid>
      <w:tr>
        <w:trPr>
          <w:trHeight w:val="368"/>
        </w:trPr>
        <w:tc>
          <w:tcPr>
            <w:tcW w:w="2103" w:type="dxa"/>
            <w:tcBorders>
              <w:top w:val="single" w:color="000000" w:sz="11"/>
              <w:left w:val="none" w:color="000000" w:sz="3"/>
              <w:bottom w:val="single" w:color="000000" w:sz="11"/>
              <w:right w:val="single" w:color="000000" w:sz="3"/>
            </w:tcBorders>
            <w:vAlign w:val="center"/>
          </w:tcPr>
          <w:p>
            <w:pPr>
              <w:pStyle w:val="47"/>
              <w:widowControl w:val="off"/>
              <w:jc w:val="center"/>
            </w:pPr>
            <w:r>
              <w:rPr>
                <w:rFonts w:ascii="Times New Roman"/>
                <w:sz w:val="18"/>
              </w:rPr>
              <w:t>Pipeline</w:t>
            </w:r>
          </w:p>
        </w:tc>
        <w:tc>
          <w:tcPr>
            <w:tcW w:w="821" w:type="dxa"/>
            <w:tcBorders>
              <w:top w:val="single" w:color="000000" w:sz="11"/>
              <w:left w:val="single" w:color="000000" w:sz="3"/>
              <w:bottom w:val="single" w:color="000000" w:sz="11"/>
              <w:right w:val="single" w:color="000000" w:sz="3"/>
            </w:tcBorders>
            <w:vAlign w:val="center"/>
          </w:tcPr>
          <w:p>
            <w:pPr>
              <w:pStyle w:val="47"/>
              <w:widowControl w:val="off"/>
              <w:jc w:val="center"/>
            </w:pPr>
            <w:r>
              <w:rPr>
                <w:rFonts w:ascii="Times New Roman"/>
                <w:sz w:val="18"/>
              </w:rPr>
              <w:t>F2</w:t>
            </w:r>
          </w:p>
        </w:tc>
        <w:tc>
          <w:tcPr>
            <w:tcW w:w="821" w:type="dxa"/>
            <w:tcBorders>
              <w:top w:val="single" w:color="000000" w:sz="11"/>
              <w:left w:val="single" w:color="000000" w:sz="3"/>
              <w:bottom w:val="single" w:color="000000" w:sz="11"/>
              <w:right w:val="single" w:color="000000" w:sz="3"/>
            </w:tcBorders>
            <w:vAlign w:val="center"/>
          </w:tcPr>
          <w:p>
            <w:pPr>
              <w:pStyle w:val="47"/>
              <w:widowControl w:val="off"/>
              <w:jc w:val="center"/>
            </w:pPr>
            <w:r>
              <w:rPr>
                <w:rFonts w:ascii="Times New Roman"/>
                <w:sz w:val="18"/>
              </w:rPr>
              <w:t>Recall</w:t>
            </w:r>
          </w:p>
        </w:tc>
        <w:tc>
          <w:tcPr>
            <w:tcW w:w="821" w:type="dxa"/>
            <w:tcBorders>
              <w:top w:val="single" w:color="000000" w:sz="11"/>
              <w:left w:val="single" w:color="000000" w:sz="3"/>
              <w:bottom w:val="single" w:color="000000" w:sz="11"/>
              <w:right w:val="none" w:color="000000" w:sz="3"/>
            </w:tcBorders>
            <w:vAlign w:val="center"/>
          </w:tcPr>
          <w:p>
            <w:pPr>
              <w:pStyle w:val="47"/>
              <w:widowControl w:val="off"/>
              <w:jc w:val="center"/>
            </w:pPr>
            <w:r>
              <w:rPr>
                <w:rFonts w:ascii="Times New Roman"/>
                <w:sz w:val="18"/>
              </w:rPr>
              <w:t>TNR</w:t>
            </w:r>
          </w:p>
        </w:tc>
      </w:tr>
      <w:tr>
        <w:trPr>
          <w:trHeight w:val="368"/>
        </w:trPr>
        <w:tc>
          <w:tcPr>
            <w:tcW w:w="2103" w:type="dxa"/>
            <w:tcBorders>
              <w:top w:val="single" w:color="000000" w:sz="11"/>
              <w:left w:val="none" w:color="000000" w:sz="3"/>
              <w:bottom w:val="single" w:color="000000" w:sz="3"/>
              <w:right w:val="single" w:color="000000" w:sz="3"/>
            </w:tcBorders>
            <w:vAlign w:val="center"/>
          </w:tcPr>
          <w:p>
            <w:pPr>
              <w:pStyle w:val="47"/>
              <w:widowControl w:val="off"/>
              <w:jc w:val="center"/>
            </w:pPr>
            <w:r>
              <w:rPr>
                <w:rFonts w:ascii="Times New Roman"/>
                <w:sz w:val="16"/>
              </w:rPr>
              <w:t>Mean/SMOTE/FPR/HGB</w:t>
            </w:r>
          </w:p>
        </w:tc>
        <w:tc>
          <w:tcPr>
            <w:tcW w:w="821" w:type="dxa"/>
            <w:tcBorders>
              <w:top w:val="single" w:color="000000" w:sz="11"/>
              <w:left w:val="single" w:color="000000" w:sz="3"/>
              <w:bottom w:val="single" w:color="000000" w:sz="3"/>
              <w:right w:val="single" w:color="000000" w:sz="3"/>
            </w:tcBorders>
            <w:vAlign w:val="center"/>
          </w:tcPr>
          <w:p>
            <w:pPr>
              <w:pStyle w:val="0"/>
              <w:widowControl w:val="off"/>
              <w:snapToGrid w:val="off"/>
              <w:jc w:val="center"/>
            </w:pPr>
            <w:r>
              <w:rPr>
                <w:sz w:val="18"/>
              </w:rPr>
              <w:t>0.3618</w:t>
            </w:r>
          </w:p>
        </w:tc>
        <w:tc>
          <w:tcPr>
            <w:tcW w:w="821" w:type="dxa"/>
            <w:tcBorders>
              <w:top w:val="single" w:color="000000" w:sz="11"/>
              <w:left w:val="single" w:color="000000" w:sz="3"/>
              <w:bottom w:val="single" w:color="000000" w:sz="3"/>
              <w:right w:val="single" w:color="000000" w:sz="3"/>
            </w:tcBorders>
            <w:vAlign w:val="center"/>
          </w:tcPr>
          <w:p>
            <w:pPr>
              <w:pStyle w:val="0"/>
              <w:widowControl w:val="off"/>
              <w:snapToGrid w:val="off"/>
              <w:jc w:val="center"/>
            </w:pPr>
            <w:r>
              <w:rPr>
                <w:sz w:val="18"/>
              </w:rPr>
              <w:t>0.6494</w:t>
            </w:r>
          </w:p>
        </w:tc>
        <w:tc>
          <w:tcPr>
            <w:tcW w:w="821" w:type="dxa"/>
            <w:tcBorders>
              <w:top w:val="single" w:color="000000" w:sz="11"/>
              <w:left w:val="single" w:color="000000" w:sz="3"/>
              <w:bottom w:val="single" w:color="000000" w:sz="3"/>
              <w:right w:val="none" w:color="000000" w:sz="3"/>
            </w:tcBorders>
            <w:vAlign w:val="center"/>
          </w:tcPr>
          <w:p>
            <w:pPr>
              <w:pStyle w:val="0"/>
              <w:widowControl w:val="off"/>
              <w:snapToGrid w:val="off"/>
              <w:jc w:val="center"/>
            </w:pPr>
            <w:r>
              <w:rPr>
                <w:sz w:val="18"/>
              </w:rPr>
              <w:t>0.7005</w:t>
            </w:r>
          </w:p>
        </w:tc>
      </w:tr>
      <w:tr>
        <w:trPr>
          <w:trHeight w:val="369"/>
        </w:trPr>
        <w:tc>
          <w:tcPr>
            <w:tcW w:w="2103" w:type="dxa"/>
            <w:tcBorders>
              <w:top w:val="single" w:color="000000" w:sz="3"/>
              <w:left w:val="none" w:color="000000" w:sz="3"/>
              <w:bottom w:val="single" w:color="000000" w:sz="11"/>
              <w:right w:val="single" w:color="000000" w:sz="3"/>
            </w:tcBorders>
            <w:vAlign w:val="center"/>
          </w:tcPr>
          <w:p>
            <w:pPr>
              <w:pStyle w:val="47"/>
              <w:widowControl w:val="off"/>
              <w:jc w:val="center"/>
            </w:pPr>
            <w:r>
              <w:rPr>
                <w:rFonts w:ascii="Times New Roman"/>
                <w:sz w:val="16"/>
              </w:rPr>
              <w:t>Mean_M/SMOTE/FPR/HGB</w:t>
            </w:r>
          </w:p>
        </w:tc>
        <w:tc>
          <w:tcPr>
            <w:tcW w:w="821" w:type="dxa"/>
            <w:tcBorders>
              <w:top w:val="single" w:color="000000" w:sz="3"/>
              <w:left w:val="single" w:color="000000" w:sz="3"/>
              <w:bottom w:val="single" w:color="000000" w:sz="11"/>
              <w:right w:val="single" w:color="000000" w:sz="3"/>
            </w:tcBorders>
            <w:vAlign w:val="center"/>
          </w:tcPr>
          <w:p>
            <w:pPr>
              <w:pStyle w:val="0"/>
              <w:widowControl w:val="off"/>
              <w:snapToGrid w:val="off"/>
              <w:jc w:val="center"/>
            </w:pPr>
            <w:r>
              <w:rPr>
                <w:sz w:val="18"/>
              </w:rPr>
              <w:t>0.3695</w:t>
            </w:r>
          </w:p>
        </w:tc>
        <w:tc>
          <w:tcPr>
            <w:tcW w:w="821" w:type="dxa"/>
            <w:tcBorders>
              <w:top w:val="single" w:color="000000" w:sz="3"/>
              <w:left w:val="single" w:color="000000" w:sz="3"/>
              <w:bottom w:val="single" w:color="000000" w:sz="11"/>
              <w:right w:val="single" w:color="000000" w:sz="3"/>
            </w:tcBorders>
            <w:vAlign w:val="center"/>
          </w:tcPr>
          <w:p>
            <w:pPr>
              <w:pStyle w:val="0"/>
              <w:widowControl w:val="off"/>
              <w:snapToGrid w:val="off"/>
              <w:jc w:val="center"/>
            </w:pPr>
            <w:r>
              <w:rPr>
                <w:sz w:val="18"/>
              </w:rPr>
              <w:t>0.6494</w:t>
            </w:r>
          </w:p>
        </w:tc>
        <w:tc>
          <w:tcPr>
            <w:tcW w:w="821" w:type="dxa"/>
            <w:tcBorders>
              <w:top w:val="single" w:color="000000" w:sz="3"/>
              <w:left w:val="single" w:color="000000" w:sz="3"/>
              <w:bottom w:val="single" w:color="000000" w:sz="11"/>
              <w:right w:val="none" w:color="000000" w:sz="3"/>
            </w:tcBorders>
            <w:vAlign w:val="center"/>
          </w:tcPr>
          <w:p>
            <w:pPr>
              <w:pStyle w:val="0"/>
              <w:widowControl w:val="off"/>
              <w:snapToGrid w:val="off"/>
              <w:jc w:val="center"/>
            </w:pPr>
            <w:r>
              <w:rPr>
                <w:sz w:val="18"/>
              </w:rPr>
              <w:t>0.7157</w:t>
            </w:r>
          </w:p>
        </w:tc>
      </w:tr>
    </w:tbl>
    <w:p>
      <w:pPr>
        <w:pStyle w:val="47"/>
        <w:widowControl w:val="off"/>
      </w:pPr>
    </w:p>
    <w:p>
      <w:pPr>
        <w:pStyle w:val="47"/>
        <w:widowControl w:val="off"/>
        <w:rPr>
          <w:rFonts w:ascii="한양신명조" w:eastAsia="한양신명조"/>
          <w:color w:val="000000"/>
        </w:rPr>
      </w:pPr>
    </w:p>
    <w:p>
      <w:pPr>
        <w:pStyle w:val="47"/>
        <w:widowControl w:val="off"/>
      </w:pPr>
      <w:r>
        <w:rPr>
          <w:rFonts w:ascii="한양신명조" w:eastAsia="한양신명조"/>
        </w:rPr>
        <w:t xml:space="preserve"> mean_M / SMOTE / fpr / HGB 조합은 결측지시변수 추가 이후 Recall 성능 변화 없이 TNR과 F2-score가 향상된 대표적인 사례로 확인되었다&lt;Table </w:t>
      </w:r>
      <w:fldSimple w:instr="SEQ 표 \* ARABIC">
        <w:r>
          <w:t>8</w:t>
        </w:r>
      </w:fldSimple>
      <w:r>
        <w:rPr>
          <w:rFonts w:ascii="한양신명조" w:eastAsia="한양신명조"/>
        </w:rPr>
        <w:t>&gt;. 특히 Recall이 유지된 상태에서 TNR이 증가하였다는 점은, 결측지시변수가 단순히 불량 예측을 공격적으로 증가시키는 것이 아니라 정상 샘플 구분에도 보조적인 정보를 제공했음을 시사한다. 즉 결측지시변수는 독립적으로 강한 예측 변수라기보다 특정 전처리·모델 조합 환경에서 보조 신호로 작동할 가능성이 있는 것으로 해석된다. 또한 생존한 조합 중 결측지시변수 추가 이후 F2-score가 상승한 조합은 총 36개로 확인되었으며, Mean_M / Raw / FPR / RF, InpaintingKNN_M / Raw / mutual_info / RF 조합에서도 비교적 뚜렷한 성능 향상이 관찰되었으며, Missforest_M / SMOTE / Raw / RF 조합의 경우 Recall 0.8586을 기록하여 불량 검출 측면에서 높은 성능을 보였다.</w:t>
      </w:r>
    </w:p>
    <w:p>
      <w:pPr>
        <w:pStyle w:val="47"/>
        <w:widowControl w:val="off"/>
      </w:pPr>
      <w:r>
        <w:rPr>
          <w:rFonts w:ascii="한양신명조" w:eastAsia="한양신명조"/>
        </w:rPr>
        <w:t xml:space="preserve"> 종합적으로 결측지시변수는 모든 조합에서 일관된 성능 향상을 제공하지는 않았으나, 일부 조합에서는 불량 검출 성능과 정상 샘플 구분 성능을 동시에 개선하는 효과를 보였다. 해당 결과는 결측 여부 정보가 단순히 제거되어야 하는 노이즈가 아니라 특정 환경에서는 공정 이상과 관련된 보조적 정보로 활용될 가능성이 있음을 시사한다.</w:t>
      </w:r>
    </w:p>
    <w:p>
      <w:pPr>
        <w:pStyle w:val="47"/>
        <w:widowControl w:val="off"/>
      </w:pPr>
      <w:r>
        <w:rPr>
          <w:rFonts w:ascii="한양신명조"/>
        </w:rPr>
        <w:t xml:space="preserve"> </w:t>
      </w:r>
    </w:p>
    <w:p>
      <w:pPr>
        <w:pStyle w:val="47"/>
        <w:widowControl w:val="off"/>
      </w:pPr>
      <w:r>
        <w:rPr>
          <w:rFonts w:ascii="한양신명조" w:eastAsia="한양신명조"/>
          <w:b/>
        </w:rPr>
        <w:t xml:space="preserve"> 4.7 최종 추천 파이프라인 조합</w:t>
      </w:r>
    </w:p>
    <w:p>
      <w:pPr>
        <w:pStyle w:val="47"/>
        <w:widowControl w:val="off"/>
      </w:pPr>
      <w:r>
        <w:rPr>
          <w:rFonts w:ascii="한양신명조" w:eastAsia="한양신명조"/>
        </w:rPr>
        <w:t xml:space="preserve"> 앞서 정의한 생존 파이프라인 조합 중 F2-score 기준 상위 3개의 파이프라인 조합을 최종 추천 조합으로 선정하였다. </w:t>
      </w:r>
      <w:r>
        <w:rPr>
          <w:rFonts w:ascii="한양신명조" w:eastAsia="한양신명조"/>
          <w:color w:val="0000ff"/>
        </w:rPr>
        <w:t>앞선 4.2 ~ 4.5절의 구성 요소별 평균 비교와 달리, 개별 파이프라인 단위의 절대 성능 기준으로 최종 추천 조합을 선정하였다.</w:t>
      </w:r>
    </w:p>
    <w:p>
      <w:pPr>
        <w:pStyle w:val="47"/>
        <w:widowControl w:val="off"/>
      </w:pPr>
      <w:r>
        <w:rPr>
          <w:rFonts w:ascii="한양신명조"/>
        </w:rPr>
        <w:t xml:space="preserve"> </w:t>
      </w:r>
    </w:p>
    <w:p>
      <w:pPr>
        <w:pStyle w:val="47"/>
        <w:widowControl w:val="off"/>
        <w:wordWrap w:val="1"/>
        <w:jc w:val="center"/>
      </w:pPr>
      <w:r>
        <w:rPr>
          <w:rFonts w:ascii="한양신명조"/>
          <w:b/>
        </w:rPr>
        <w:t xml:space="preserve">&lt;Table </w:t>
      </w:r>
      <w:fldSimple w:instr="SEQ 표 \* ARABIC">
        <w:r>
          <w:t>9</w:t>
        </w:r>
      </w:fldSimple>
      <w:r>
        <w:rPr>
          <w:rFonts w:ascii="한양신명조"/>
          <w:b/>
        </w:rPr>
        <w:t>&gt;</w:t>
      </w:r>
      <w:r>
        <w:rPr>
          <w:rFonts w:ascii="한양신명조"/>
        </w:rPr>
        <w:t xml:space="preserve"> Final Recommended Pipeline Combinations</w:t>
      </w:r>
    </w:p>
    <w:tbl>
      <w:tblPr>
        <w:tblOverlap w:val="never"/>
        <w:tblW w:w="4565" w:type="dxa"/>
        <w:tblBorders>
          <w:top w:val="single" w:color="000000" w:sz="3"/>
          <w:left w:val="single" w:color="000000" w:sz="3"/>
          <w:bottom w:val="single" w:color="000000" w:sz="3"/>
          <w:right w:val="single" w:color="000000" w:sz="3"/>
        </w:tblBorders>
        <w:tblLayout w:type="fixed"/>
        <w:tblCellMar>
          <w:top w:w="28" w:type="dxa"/>
          <w:left w:w="102" w:type="dxa"/>
          <w:bottom w:w="28" w:type="dxa"/>
          <w:right w:w="102" w:type="dxa"/>
        </w:tblCellMar>
      </w:tblPr>
      <w:tblGrid>
        <w:gridCol w:w="2103"/>
        <w:gridCol w:w="821"/>
        <w:gridCol w:w="821"/>
        <w:gridCol w:w="821"/>
      </w:tblGrid>
      <w:tr>
        <w:trPr>
          <w:trHeight w:val="236"/>
        </w:trPr>
        <w:tc>
          <w:tcPr>
            <w:tcW w:w="2103" w:type="dxa"/>
            <w:tcBorders>
              <w:top w:val="single" w:color="000000" w:sz="11"/>
              <w:left w:val="none" w:color="000000" w:sz="3"/>
              <w:bottom w:val="single" w:color="000000" w:sz="11"/>
              <w:right w:val="single" w:color="000000" w:sz="3"/>
            </w:tcBorders>
            <w:vAlign w:val="center"/>
          </w:tcPr>
          <w:p>
            <w:pPr>
              <w:pStyle w:val="47"/>
              <w:widowControl w:val="off"/>
              <w:jc w:val="center"/>
            </w:pPr>
            <w:r>
              <w:rPr>
                <w:rFonts w:ascii="Times New Roman"/>
                <w:sz w:val="18"/>
              </w:rPr>
              <w:t>Pipeline</w:t>
            </w:r>
          </w:p>
        </w:tc>
        <w:tc>
          <w:tcPr>
            <w:tcW w:w="821" w:type="dxa"/>
            <w:tcBorders>
              <w:top w:val="single" w:color="000000" w:sz="11"/>
              <w:left w:val="single" w:color="000000" w:sz="3"/>
              <w:bottom w:val="single" w:color="000000" w:sz="11"/>
              <w:right w:val="single" w:color="000000" w:sz="3"/>
            </w:tcBorders>
            <w:vAlign w:val="center"/>
          </w:tcPr>
          <w:p>
            <w:pPr>
              <w:pStyle w:val="47"/>
              <w:widowControl w:val="off"/>
              <w:jc w:val="center"/>
            </w:pPr>
            <w:r>
              <w:rPr>
                <w:rFonts w:ascii="Times New Roman"/>
                <w:sz w:val="18"/>
              </w:rPr>
              <w:t>F2</w:t>
            </w:r>
          </w:p>
        </w:tc>
        <w:tc>
          <w:tcPr>
            <w:tcW w:w="821" w:type="dxa"/>
            <w:tcBorders>
              <w:top w:val="single" w:color="000000" w:sz="11"/>
              <w:left w:val="single" w:color="000000" w:sz="3"/>
              <w:bottom w:val="single" w:color="000000" w:sz="11"/>
              <w:right w:val="single" w:color="000000" w:sz="3"/>
            </w:tcBorders>
            <w:vAlign w:val="center"/>
          </w:tcPr>
          <w:p>
            <w:pPr>
              <w:pStyle w:val="47"/>
              <w:widowControl w:val="off"/>
              <w:jc w:val="center"/>
            </w:pPr>
            <w:r>
              <w:rPr>
                <w:rFonts w:ascii="Times New Roman"/>
                <w:sz w:val="18"/>
              </w:rPr>
              <w:t>Recall</w:t>
            </w:r>
          </w:p>
        </w:tc>
        <w:tc>
          <w:tcPr>
            <w:tcW w:w="821" w:type="dxa"/>
            <w:tcBorders>
              <w:top w:val="single" w:color="000000" w:sz="11"/>
              <w:left w:val="single" w:color="000000" w:sz="3"/>
              <w:bottom w:val="single" w:color="000000" w:sz="11"/>
              <w:right w:val="none" w:color="000000" w:sz="3"/>
            </w:tcBorders>
            <w:vAlign w:val="center"/>
          </w:tcPr>
          <w:p>
            <w:pPr>
              <w:pStyle w:val="47"/>
              <w:widowControl w:val="off"/>
              <w:jc w:val="center"/>
            </w:pPr>
            <w:r>
              <w:rPr>
                <w:rFonts w:ascii="Times New Roman"/>
                <w:sz w:val="18"/>
              </w:rPr>
              <w:t>TNR</w:t>
            </w:r>
          </w:p>
        </w:tc>
      </w:tr>
      <w:tr>
        <w:trPr>
          <w:trHeight w:val="236"/>
        </w:trPr>
        <w:tc>
          <w:tcPr>
            <w:tcW w:w="2103" w:type="dxa"/>
            <w:tcBorders>
              <w:top w:val="single" w:color="000000" w:sz="11"/>
              <w:left w:val="none" w:color="000000" w:sz="3"/>
              <w:bottom w:val="single" w:color="000000" w:sz="3"/>
              <w:right w:val="single" w:color="000000" w:sz="3"/>
            </w:tcBorders>
            <w:vAlign w:val="center"/>
          </w:tcPr>
          <w:p>
            <w:pPr>
              <w:pStyle w:val="47"/>
              <w:widowControl w:val="off"/>
              <w:jc w:val="center"/>
            </w:pPr>
            <w:r>
              <w:rPr>
                <w:rFonts w:ascii="Times New Roman"/>
                <w:sz w:val="16"/>
              </w:rPr>
              <w:t>MICE/Raw/mutual_info/RF</w:t>
            </w:r>
          </w:p>
        </w:tc>
        <w:tc>
          <w:tcPr>
            <w:tcW w:w="821" w:type="dxa"/>
            <w:tcBorders>
              <w:top w:val="single" w:color="000000" w:sz="11"/>
              <w:left w:val="single" w:color="000000" w:sz="3"/>
              <w:bottom w:val="single" w:color="000000" w:sz="3"/>
              <w:right w:val="single" w:color="000000" w:sz="3"/>
            </w:tcBorders>
            <w:vAlign w:val="center"/>
          </w:tcPr>
          <w:p>
            <w:pPr>
              <w:pStyle w:val="0"/>
              <w:widowControl w:val="off"/>
              <w:snapToGrid w:val="off"/>
              <w:jc w:val="center"/>
            </w:pPr>
            <w:r>
              <w:rPr>
                <w:sz w:val="18"/>
              </w:rPr>
              <w:t>0.3885</w:t>
            </w:r>
          </w:p>
        </w:tc>
        <w:tc>
          <w:tcPr>
            <w:tcW w:w="821" w:type="dxa"/>
            <w:tcBorders>
              <w:top w:val="single" w:color="000000" w:sz="11"/>
              <w:left w:val="single" w:color="000000" w:sz="3"/>
              <w:bottom w:val="single" w:color="000000" w:sz="3"/>
              <w:right w:val="single" w:color="000000" w:sz="3"/>
            </w:tcBorders>
            <w:vAlign w:val="center"/>
          </w:tcPr>
          <w:p>
            <w:pPr>
              <w:pStyle w:val="0"/>
              <w:widowControl w:val="off"/>
              <w:snapToGrid w:val="off"/>
              <w:jc w:val="center"/>
            </w:pPr>
            <w:r>
              <w:rPr>
                <w:sz w:val="18"/>
              </w:rPr>
              <w:t>0.6707</w:t>
            </w:r>
          </w:p>
        </w:tc>
        <w:tc>
          <w:tcPr>
            <w:tcW w:w="821" w:type="dxa"/>
            <w:tcBorders>
              <w:top w:val="single" w:color="000000" w:sz="11"/>
              <w:left w:val="single" w:color="000000" w:sz="3"/>
              <w:bottom w:val="single" w:color="000000" w:sz="3"/>
              <w:right w:val="none" w:color="000000" w:sz="3"/>
            </w:tcBorders>
            <w:vAlign w:val="center"/>
          </w:tcPr>
          <w:p>
            <w:pPr>
              <w:pStyle w:val="0"/>
              <w:widowControl w:val="off"/>
              <w:snapToGrid w:val="off"/>
              <w:jc w:val="center"/>
            </w:pPr>
            <w:r>
              <w:rPr>
                <w:sz w:val="18"/>
              </w:rPr>
              <w:t>0.7278</w:t>
            </w:r>
          </w:p>
        </w:tc>
      </w:tr>
      <w:tr>
        <w:trPr>
          <w:trHeight w:val="236"/>
        </w:trPr>
        <w:tc>
          <w:tcPr>
            <w:tcW w:w="2103" w:type="dxa"/>
            <w:tcBorders>
              <w:top w:val="single" w:color="000000" w:sz="3"/>
              <w:left w:val="none" w:color="000000" w:sz="3"/>
              <w:bottom w:val="single" w:color="000000" w:sz="3"/>
              <w:right w:val="single" w:color="000000" w:sz="3"/>
            </w:tcBorders>
            <w:vAlign w:val="center"/>
          </w:tcPr>
          <w:p>
            <w:pPr>
              <w:pStyle w:val="47"/>
              <w:widowControl w:val="off"/>
              <w:jc w:val="center"/>
            </w:pPr>
            <w:r>
              <w:rPr>
                <w:rFonts w:ascii="Times New Roman"/>
                <w:sz w:val="16"/>
              </w:rPr>
              <w:t>Mean_M/SMOTE/FPR/HGB</w:t>
            </w:r>
          </w:p>
        </w:tc>
        <w:tc>
          <w:tcPr>
            <w:tcW w:w="821" w:type="dxa"/>
            <w:tcBorders>
              <w:top w:val="single" w:color="000000" w:sz="3"/>
              <w:left w:val="single" w:color="000000" w:sz="3"/>
              <w:bottom w:val="single" w:color="000000" w:sz="3"/>
              <w:right w:val="single" w:color="000000" w:sz="3"/>
            </w:tcBorders>
            <w:vAlign w:val="center"/>
          </w:tcPr>
          <w:p>
            <w:pPr>
              <w:pStyle w:val="0"/>
              <w:widowControl w:val="off"/>
              <w:snapToGrid w:val="off"/>
              <w:jc w:val="center"/>
            </w:pPr>
            <w:r>
              <w:rPr>
                <w:sz w:val="18"/>
              </w:rPr>
              <w:t>0.3695</w:t>
            </w:r>
          </w:p>
        </w:tc>
        <w:tc>
          <w:tcPr>
            <w:tcW w:w="821" w:type="dxa"/>
            <w:tcBorders>
              <w:top w:val="single" w:color="000000" w:sz="3"/>
              <w:left w:val="single" w:color="000000" w:sz="3"/>
              <w:bottom w:val="single" w:color="000000" w:sz="3"/>
              <w:right w:val="single" w:color="000000" w:sz="3"/>
            </w:tcBorders>
            <w:vAlign w:val="center"/>
          </w:tcPr>
          <w:p>
            <w:pPr>
              <w:pStyle w:val="0"/>
              <w:widowControl w:val="off"/>
              <w:snapToGrid w:val="off"/>
              <w:jc w:val="center"/>
            </w:pPr>
            <w:r>
              <w:rPr>
                <w:sz w:val="18"/>
              </w:rPr>
              <w:t>0.6494</w:t>
            </w:r>
          </w:p>
        </w:tc>
        <w:tc>
          <w:tcPr>
            <w:tcW w:w="821" w:type="dxa"/>
            <w:tcBorders>
              <w:top w:val="single" w:color="000000" w:sz="3"/>
              <w:left w:val="single" w:color="000000" w:sz="3"/>
              <w:bottom w:val="single" w:color="000000" w:sz="3"/>
              <w:right w:val="none" w:color="000000" w:sz="3"/>
            </w:tcBorders>
            <w:vAlign w:val="center"/>
          </w:tcPr>
          <w:p>
            <w:pPr>
              <w:pStyle w:val="0"/>
              <w:widowControl w:val="off"/>
              <w:snapToGrid w:val="off"/>
              <w:jc w:val="center"/>
            </w:pPr>
            <w:r>
              <w:rPr>
                <w:sz w:val="18"/>
              </w:rPr>
              <w:t>0.7157</w:t>
            </w:r>
          </w:p>
        </w:tc>
      </w:tr>
      <w:tr>
        <w:trPr>
          <w:trHeight w:val="236"/>
        </w:trPr>
        <w:tc>
          <w:tcPr>
            <w:tcW w:w="2103" w:type="dxa"/>
            <w:tcBorders>
              <w:top w:val="single" w:color="000000" w:sz="3"/>
              <w:left w:val="none" w:color="000000" w:sz="3"/>
              <w:bottom w:val="single" w:color="000000" w:sz="11"/>
              <w:right w:val="single" w:color="000000" w:sz="3"/>
            </w:tcBorders>
            <w:vAlign w:val="center"/>
          </w:tcPr>
          <w:p>
            <w:pPr>
              <w:pStyle w:val="47"/>
              <w:widowControl w:val="off"/>
              <w:jc w:val="center"/>
            </w:pPr>
            <w:r>
              <w:rPr>
                <w:rFonts w:ascii="Times New Roman"/>
                <w:sz w:val="16"/>
              </w:rPr>
              <w:t>MICE/SMOTE/FPR/RF</w:t>
            </w:r>
          </w:p>
        </w:tc>
        <w:tc>
          <w:tcPr>
            <w:tcW w:w="821" w:type="dxa"/>
            <w:tcBorders>
              <w:top w:val="single" w:color="000000" w:sz="3"/>
              <w:left w:val="single" w:color="000000" w:sz="3"/>
              <w:bottom w:val="single" w:color="000000" w:sz="11"/>
              <w:right w:val="single" w:color="000000" w:sz="3"/>
            </w:tcBorders>
            <w:vAlign w:val="center"/>
          </w:tcPr>
          <w:p>
            <w:pPr>
              <w:pStyle w:val="0"/>
              <w:widowControl w:val="off"/>
              <w:snapToGrid w:val="off"/>
              <w:jc w:val="center"/>
            </w:pPr>
            <w:r>
              <w:rPr>
                <w:sz w:val="18"/>
              </w:rPr>
              <w:t>0.3659</w:t>
            </w:r>
          </w:p>
        </w:tc>
        <w:tc>
          <w:tcPr>
            <w:tcW w:w="821" w:type="dxa"/>
            <w:tcBorders>
              <w:top w:val="single" w:color="000000" w:sz="3"/>
              <w:left w:val="single" w:color="000000" w:sz="3"/>
              <w:bottom w:val="single" w:color="000000" w:sz="11"/>
              <w:right w:val="single" w:color="000000" w:sz="3"/>
            </w:tcBorders>
            <w:vAlign w:val="center"/>
          </w:tcPr>
          <w:p>
            <w:pPr>
              <w:pStyle w:val="0"/>
              <w:widowControl w:val="off"/>
              <w:snapToGrid w:val="off"/>
              <w:jc w:val="center"/>
            </w:pPr>
            <w:r>
              <w:rPr>
                <w:sz w:val="18"/>
              </w:rPr>
              <w:t>0.6949</w:t>
            </w:r>
          </w:p>
        </w:tc>
        <w:tc>
          <w:tcPr>
            <w:tcW w:w="821" w:type="dxa"/>
            <w:tcBorders>
              <w:top w:val="single" w:color="000000" w:sz="3"/>
              <w:left w:val="single" w:color="000000" w:sz="3"/>
              <w:bottom w:val="single" w:color="000000" w:sz="11"/>
              <w:right w:val="none" w:color="000000" w:sz="3"/>
            </w:tcBorders>
            <w:vAlign w:val="center"/>
          </w:tcPr>
          <w:p>
            <w:pPr>
              <w:pStyle w:val="0"/>
              <w:widowControl w:val="off"/>
              <w:snapToGrid w:val="off"/>
              <w:jc w:val="center"/>
            </w:pPr>
            <w:r>
              <w:rPr>
                <w:sz w:val="18"/>
              </w:rPr>
              <w:t>0.6740</w:t>
            </w:r>
          </w:p>
        </w:tc>
      </w:tr>
    </w:tbl>
    <w:p>
      <w:pPr>
        <w:pStyle w:val="47"/>
        <w:widowControl w:val="off"/>
      </w:pPr>
    </w:p>
    <w:p>
      <w:pPr>
        <w:pStyle w:val="47"/>
        <w:widowControl w:val="off"/>
        <w:rPr>
          <w:rFonts w:ascii="한양신명조" w:eastAsia="한양신명조"/>
          <w:color w:val="000000"/>
        </w:rPr>
      </w:pPr>
    </w:p>
    <w:p>
      <w:pPr>
        <w:pStyle w:val="47"/>
        <w:widowControl w:val="off"/>
      </w:pPr>
      <w:r>
        <w:rPr>
          <w:rFonts w:ascii="한양신명조" w:eastAsia="한양신명조"/>
        </w:rPr>
        <w:t xml:space="preserve"> 최종 추천 파이프라인 조합들은 생존 파이프라인 중 F2-score 기준 상위권 성능을 기록한 조합들로 구성되었다. MICE / Raw / Mutual Information / RF 조합은 전체 조합 중 가장 높은 F2-score를 기록하여 전반적인 불량 검출 성능 측면에서 가장 우수한 결과를 보였다. 반면 Mean_M / SMOTE / FPR / HGB 조합은 결측지시변수 추가 효과가 비교적 뚜렷하게 관찰된 대표 사례였다. 해당 조합은 결측지시변수를 사용하지 않은 동일 조건의 조합과 비교하여 Recall 성능 저하 없이 TNR과 F2-score가 동시에 향상되었다는 점에서 의미가 있었다. 또한 MICE / SMOTE / FPR / RF 조합은 세 조합 중 가장 높은 Recall 성능을 기록하였다. 해당 조합은 불량 샘플 검출 측면에서 비교적 우수한 성능을 보였다.</w:t>
      </w:r>
    </w:p>
    <w:p>
      <w:pPr>
        <w:pStyle w:val="47"/>
        <w:widowControl w:val="off"/>
        <w:rPr>
          <w:rFonts w:ascii="한양신명조" w:eastAsia="한양신명조"/>
          <w:color w:val="000000"/>
        </w:rPr>
      </w:pPr>
    </w:p>
    <w:p>
      <w:pPr>
        <w:pStyle w:val="47"/>
        <w:widowControl w:val="off"/>
      </w:pPr>
      <w:r>
        <w:rPr>
          <w:rFonts w:ascii="한양신명조"/>
          <w:b/>
        </w:rPr>
        <w:t xml:space="preserve"> 4.8 </w:t>
      </w:r>
      <w:r>
        <w:rPr>
          <w:rFonts w:ascii="한양신명조" w:eastAsia="한양신명조"/>
          <w:b/>
          <w:color w:val="ff0000"/>
        </w:rPr>
        <w:t>M_only 기반 결측 패턴 효과 분석</w:t>
      </w:r>
    </w:p>
    <w:p>
      <w:pPr>
        <w:pStyle w:val="47"/>
        <w:widowControl w:val="off"/>
      </w:pPr>
      <w:r>
        <w:rPr>
          <w:rFonts w:ascii="한양신명조"/>
        </w:rPr>
        <w:t xml:space="preserve"> </w:t>
      </w:r>
    </w:p>
    <w:p>
      <w:pPr>
        <w:pStyle w:val="47"/>
        <w:widowControl w:val="off"/>
      </w:pPr>
      <w:r>
        <w:rPr>
          <w:rFonts w:ascii="한양신명조" w:eastAsia="한양신명조"/>
        </w:rPr>
        <w:t xml:space="preserve"> 원본 특성을 제외하고 결측지시변수만 사용하였을 때의 불량 검출 성능을 분석하여, 결측 발생 패턴 자체가 공정 이상과 관련된 정보를 포함하고 있는지 확인하고자 하였다. 전체 137개의 생존 파이프라인 조합 중 결측지시변수만 사용한 조합은 총 15개로 확인되었다. 이는 전체 생존 조합의 약 10.95%에 해당한다. 또한 결측지시변수만 사용한 조합 중 최고 성능을 기록한 조합은 전체 파이프라인 순위 기준 약 상위 50.5% 수준에 해당하였다. 이는 원본 특성 없이 결측 여부 정보만 사용하였음에도 일부 조합에서 일정 수준 이상의 불량 검출 성능이 가능했음을 의미한다. 결측지시변수만 사용한 생존 파이프라인 조합 15개를 분석한 결과, 모든 조합에서 균형화 기법을 적용하지 않은 Raw 조건만 관찰되었다. 이는 결측 패턴만으로도 합성 오버샘플링을 적용하지 않은 상태에서 Recall과 TNR 기준을 만족하는 조합이 존재했음을 보여준다. 특성 선택 측면에선 </w:t>
      </w:r>
      <m:oMath>
        <m:sSup>
          <m:sSupPr>
            <m:ctrlpr>
              <m:rPr>
                <m:sty m:val="p"/>
              </m:rPr>
              <w:rPr>
                <w:rFonts w:ascii="Cambria Math" w:hAnsi="Cambria Math"/>
              </w:rPr>
            </m:ctrlpr>
          </m:sSupPr>
          <m:e>
            <m:r>
              <m:rPr>
                <m:sty m:val="p"/>
              </m:rPr>
              <w:rPr>
                <w:rFonts w:ascii="Cambria Math" w:hAnsi="Cambria Math"/>
              </w:rPr>
              <m:t>χ</m:t>
            </m:r>
          </m:e>
          <m:sup>
            <m:r>
              <m:rPr>
                <m:sty m:val="p"/>
              </m:rPr>
              <w:rPr>
                <w:rFonts w:ascii="Cambria Math" w:hAnsi="Cambria Math"/>
              </w:rPr>
              <m:t>2</m:t>
            </m:r>
          </m:sup>
        </m:sSup>
      </m:oMath>
      <w:r>
        <w:rPr>
          <w:rFonts w:ascii="한양신명조" w:eastAsia="한양신명조"/>
        </w:rPr>
        <w:t>, f_classif, FPR이 각각 5회씩 동일하게 등장하였다. 즉 특정 특성 선택 기법이 압도적으로 우세하게 나타나지는 않았으며, 여러 단일변수 기반 선택 기법에서 유사한 수준의 생존 조합이 확인되었다.</w:t>
      </w:r>
    </w:p>
    <w:p>
      <w:pPr>
        <w:pStyle w:val="47"/>
        <w:widowControl w:val="off"/>
        <w:rPr>
          <w:rFonts w:ascii="한양신명조" w:eastAsia="한양신명조"/>
          <w:color w:val="000000"/>
        </w:rPr>
      </w:pPr>
    </w:p>
    <w:p>
      <w:pPr>
        <w:pStyle w:val="47"/>
        <w:widowControl w:val="off"/>
        <w:wordWrap w:val="1"/>
        <w:jc w:val="center"/>
      </w:pPr>
      <w:r>
        <w:rPr>
          <w:rFonts w:ascii="한양신명조"/>
          <w:b/>
        </w:rPr>
        <w:t>&lt;Figure 3&gt;</w:t>
      </w:r>
      <w:r>
        <w:rPr>
          <w:rFonts w:ascii="한양신명조"/>
        </w:rPr>
        <w:t xml:space="preserve"> Feature Selection Distribution in Surviving M_only Pipelines</w:t>
      </w:r>
    </w:p>
    <w:p>
      <w:pPr>
        <w:pStyle w:val="47"/>
        <w:widowControl w:val="off"/>
      </w:pPr>
      <w:r>
        <w:drawing>
          <wp:inline distT="0" distB="0" distL="0" distR="0">
            <wp:extent cx="2870835" cy="1722501"/>
            <wp:effectExtent l="0" t="0" r="0" b="0"/>
            <wp:docPr id="3" name="그림 %d 3"/>
            <wp:cNvGraphicFramePr/>
            <a:graphic>
              <a:graphicData uri="http://schemas.openxmlformats.org/drawingml/2006/picture">
                <pic:pic>
                  <pic:nvPicPr>
                    <pic:cNvPr id="0" name="C:\Users\지명근\AppData\Local\Temp\Hnc\BinData\EMB000057e0520b.bmp"/>
                    <pic:cNvPicPr/>
                  </pic:nvPicPr>
                  <pic:blipFill>
                    <a:blip r:embed="rId3"/>
                    <a:stretch>
                      <a:fillRect/>
                    </a:stretch>
                  </pic:blipFill>
                  <pic:spPr>
                    <a:xfrm>
                      <a:off x="0" y="0"/>
                      <a:ext cx="2870835" cy="1722501"/>
                    </a:xfrm>
                    <a:prstGeom prst="rect">
                      <a:avLst/>
                    </a:prstGeom>
                    <a:effectLst/>
                  </pic:spPr>
                </pic:pic>
              </a:graphicData>
            </a:graphic>
          </wp:inline>
        </w:drawing>
      </w:r>
    </w:p>
    <w:p>
      <w:pPr>
        <w:pStyle w:val="47"/>
        <w:widowControl w:val="off"/>
        <w:rPr>
          <w:rFonts w:ascii="한양신명조" w:eastAsia="한양신명조"/>
          <w:color w:val="000000"/>
        </w:rPr>
      </w:pPr>
    </w:p>
    <w:p>
      <w:pPr>
        <w:pStyle w:val="47"/>
        <w:widowControl w:val="off"/>
      </w:pPr>
      <w:r>
        <w:rPr>
          <w:rFonts w:ascii="한양신명조" w:eastAsia="한양신명조"/>
        </w:rPr>
        <w:t xml:space="preserve"> 모델 측면에서도 XGBoost, 로지스틱 회귀, KNN, HGB, RF가 각각 3회씩 동일하게 등장하였다. 결측지시변수만 사용한 생존 파이프라인은 특정 모델 하나에 집중되지 않고 다양한 모델 환경에서 비교적 고르게 관찰되었음을 확인할 수 있다.</w:t>
      </w:r>
    </w:p>
    <w:p>
      <w:pPr>
        <w:pStyle w:val="47"/>
        <w:widowControl w:val="off"/>
        <w:rPr>
          <w:rFonts w:ascii="한양신명조" w:eastAsia="한양신명조"/>
          <w:color w:val="000000"/>
        </w:rPr>
      </w:pPr>
    </w:p>
    <w:p>
      <w:pPr>
        <w:pStyle w:val="47"/>
        <w:widowControl w:val="off"/>
        <w:wordWrap w:val="1"/>
        <w:jc w:val="center"/>
      </w:pPr>
      <w:r>
        <w:rPr>
          <w:rFonts w:ascii="한양신명조"/>
          <w:b/>
        </w:rPr>
        <w:t>&lt;Figure 4&gt;</w:t>
      </w:r>
      <w:r>
        <w:rPr>
          <w:rFonts w:ascii="한양신명조"/>
        </w:rPr>
        <w:t xml:space="preserve"> Model Distribution in Surviving M_only Pipelines</w:t>
      </w:r>
    </w:p>
    <w:p>
      <w:pPr>
        <w:pStyle w:val="47"/>
        <w:widowControl w:val="off"/>
      </w:pPr>
      <w:r>
        <w:drawing>
          <wp:inline distT="0" distB="0" distL="0" distR="0">
            <wp:extent cx="2780665" cy="1665605"/>
            <wp:effectExtent l="0" t="0" r="0" b="0"/>
            <wp:docPr id="4" name="그림 %d 4"/>
            <wp:cNvGraphicFramePr/>
            <a:graphic>
              <a:graphicData uri="http://schemas.openxmlformats.org/drawingml/2006/picture">
                <pic:pic>
                  <pic:nvPicPr>
                    <pic:cNvPr id="0" name="C:\Users\지명근\AppData\Local\Temp\Hnc\BinData\EMB000057e0520c.bmp"/>
                    <pic:cNvPicPr/>
                  </pic:nvPicPr>
                  <pic:blipFill>
                    <a:blip r:embed="rId4"/>
                    <a:stretch>
                      <a:fillRect/>
                    </a:stretch>
                  </pic:blipFill>
                  <pic:spPr>
                    <a:xfrm>
                      <a:off x="0" y="0"/>
                      <a:ext cx="2780665" cy="1665605"/>
                    </a:xfrm>
                    <a:prstGeom prst="rect">
                      <a:avLst/>
                    </a:prstGeom>
                    <a:effectLst/>
                  </pic:spPr>
                </pic:pic>
              </a:graphicData>
            </a:graphic>
          </wp:inline>
        </w:drawing>
      </w:r>
    </w:p>
    <w:p>
      <w:pPr>
        <w:pStyle w:val="47"/>
        <w:widowControl w:val="off"/>
        <w:rPr>
          <w:rFonts w:ascii="한양신명조" w:eastAsia="한양신명조"/>
          <w:color w:val="000000"/>
        </w:rPr>
      </w:pPr>
    </w:p>
    <w:p>
      <w:pPr>
        <w:pStyle w:val="47"/>
        <w:widowControl w:val="off"/>
      </w:pPr>
      <w:r>
        <w:rPr>
          <w:rFonts w:ascii="한양신명조" w:eastAsia="한양신명조"/>
        </w:rPr>
        <w:t xml:space="preserve"> 또한 성능 역시 특정 조합에서만 급격히 높아지기보다 비교적 안정적인 수준으로 분포하였다. 실제로 결측지시변수만 사용한 생존 파이프라인의 F2-score는 평균 0.2736 수준으로 나타났으며, 최</w:t>
      </w:r>
      <w:r>
        <w:drawing>
          <wp:anchor distT="0" distB="0" distL="0" distR="0" simplePos="0" relativeHeight="19" behindDoc="0" locked="0" layoutInCell="1" allowOverlap="1">
            <wp:simplePos x="0" y="0"/>
            <wp:positionH relativeFrom="column">
              <wp:posOffset>0</wp:posOffset>
            </wp:positionH>
            <wp:positionV relativeFrom="paragraph">
              <wp:posOffset>0</wp:posOffset>
            </wp:positionV>
            <wp:extent cx="6072759" cy="1665478"/>
            <wp:effectExtent l="0" t="0" r="0" b="0"/>
            <wp:wrapTopAndBottom/>
            <wp:docPr id="5" name="그림 %d 5"/>
            <wp:cNvGraphicFramePr/>
            <a:graphic>
              <a:graphicData uri="http://schemas.openxmlformats.org/drawingml/2006/picture">
                <pic:pic>
                  <pic:nvPicPr>
                    <pic:cNvPr id="0" name="C:\Users\지명근\AppData\Local\Temp\Hnc\BinData\EMB000057e0520d.png"/>
                    <pic:cNvPicPr/>
                  </pic:nvPicPr>
                  <pic:blipFill>
                    <a:blip r:embed="rId5"/>
                    <a:stretch>
                      <a:fillRect/>
                    </a:stretch>
                  </pic:blipFill>
                  <pic:spPr>
                    <a:xfrm>
                      <a:off x="0" y="0"/>
                      <a:ext cx="6072759" cy="1665478"/>
                    </a:xfrm>
                    <a:prstGeom prst="rect">
                      <a:avLst/>
                    </a:prstGeom>
                    <a:effectLst/>
                  </pic:spPr>
                </pic:pic>
              </a:graphicData>
            </a:graphic>
          </wp:anchor>
        </w:drawing>
        <w:rPr>
          <w:rFonts w:ascii="한양신명조" w:eastAsia="한양신명조"/>
        </w:rPr>
        <w:t>대값과 최소값 역시 각각 0.2752과 0.2703로 큰 차이를 보이지 않았다.</w:t>
      </w:r>
    </w:p>
    <w:p>
      <w:pPr>
        <w:pStyle w:val="47"/>
        <w:widowControl w:val="off"/>
        <w:wordWrap w:val="1"/>
        <w:jc w:val="center"/>
      </w:pPr>
      <w:r>
        <w:rPr>
          <w:rFonts w:ascii="한양신명조"/>
          <w:b/>
        </w:rPr>
        <w:t>&lt;Figure 5&gt;</w:t>
      </w:r>
      <w:r>
        <w:rPr>
          <w:rFonts w:ascii="한양신명조"/>
        </w:rPr>
        <w:t xml:space="preserve"> Supplementary Analysis and Key Findings</w:t>
      </w:r>
    </w:p>
    <w:p>
      <w:pPr>
        <w:pStyle w:val="47"/>
        <w:widowControl w:val="off"/>
        <w:wordWrap w:val="1"/>
        <w:jc w:val="center"/>
        <w:rPr>
          <w:rFonts w:ascii="한양신명조" w:eastAsia="한양신명조"/>
          <w:color w:val="000000"/>
        </w:rPr>
      </w:pPr>
    </w:p>
    <w:p>
      <w:pPr>
        <w:pStyle w:val="47"/>
        <w:widowControl w:val="off"/>
      </w:pPr>
      <w:r>
        <w:rPr>
          <w:rFonts w:ascii="한양신명조" w:eastAsia="한양신명조"/>
        </w:rPr>
        <w:t xml:space="preserve"> 종합적으로 결측지시변수만 사용한 조합은 전체 최고 성능 수준에는 도달하지 못하였으나, 원본 특성 없이 결측 여부 정보만 사용하였음에도 일부 조합에서 생존 파이프라인 조건을 만족하였다. 이는 단순 편향 분류기로는 달성할 수 없는 수준으로, 원 공정 변수 없이 결측 여부 정보만으로도 일정 수준의 분류 정보가 내포되어 있음을 시사한다. 또한 생존 조합이 특정 특성 선택 기법이나 특정 모델에 편중되지 않았다는 점에서, 결측 패턴 자체가 고장 검출에 활용 가능한 제한적인 보조 정보를 포함할 가능성을 시사한다. 따라서 결측지시변수만 사용한 경우는 독립적인 핵심 예측 변수로 사용되기에는 한계가 있으나, 기존 공정 변수와 함께 사용될 경우 고장 검출 성능을 보조하는 신호로 활용될 수 있다. 이상의 결측지시변수만 사용한 파이프라인의 분석 결과와 최종 추천 파이프라인의 핵심 결과는 &lt;Figure 5&gt;에 요약하였다.</w:t>
      </w:r>
    </w:p>
    <w:p>
      <w:pPr>
        <w:pStyle w:val="47"/>
        <w:widowControl w:val="off"/>
        <w:tabs>
          <w:tab w:val="left" w:leader="none" w:pos="938"/>
        </w:tabs>
      </w:pPr>
      <w:r>
        <w:rPr>
          <w:rFonts w:ascii="한양신명조"/>
          <w:b/>
        </w:rPr>
        <w:t xml:space="preserve"> </w:t>
      </w:r>
    </w:p>
    <w:p>
      <w:pPr>
        <w:pStyle w:val="47"/>
        <w:widowControl w:val="off"/>
        <w:tabs>
          <w:tab w:val="left" w:leader="none" w:pos="938"/>
        </w:tabs>
      </w:pPr>
      <w:r>
        <w:rPr>
          <w:rFonts w:ascii="한양신명조" w:eastAsia="한양신명조"/>
          <w:b/>
          <w:sz w:val="24"/>
        </w:rPr>
        <w:t>5. 결  론</w:t>
      </w:r>
    </w:p>
    <w:p>
      <w:pPr>
        <w:pStyle w:val="47"/>
        <w:widowControl w:val="off"/>
        <w:tabs>
          <w:tab w:val="left" w:leader="none" w:pos="938"/>
        </w:tabs>
        <w:rPr>
          <w:rFonts w:ascii="한양신명조" w:eastAsia="한양신명조"/>
          <w:color w:val="000000"/>
        </w:rPr>
      </w:pPr>
    </w:p>
    <w:p>
      <w:pPr>
        <w:pStyle w:val="47"/>
        <w:widowControl w:val="off"/>
        <w:tabs>
          <w:tab w:val="left" w:leader="none" w:pos="938"/>
        </w:tabs>
      </w:pPr>
      <w:r>
        <w:rPr>
          <w:rFonts w:ascii="한양신명조" w:eastAsia="한양신명조"/>
        </w:rPr>
        <w:t xml:space="preserve"> 결측치와 클래스 불균형이 동시에 존재하는 반도체 공정 데이터 환경에서 머신러닝 기반 불량 검출 성능을 분석하기 위해 다양한 파이프라인 조합을 비교·평가하였다. 이를 위해 결측치 대치 방법, 클래스 불균형 처리 적용 여부, 특성 선택 기법, 분류 모델을 조합한 총 924개의 파이프라인을 구성하였으며, SECOM 데이터셋을 기반으로 실험을 수행하였다.</w:t>
      </w:r>
    </w:p>
    <w:p>
      <w:pPr>
        <w:pStyle w:val="47"/>
        <w:widowControl w:val="off"/>
        <w:tabs>
          <w:tab w:val="left" w:leader="none" w:pos="938"/>
        </w:tabs>
      </w:pPr>
      <w:r>
        <w:rPr>
          <w:rFonts w:ascii="한양신명조" w:eastAsia="한양신명조"/>
        </w:rPr>
        <w:t xml:space="preserve"> 실험 결과 파이프라인 구성 요소에 따라 불량 검출 성능 차이가 크게 나타났으며, 특히 MICE 기반 대치, f_classif 및 FPR 기반 특성 선택, 그리고 RF 계열 조합이 비교적 안정적인 성능을 보였다. SMOTE는 Recall 및 F2-score를 일부 향상시키는 경향을 나타냈으나, 그 효과는 다른 전처리 및 모델 조합에 따라 달라지는 것으로 확인되었다. 또한, 결측 여부 자체를 나타내는 결측지시변수를 추가적으로 도입하여 결측 패턴의 정보적 활용 가능성을 분석하였다. 실험 결과, 결측지시변수는 모든 조합에서 일관된 성능 향상을 제공하지는 않았으나, 일부 조합에서는 Recall 저하 없이 TNR과 F2-score를 동시에 향상시키는 결과가 관찰되었다. 또한 결측지시변수만 사용한 조합에서도 제한적이나마 일정 수준 이상의 불량 검출 성능이 확인되었다. 이는 결측 정보가 단순한 노이즈가 아니라 특정 환경에서는 공정 이상과 관련된 보조적 신호로 활용될 수 있음을 시사한다.</w:t>
      </w:r>
    </w:p>
    <w:p>
      <w:pPr>
        <w:pStyle w:val="47"/>
        <w:widowControl w:val="off"/>
        <w:tabs>
          <w:tab w:val="left" w:leader="none" w:pos="938"/>
        </w:tabs>
      </w:pPr>
      <w:r>
        <w:rPr>
          <w:rFonts w:ascii="한양신명조" w:eastAsia="한양신명조"/>
        </w:rPr>
        <w:t xml:space="preserve"> 이 연구는 반도체 공정의 결측 및 불균형 환경에서 머신러닝 파이프라인 구성 요소들의 성능 특성을 체계적으로 비교·분석하고, 결측 패턴 자체의 활용 가능성을 실험적으로 검증함으로써 산업 공정 데이터 기반 불량 검출 연구에서 결측 정보 활용에 대한 기초적 방향성을 제시하였다는 점에서 의의를 가진다. 향후 연구에서는 실제 공정 환경에 보다 근접한 데이터셋을 활용한 외부 검증과 함께, 결측치를 별도로 대치하지 않고 결측 구조 자체를 모델이 직접 학습하는 접근으로의 확장을 고려할 수 있다. 최근 마스킹 기반 자기지도 학습 [3]이나 어텐션 기반의 비대치(no-imputation) 학습 기법 [1][16]은 결측을 복원 대상이 아닌 정보원으로 다루며, 확산 모델 기반 결측치 대치 기법 [20]은 결측 구조를 생성 모델링을 통해 학습한다는 점에서, 이 연구가 제시한 결측 지시변수의 활용 가능성과 직접적으로 맞닿아 있다. 이러한 방향은 결측 패턴이 내포한 공정 이상 신호를 보다 정교하게 포착하는 후속 연구로 이어질 수 있다.</w:t>
      </w:r>
    </w:p>
    <w:p>
      <w:pPr>
        <w:pStyle w:val="47"/>
        <w:widowControl w:val="off"/>
      </w:pPr>
      <w:r>
        <w:rPr>
          <w:rFonts w:ascii="한양신명조"/>
        </w:rPr>
        <w:t xml:space="preserve"> </w:t>
      </w:r>
    </w:p>
    <w:p>
      <w:pPr>
        <w:pStyle w:val="47"/>
        <w:widowControl w:val="off"/>
        <w:rPr/>
      </w:pPr>
    </w:p>
    <w:p>
      <w:pPr>
        <w:pStyle w:val="47"/>
        <w:widowControl w:val="off"/>
      </w:pPr>
      <w:r>
        <w:rPr>
          <w:rFonts w:ascii="한양신명조"/>
          <w:b/>
          <w:sz w:val="24"/>
        </w:rPr>
        <w:t>References</w:t>
      </w:r>
    </w:p>
    <w:p>
      <w:pPr>
        <w:pStyle w:val="47"/>
        <w:widowControl w:val="off"/>
      </w:pPr>
      <w:r>
        <w:rPr/>
        <w:t xml:space="preserve"> </w:t>
      </w:r>
    </w:p>
    <w:p>
      <w:pPr>
        <w:pStyle w:val="47"/>
        <w:widowControl w:val="off"/>
      </w:pPr>
      <w:r>
        <w:rPr>
          <w:rFonts w:ascii="한양신명조"/>
        </w:rPr>
        <w:t>[1] Chang et al.(2025), MFAN Learning on Missing Tabular Data: Attention with Self-Supervision, Not Imputation, is All You Need, ACM Transactions on Intelligent Systems and Technology, 16(3), Article 73</w:t>
      </w:r>
    </w:p>
    <w:p>
      <w:pPr>
        <w:pStyle w:val="47"/>
        <w:widowControl w:val="off"/>
      </w:pPr>
      <w:r>
        <w:rPr>
          <w:rFonts w:ascii="한양신명조"/>
        </w:rPr>
        <w:t>[2] Chawla, N.V., Bowyer, K.W., Hall, L.O. and Kegelmeyer, W.P.(2002), SMOTE: Synthetic Minority Over-sampling Technique, Journal of Artificial Intelligence Research, Vol.16, pp.321</w:t>
      </w:r>
      <w:r>
        <w:rPr>
          <w:rFonts w:ascii="한양신명조"/>
        </w:rPr>
        <w:t>–</w:t>
      </w:r>
      <w:r>
        <w:rPr>
          <w:rFonts w:ascii="한양신명조"/>
        </w:rPr>
        <w:t>357.</w:t>
      </w:r>
    </w:p>
    <w:p>
      <w:pPr>
        <w:pStyle w:val="47"/>
        <w:widowControl w:val="off"/>
      </w:pPr>
      <w:r>
        <w:rPr>
          <w:rFonts w:ascii="한양신명조"/>
        </w:rPr>
        <w:t xml:space="preserve">[3] Du et al.(2024), ReMasker: Imputing Tabular Data with Masked Autoencoding, arXiv: 2309.13793, </w:t>
      </w:r>
    </w:p>
    <w:p>
      <w:pPr>
        <w:pStyle w:val="47"/>
        <w:widowControl w:val="off"/>
      </w:pPr>
      <w:r>
        <w:rPr>
          <w:rFonts w:ascii="한양신명조"/>
        </w:rPr>
        <w:t>[4] Ehrig et al. (2025), Imputation and Missing Indicators for Handling Missing Longitudinal Data: Data Simulation Analysis Based on Electronic Health Record Data, JMIR Medical Informatics</w:t>
      </w:r>
    </w:p>
    <w:p>
      <w:pPr>
        <w:pStyle w:val="47"/>
        <w:widowControl w:val="off"/>
      </w:pPr>
      <w:r>
        <w:rPr>
          <w:rFonts w:ascii="한양신명조"/>
        </w:rPr>
        <w:t xml:space="preserve">[5] Farrag et al.(2024), Rare Class Prediction Model for Smart Industry in Semiconductor Manufacturing, arXiv preprint, arXiv:2406.04533, </w:t>
      </w:r>
    </w:p>
    <w:p>
      <w:pPr>
        <w:pStyle w:val="47"/>
        <w:widowControl w:val="off"/>
      </w:pPr>
      <w:r>
        <w:rPr>
          <w:rFonts w:ascii="한양신명조"/>
        </w:rPr>
        <w:t xml:space="preserve">[6] Le Morvan et al.(2025), Imputation for prediction: beware of diminishing returns, arXiv: 2407.19804, </w:t>
      </w:r>
    </w:p>
    <w:p>
      <w:pPr>
        <w:pStyle w:val="47"/>
        <w:widowControl w:val="off"/>
      </w:pPr>
      <w:r>
        <w:rPr>
          <w:rFonts w:ascii="한양신명조"/>
        </w:rPr>
        <w:t>[7] Lee et al.(2019), A data-driven approach to selection of critical process steps in the semiconductor manufacturing process considering missing and imbalanced data, Journal of Manufacturing Systems, Vol. 52, Part A, pp. 146</w:t>
      </w:r>
      <w:r>
        <w:rPr>
          <w:rFonts w:ascii="한양신명조"/>
        </w:rPr>
        <w:t>–</w:t>
      </w:r>
      <w:r>
        <w:rPr>
          <w:rFonts w:ascii="한양신명조"/>
        </w:rPr>
        <w:t>156</w:t>
      </w:r>
    </w:p>
    <w:p>
      <w:pPr>
        <w:pStyle w:val="47"/>
        <w:widowControl w:val="off"/>
      </w:pPr>
      <w:r>
        <w:rPr>
          <w:rFonts w:ascii="한양신명조"/>
        </w:rPr>
        <w:t>[8] McCann, M. and Johnston, A.(2008), SECOM Dataset: Data from a Semiconductor Manufacturing Process, UCI Machine Learning Repository</w:t>
      </w:r>
    </w:p>
    <w:p>
      <w:pPr>
        <w:pStyle w:val="47"/>
        <w:widowControl w:val="off"/>
      </w:pPr>
      <w:r>
        <w:rPr>
          <w:rFonts w:ascii="한양신명조"/>
        </w:rPr>
        <w:t>[9] Park et al.(2024), Study on Data Preprocessing for Machine Learning Based on Semiconductor Manufacturing Processes, Sensors, 24(17), 5461</w:t>
      </w:r>
    </w:p>
    <w:p>
      <w:pPr>
        <w:pStyle w:val="47"/>
        <w:widowControl w:val="off"/>
      </w:pPr>
      <w:r>
        <w:rPr>
          <w:rFonts w:ascii="한양신명조"/>
        </w:rPr>
        <w:t>[10] Paterakis et al.(2024), Do We Really Need Imputation in AutoML Predictive Modeling?, ACM Transactions on Knowledge Discovery from Data, 18(6)</w:t>
      </w:r>
    </w:p>
    <w:p>
      <w:pPr>
        <w:pStyle w:val="47"/>
        <w:widowControl w:val="off"/>
      </w:pPr>
      <w:r>
        <w:rPr>
          <w:rFonts w:ascii="한양신명조"/>
        </w:rPr>
        <w:t>[11] Pereira et al.(2024), Imputation of Data Missing Not at Random: Artificial Generation and Benchmark Analysis, Expert Systems with Applications, Vol. 249, Article 123654</w:t>
      </w:r>
    </w:p>
    <w:p>
      <w:pPr>
        <w:pStyle w:val="47"/>
        <w:widowControl w:val="off"/>
      </w:pPr>
      <w:r>
        <w:rPr>
          <w:rFonts w:ascii="한양신명조"/>
        </w:rPr>
        <w:t xml:space="preserve">[12] </w:t>
      </w:r>
      <w:r>
        <w:rPr>
          <w:rFonts w:ascii="한양신명조"/>
        </w:rPr>
        <w:t>Provost, F.(2000), Machine Learning from Imbalanced Data Sets 101, AAAI Workshop Papers 2000, Technical Report WS-00-05, pp. 1</w:t>
      </w:r>
      <w:r>
        <w:rPr/>
        <w:t>–</w:t>
      </w:r>
      <w:r>
        <w:rPr>
          <w:rFonts w:ascii="한양신명조"/>
        </w:rPr>
        <w:t>3.</w:t>
      </w:r>
    </w:p>
    <w:p>
      <w:pPr>
        <w:pStyle w:val="47"/>
        <w:widowControl w:val="off"/>
      </w:pPr>
      <w:r>
        <w:rPr>
          <w:rFonts w:ascii="한양신명조"/>
        </w:rPr>
        <w:t>[13] Rubin, D.B.(1976), Inference and Missing Data, Biometrika, Vol.63, No.3, pp.581</w:t>
      </w:r>
      <w:r>
        <w:rPr>
          <w:rFonts w:ascii="한양신명조"/>
        </w:rPr>
        <w:t>–</w:t>
      </w:r>
      <w:r>
        <w:rPr>
          <w:rFonts w:ascii="한양신명조"/>
        </w:rPr>
        <w:t>592.</w:t>
      </w:r>
    </w:p>
    <w:p>
      <w:pPr>
        <w:pStyle w:val="47"/>
        <w:widowControl w:val="off"/>
      </w:pPr>
      <w:r>
        <w:rPr>
          <w:rFonts w:ascii="한양신명조"/>
        </w:rPr>
        <w:t>[14] Saar-Tsechansky M. and Provost F.(2007), Handling Missing Values When Applying Classification Models, Journal of Machine Learning Research, Vol. 8, pp. 1625</w:t>
      </w:r>
      <w:r>
        <w:rPr>
          <w:rFonts w:ascii="한양신명조"/>
        </w:rPr>
        <w:t>–</w:t>
      </w:r>
      <w:r>
        <w:rPr>
          <w:rFonts w:ascii="한양신명조"/>
        </w:rPr>
        <w:t>1657.</w:t>
      </w:r>
    </w:p>
    <w:p>
      <w:pPr>
        <w:pStyle w:val="47"/>
        <w:widowControl w:val="off"/>
      </w:pPr>
      <w:r>
        <w:rPr>
          <w:rFonts w:ascii="한양신명조"/>
        </w:rPr>
        <w:t>[15] Salem, M., Taheri, S. and Yuan, J.S.(2018), An Experimental Evaluation of Fault Diagnosis from Imbalanced and Incomplete Data for Smart Semiconductor Manufacturing, Big Data and Cognitive Computing, Vol.2, No.4, Article 30.</w:t>
      </w:r>
    </w:p>
    <w:p>
      <w:pPr>
        <w:pStyle w:val="47"/>
        <w:widowControl w:val="off"/>
      </w:pPr>
      <w:r>
        <w:rPr>
          <w:rFonts w:ascii="한양신명조"/>
        </w:rPr>
        <w:t>[16] Samad et al.(2025), No Imputation of Missing Values in Tabular Data Classification Using Incremental Learning, arXiv preprint, arXiv:2504.14610</w:t>
      </w:r>
    </w:p>
    <w:p>
      <w:pPr>
        <w:pStyle w:val="47"/>
        <w:widowControl w:val="off"/>
      </w:pPr>
      <w:r>
        <w:rPr>
          <w:rFonts w:ascii="한양신명조"/>
        </w:rPr>
        <w:t>[17] Sperrin, M., Martin, G.P., Sisk, R. and Peek, N.(2020), Missing Data Should Be Handled Differently for Prediction Than for Description or Causal Explanation, Journal of Clinical Epidemiology, Vol. 125, pp. 183</w:t>
      </w:r>
      <w:r>
        <w:rPr>
          <w:rFonts w:ascii="한양신명조"/>
        </w:rPr>
        <w:t>–</w:t>
      </w:r>
      <w:r>
        <w:rPr>
          <w:rFonts w:ascii="한양신명조"/>
        </w:rPr>
        <w:t>187.</w:t>
      </w:r>
    </w:p>
    <w:p>
      <w:pPr>
        <w:pStyle w:val="47"/>
        <w:widowControl w:val="off"/>
      </w:pPr>
      <w:r>
        <w:rPr>
          <w:rFonts w:ascii="한양신명조"/>
        </w:rPr>
        <w:t>[18] Susto, G.A., Schirru, A., Pampuri, S., McLoone, S. and Beghi, A.(2015), Machine Learning for Predictive Maintenance: A Multiple Classifier Approach, IEEE Transactions on Industrial Informatics, Vol.11, No.3, pp.812</w:t>
      </w:r>
      <w:r>
        <w:rPr>
          <w:rFonts w:ascii="한양신명조"/>
        </w:rPr>
        <w:t>–</w:t>
      </w:r>
      <w:r>
        <w:rPr>
          <w:rFonts w:ascii="한양신명조"/>
        </w:rPr>
        <w:t>820.</w:t>
      </w:r>
    </w:p>
    <w:p>
      <w:pPr>
        <w:pStyle w:val="47"/>
        <w:widowControl w:val="off"/>
      </w:pPr>
      <w:r>
        <w:rPr>
          <w:rFonts w:ascii="한양신명조"/>
        </w:rPr>
        <w:t>[19] Van Ness, M., Bosschieter, T.M., Halpin-Gregorio, R. and Udell, M.(2022), The Missing Indicator Method: From Low to High Dimensions, arXiv preprint arXiv:2211.09259</w:t>
      </w:r>
    </w:p>
    <w:p>
      <w:pPr>
        <w:pStyle w:val="47"/>
        <w:widowControl w:val="off"/>
      </w:pPr>
      <w:r>
        <w:rPr>
          <w:rFonts w:ascii="한양신명조"/>
        </w:rPr>
        <w:t>[20] Zhang et al.(2025), DiffPuter: Empowering Diffusion Models for Missing Data Imputation, ICLR 2025 Spotlight, OpenReview</w:t>
      </w:r>
    </w:p>
    <w:sectPr>
      <w:footnotePr>
        <w:numFmt w:val="lowerRoman"/>
        <w:numRestart w:val="eachPage"/>
      </w:footnotePr>
      <w:endnotePr>
        <w:pos w:val="docEnd"/>
        <w:numFmt w:val="decimal"/>
        <w:numRestart w:val="continuous"/>
      </w:endnotePr>
      <w:pgSz w:w="11906" w:h="16838"/>
      <w:pgMar w:top="1417" w:right="1134" w:bottom="1417" w:left="1134" w:header="1417" w:footer="1417" w:gutter="0"/>
      <w:cols w:space="283" w:num="2"/>
      <w:type w:val="continuous"/>
    </w:sectPr>
  </w:body>
</w:document>
</file>

<file path=word/numbering.xml><?xml version="1.0" encoding="utf-8"?>
<w:numbering xmlns:r="http://schemas.openxmlformats.org/officeDocument/2006/relationships" xmlns:c="http://schemas.openxmlformats.org/drawingml/2006/chart" xmlns:a="http://schemas.openxmlformats.org/drawingml/2006/main" xmlns:pic="http://schemas.openxmlformats.org/drawingml/2006/picture" xmlns:wp="http://schemas.openxmlformats.org/drawingml/2006/wordprocessingDrawing" xmlns:w="http://schemas.openxmlformats.org/wordprocessingml/2006/main" xmlns:m="http://schemas.openxmlformats.org/officeDocument/2006/math" xmlns:v="urn:schemas-microsoft-com:vml" xmlns:o="urn:schemas-microsoft-com:office:office" xmlns:wvml="urn:schemas-microsoft-com:office:word">
  <w:abstractNum w:abstractNumId="228">
    <w:multiLevelType w:val="multilevel"/>
    <w:lvl w:ilvl="0">
      <w:start w:val="1"/>
      <w:numFmt w:val="decimal"/>
      <w:suff w:val="space"/>
      <w:lvlText w:val="%1."/>
      <w:lvlJc w:val="left"/>
      <w:pStyle w:val="28"/>
    </w:lvl>
    <w:lvl w:ilvl="1">
      <w:start w:val="1"/>
      <w:numFmt w:val="ganada"/>
      <w:suff w:val="space"/>
      <w:lvlText w:val="%2."/>
      <w:lvlJc w:val="left"/>
    </w:lvl>
    <w:lvl w:ilvl="2">
      <w:start w:val="1"/>
      <w:numFmt w:val="decimal"/>
      <w:suff w:val="space"/>
      <w:lvlText w:val="(%3)"/>
      <w:lvlJc w:val="left"/>
    </w:lvl>
    <w:lvl w:ilvl="3">
      <w:start w:val="1"/>
      <w:numFmt w:val="ganada"/>
      <w:suff w:val="space"/>
      <w:lvlText w:val="(%4)"/>
      <w:lvlJc w:val="left"/>
    </w:lvl>
    <w:lvl w:ilvl="4">
      <w:start w:val="1"/>
      <w:numFmt w:val="decimal"/>
      <w:suff w:val="space"/>
      <w:lvlText w:val="%5)"/>
      <w:lvlJc w:val="left"/>
    </w:lvl>
    <w:lvl w:ilvl="5">
      <w:start w:val="1"/>
      <w:numFmt w:val="ganada"/>
      <w:suff w:val="space"/>
      <w:lvlText w:val="%6)"/>
      <w:lvlJc w:val="left"/>
    </w:lvl>
    <w:lvl w:ilvl="6">
      <w:start w:val="1"/>
      <w:numFmt w:val="decimalEnclosedCircle"/>
      <w:suff w:val="space"/>
      <w:lvlText w:val="%7"/>
      <w:lvlJc w:val="left"/>
    </w:lvl>
    <w:lvl w:ilvl="7">
      <w:start w:val="1"/>
      <w:numFmt w:val="decimal"/>
      <w:suff w:val="nothing"/>
      <w:lvlText w:val=""/>
      <w:lvlJc w:val="left"/>
      <w:rPr>
        <w:rFonts w:ascii="바탕체" w:hAnsi="바탕체" w:eastAsia="바탕체"/>
        <w:b/>
        <w:color w:val="000000"/>
        <w:sz w:val="32"/>
      </w:rPr>
    </w:lvl>
    <w:lvl w:ilvl="8">
      <w:start w:val="1"/>
      <w:numFmt w:val="decimal"/>
      <w:suff w:val="nothing"/>
      <w:lvlText w:val=""/>
      <w:lvlJc w:val="left"/>
      <w:rPr>
        <w:rFonts w:ascii="바탕체" w:hAnsi="바탕체" w:eastAsia="바탕체"/>
        <w:b/>
        <w:color w:val="000000"/>
        <w:sz w:val="32"/>
      </w:rPr>
    </w:lvl>
  </w:abstractNum>
  <w:abstractNum w:abstractNumId="229">
    <w:multiLevelType w:val="multilevel"/>
    <w:lvl w:ilvl="0">
      <w:start w:val="1"/>
      <w:numFmt w:val="decimal"/>
      <w:suff w:val="space"/>
      <w:lvlText w:val="%1."/>
      <w:lvlJc w:val="left"/>
    </w:lvl>
    <w:lvl w:ilvl="1">
      <w:start w:val="1"/>
      <w:numFmt w:val="ganada"/>
      <w:suff w:val="space"/>
      <w:lvlText w:val="%2."/>
      <w:lvlJc w:val="left"/>
      <w:pStyle w:val="29"/>
    </w:lvl>
    <w:lvl w:ilvl="2">
      <w:start w:val="1"/>
      <w:numFmt w:val="decimal"/>
      <w:suff w:val="space"/>
      <w:lvlText w:val="(%3)"/>
      <w:lvlJc w:val="left"/>
    </w:lvl>
    <w:lvl w:ilvl="3">
      <w:start w:val="1"/>
      <w:numFmt w:val="ganada"/>
      <w:suff w:val="space"/>
      <w:lvlText w:val="(%4)"/>
      <w:lvlJc w:val="left"/>
    </w:lvl>
    <w:lvl w:ilvl="4">
      <w:start w:val="1"/>
      <w:numFmt w:val="decimal"/>
      <w:suff w:val="space"/>
      <w:lvlText w:val="%5)"/>
      <w:lvlJc w:val="left"/>
    </w:lvl>
    <w:lvl w:ilvl="5">
      <w:start w:val="1"/>
      <w:numFmt w:val="ganada"/>
      <w:suff w:val="space"/>
      <w:lvlText w:val="%6)"/>
      <w:lvlJc w:val="left"/>
    </w:lvl>
    <w:lvl w:ilvl="6">
      <w:start w:val="1"/>
      <w:numFmt w:val="decimalEnclosedCircle"/>
      <w:suff w:val="space"/>
      <w:lvlText w:val="%7"/>
      <w:lvlJc w:val="left"/>
    </w:lvl>
    <w:lvl w:ilvl="7">
      <w:start w:val="1"/>
      <w:numFmt w:val="decimal"/>
      <w:suff w:val="nothing"/>
      <w:lvlText w:val=""/>
      <w:lvlJc w:val="left"/>
      <w:rPr>
        <w:rFonts w:ascii="바탕체" w:hAnsi="바탕체" w:eastAsia="바탕체"/>
        <w:b/>
        <w:color w:val="000000"/>
        <w:sz w:val="32"/>
      </w:rPr>
    </w:lvl>
    <w:lvl w:ilvl="8">
      <w:start w:val="1"/>
      <w:numFmt w:val="decimal"/>
      <w:suff w:val="nothing"/>
      <w:lvlText w:val=""/>
      <w:lvlJc w:val="left"/>
      <w:rPr>
        <w:rFonts w:ascii="바탕체" w:hAnsi="바탕체" w:eastAsia="바탕체"/>
        <w:b/>
        <w:color w:val="000000"/>
        <w:sz w:val="32"/>
      </w:rPr>
    </w:lvl>
  </w:abstractNum>
  <w:abstractNum w:abstractNumId="249">
    <w:multiLevelType w:val="multilevel"/>
    <w:lvl w:ilvl="0">
      <w:start w:val="1"/>
      <w:numFmt w:val="decimal"/>
      <w:suff w:val="space"/>
      <w:lvlText w:val="%1."/>
      <w:lvlJc w:val="left"/>
    </w:lvl>
    <w:lvl w:ilvl="1">
      <w:start w:val="1"/>
      <w:numFmt w:val="ganada"/>
      <w:suff w:val="space"/>
      <w:lvlText w:val="%2."/>
      <w:lvlJc w:val="left"/>
      <w:pStyle w:val="49"/>
    </w:lvl>
    <w:lvl w:ilvl="2">
      <w:start w:val="1"/>
      <w:numFmt w:val="decimal"/>
      <w:suff w:val="space"/>
      <w:lvlText w:val="(%3)"/>
      <w:lvlJc w:val="left"/>
    </w:lvl>
    <w:lvl w:ilvl="3">
      <w:start w:val="1"/>
      <w:numFmt w:val="ganada"/>
      <w:suff w:val="space"/>
      <w:lvlText w:val="(%4)"/>
      <w:lvlJc w:val="left"/>
    </w:lvl>
    <w:lvl w:ilvl="4">
      <w:start w:val="1"/>
      <w:numFmt w:val="decimal"/>
      <w:suff w:val="space"/>
      <w:lvlText w:val="%5)"/>
      <w:lvlJc w:val="left"/>
    </w:lvl>
    <w:lvl w:ilvl="5">
      <w:start w:val="1"/>
      <w:numFmt w:val="ganada"/>
      <w:suff w:val="space"/>
      <w:lvlText w:val="%6)"/>
      <w:lvlJc w:val="left"/>
    </w:lvl>
    <w:lvl w:ilvl="6">
      <w:start w:val="1"/>
      <w:numFmt w:val="decimalEnclosedCircle"/>
      <w:suff w:val="space"/>
      <w:lvlText w:val="%7"/>
      <w:lvlJc w:val="left"/>
    </w:lvl>
    <w:lvl w:ilvl="7">
      <w:start w:val="1"/>
      <w:numFmt w:val="decimal"/>
      <w:suff w:val="nothing"/>
      <w:lvlText w:val=""/>
      <w:lvlJc w:val="left"/>
      <w:rPr>
        <w:rFonts w:ascii="바탕체" w:hAnsi="바탕체" w:eastAsia="바탕체"/>
        <w:b/>
        <w:color w:val="000000"/>
        <w:sz w:val="32"/>
      </w:rPr>
    </w:lvl>
    <w:lvl w:ilvl="8">
      <w:start w:val="1"/>
      <w:numFmt w:val="decimal"/>
      <w:suff w:val="nothing"/>
      <w:lvlText w:val=""/>
      <w:lvlJc w:val="left"/>
      <w:rPr>
        <w:rFonts w:ascii="바탕체" w:hAnsi="바탕체" w:eastAsia="바탕체"/>
        <w:b/>
        <w:color w:val="000000"/>
        <w:sz w:val="32"/>
      </w:rPr>
    </w:lvl>
  </w:abstractNum>
  <w:num w:numId="228">
    <w:abstractNumId w:val="228"/>
  </w:num>
  <w:num w:numId="229">
    <w:abstractNumId w:val="229"/>
  </w:num>
  <w:num w:numId="249">
    <w:abstractNumId w:val="249"/>
  </w:num>
</w:numbering>
</file>

<file path=word/settings.xml><?xml version="1.0" encoding="utf-8"?>
<w:settings xmlns:r="http://schemas.openxmlformats.org/officeDocument/2006/relationships" xmlns:c="http://schemas.openxmlformats.org/drawingml/2006/chart" xmlns:a="http://schemas.openxmlformats.org/drawingml/2006/main" xmlns:pic="http://schemas.openxmlformats.org/drawingml/2006/picture" xmlns:wp="http://schemas.openxmlformats.org/drawingml/2006/wordprocessingDrawing" xmlns:w="http://schemas.openxmlformats.org/wordprocessingml/2006/main" xmlns:m="http://schemas.openxmlformats.org/officeDocument/2006/math" xmlns:v="urn:schemas-microsoft-com:vml" xmlns:o="urn:schemas-microsoft-com:office:office" xmlns:wvml="urn:schemas-microsoft-com:office:word">
  <w:zoom w:percent="100"/>
  <w:bordersDoNotSurroundHeader/>
  <w:bordersDoNotSurroundFooter/>
  <w:stylePaneFormatFilter w:val="0001"/>
  <w:defaultTabStop w:val="800"/>
  <w:compat>
    <w:spaceForUL/>
    <w:balanceSingleByteDoubleByteWidth/>
    <w:doNotLeaveBackslashAlone/>
    <w:ulTrailSpace/>
    <w:doNotExpandShiftReturn/>
    <w:adjustLineHeightInTable/>
    <w:useFELayout/>
  </w:compat>
</w:settings>
</file>

<file path=word/styles.xml><?xml version="1.0" encoding="utf-8"?>
<w:styles xmlns:r="http://schemas.openxmlformats.org/officeDocument/2006/relationships" xmlns:c="http://schemas.openxmlformats.org/drawingml/2006/chart" xmlns:a="http://schemas.openxmlformats.org/drawingml/2006/main" xmlns:pic="http://schemas.openxmlformats.org/drawingml/2006/picture" xmlns:wp="http://schemas.openxmlformats.org/drawingml/2006/wordprocessingDrawing" xmlns:w="http://schemas.openxmlformats.org/wordprocessingml/2006/main" xmlns:m="http://schemas.openxmlformats.org/officeDocument/2006/math" xmlns:v="urn:schemas-microsoft-com:vml" xmlns:o="urn:schemas-microsoft-com:office:office" xmlns:wvml="urn:schemas-microsoft-com:office:word">
  <w:style w:type="paragraph" w:styleId="0" w:default="1">
    <w:name w:val="바탕글"/>
    <w:uiPriority w:val="0"/>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40" w:lineRule="auto"/>
      <w:ind w:left="0" w:right="0" w:firstLine="0"/>
      <w:jc w:val="both"/>
      <w:textAlignment w:val="baseline"/>
    </w:pPr>
    <w:rPr>
      <w:rFonts w:ascii="Times New Roman" w:eastAsia="한양신명조"/>
      <w:color w:val="000000"/>
      <w:spacing w:val="-5"/>
      <w:w w:val="95"/>
      <w:sz w:val="20"/>
    </w:rPr>
  </w:style>
  <w:style w:type="paragraph" w:styleId="1">
    <w:name w:val="1. 서론"/>
    <w:uiPriority w:val="1"/>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568" w:after="284" w:line="284" w:lineRule="exact"/>
      <w:ind w:left="325" w:right="0" w:hanging="325"/>
      <w:jc w:val="both"/>
      <w:textAlignment w:val="baseline"/>
    </w:pPr>
    <w:rPr>
      <w:rFonts w:ascii="HY견고딕" w:eastAsia="HY견고딕"/>
      <w:color w:val="000000"/>
      <w:spacing w:val="-6"/>
      <w:w w:val="95"/>
      <w:sz w:val="24"/>
    </w:rPr>
  </w:style>
  <w:style w:type="paragraph" w:styleId="2">
    <w:name w:val="1.1"/>
    <w:uiPriority w:val="2"/>
    <w:pPr>
      <w:widowControl w:val="off"/>
      <w:pBdr>
        <w:top w:val="none" w:color="000000" w:sz="2" w:space="0"/>
        <w:left w:val="none" w:color="000000" w:sz="2" w:space="0"/>
        <w:bottom w:val="none" w:color="000000" w:sz="2" w:space="0"/>
        <w:right w:val="none" w:color="000000" w:sz="2" w:space="0"/>
      </w:pBdr>
      <w:wordWrap w:val="1"/>
      <w:autoSpaceDE w:val="off"/>
      <w:autoSpaceDN w:val="off"/>
      <w:snapToGrid/>
      <w:spacing w:before="284" w:after="284" w:line="284" w:lineRule="exact"/>
      <w:ind w:left="325" w:right="0" w:hanging="325"/>
      <w:jc w:val="left"/>
      <w:textAlignment w:val="baseline"/>
    </w:pPr>
    <w:rPr>
      <w:rFonts w:ascii="굴림" w:eastAsia="굴림"/>
      <w:color w:val="000000"/>
      <w:spacing w:val="-5"/>
      <w:w w:val="95"/>
      <w:sz w:val="22"/>
    </w:rPr>
  </w:style>
  <w:style w:type="paragraph" w:styleId="3">
    <w:name w:val="1.1.1"/>
    <w:uiPriority w:val="3"/>
    <w:pPr>
      <w:widowControl w:val="off"/>
      <w:pBdr>
        <w:top w:val="none" w:color="000000" w:sz="2" w:space="0"/>
        <w:left w:val="none" w:color="000000" w:sz="2" w:space="0"/>
        <w:bottom w:val="none" w:color="000000" w:sz="2" w:space="0"/>
        <w:right w:val="none" w:color="000000" w:sz="2" w:space="0"/>
      </w:pBdr>
      <w:wordWrap w:val="1"/>
      <w:autoSpaceDE w:val="off"/>
      <w:autoSpaceDN w:val="off"/>
      <w:snapToGrid/>
      <w:spacing w:before="284" w:after="0" w:line="284" w:lineRule="exact"/>
      <w:ind w:left="239" w:right="0" w:hanging="239"/>
      <w:jc w:val="left"/>
      <w:textAlignment w:val="baseline"/>
    </w:pPr>
    <w:rPr>
      <w:rFonts w:ascii="HCI Tulip" w:eastAsia="굴림"/>
      <w:color w:val="000000"/>
      <w:spacing w:val="-5"/>
      <w:w w:val="95"/>
      <w:sz w:val="20"/>
    </w:rPr>
  </w:style>
  <w:style w:type="paragraph" w:styleId="4">
    <w:name w:val="(1)"/>
    <w:uiPriority w:val="4"/>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284" w:after="0" w:line="284" w:lineRule="exact"/>
      <w:ind w:left="0" w:right="0" w:firstLine="200"/>
      <w:jc w:val="both"/>
      <w:textAlignment w:val="baseline"/>
    </w:pPr>
    <w:rPr>
      <w:rFonts w:ascii="-윤고딕120" w:eastAsia="-윤고딕120"/>
      <w:color w:val="000000"/>
      <w:spacing w:val="-5"/>
      <w:w w:val="95"/>
      <w:sz w:val="20"/>
    </w:rPr>
  </w:style>
  <w:style w:type="paragraph" w:styleId="5">
    <w:name w:val="표안내용"/>
    <w:uiPriority w:val="5"/>
    <w:pPr>
      <w:widowControl w:val="off"/>
      <w:pBdr>
        <w:top w:val="none" w:color="000000" w:sz="2" w:space="0"/>
        <w:left w:val="none" w:color="000000" w:sz="2" w:space="0"/>
        <w:bottom w:val="none" w:color="000000" w:sz="2" w:space="0"/>
        <w:right w:val="none" w:color="000000" w:sz="2" w:space="0"/>
      </w:pBdr>
      <w:wordWrap w:val="1"/>
      <w:autoSpaceDE w:val="off"/>
      <w:autoSpaceDN w:val="off"/>
      <w:snapToGrid/>
      <w:spacing w:before="0" w:after="0" w:line="288" w:lineRule="auto"/>
      <w:ind w:left="0" w:right="0" w:firstLine="0"/>
      <w:jc w:val="center"/>
      <w:textAlignment w:val="baseline"/>
    </w:pPr>
    <w:rPr>
      <w:rFonts w:ascii="Times New Roman" w:eastAsia="한양신명조"/>
      <w:color w:val="000000"/>
      <w:spacing w:val="-4"/>
      <w:w w:val="95"/>
      <w:sz w:val="18"/>
    </w:rPr>
  </w:style>
  <w:style w:type="paragraph" w:styleId="6">
    <w:name w:val="표머리"/>
    <w:uiPriority w:val="6"/>
    <w:pPr>
      <w:widowControl w:val="off"/>
      <w:pBdr>
        <w:top w:val="none" w:color="000000" w:sz="2" w:space="0"/>
        <w:left w:val="none" w:color="000000" w:sz="2" w:space="0"/>
        <w:bottom w:val="none" w:color="000000" w:sz="2" w:space="0"/>
        <w:right w:val="none" w:color="000000" w:sz="2" w:space="0"/>
      </w:pBdr>
      <w:wordWrap w:val="1"/>
      <w:autoSpaceDE w:val="off"/>
      <w:autoSpaceDN w:val="off"/>
      <w:snapToGrid/>
      <w:spacing w:before="0" w:after="0" w:line="288" w:lineRule="auto"/>
      <w:ind w:left="0" w:right="0" w:firstLine="0"/>
      <w:jc w:val="center"/>
      <w:textAlignment w:val="baseline"/>
    </w:pPr>
    <w:rPr>
      <w:rFonts w:ascii="굴림" w:eastAsia="굴림"/>
      <w:color w:val="000000"/>
      <w:spacing w:val="-4"/>
      <w:w w:val="95"/>
      <w:sz w:val="18"/>
    </w:rPr>
  </w:style>
  <w:style w:type="paragraph" w:styleId="7">
    <w:name w:val="표타이틀"/>
    <w:uiPriority w:val="7"/>
    <w:pPr>
      <w:widowControl w:val="off"/>
      <w:pBdr>
        <w:top w:val="none" w:color="000000" w:sz="2" w:space="0"/>
        <w:left w:val="none" w:color="000000" w:sz="2" w:space="0"/>
        <w:bottom w:val="none" w:color="000000" w:sz="2" w:space="0"/>
        <w:right w:val="none" w:color="000000" w:sz="2" w:space="0"/>
      </w:pBdr>
      <w:wordWrap w:val="1"/>
      <w:autoSpaceDE w:val="off"/>
      <w:autoSpaceDN w:val="off"/>
      <w:snapToGrid/>
      <w:spacing w:before="284" w:after="142" w:line="340" w:lineRule="auto"/>
      <w:ind w:left="0" w:right="0" w:firstLine="0"/>
      <w:jc w:val="center"/>
      <w:textAlignment w:val="baseline"/>
    </w:pPr>
    <w:rPr>
      <w:rFonts w:ascii="굴림" w:eastAsia="굴림"/>
      <w:color w:val="000000"/>
      <w:spacing w:val="-4"/>
      <w:w w:val="95"/>
      <w:sz w:val="18"/>
    </w:rPr>
  </w:style>
  <w:style w:type="paragraph" w:styleId="8">
    <w:name w:val="그림-타이틀"/>
    <w:uiPriority w:val="8"/>
    <w:pPr>
      <w:widowControl w:val="off"/>
      <w:pBdr>
        <w:top w:val="none" w:color="000000" w:sz="2" w:space="0"/>
        <w:left w:val="none" w:color="000000" w:sz="2" w:space="0"/>
        <w:bottom w:val="none" w:color="000000" w:sz="2" w:space="0"/>
        <w:right w:val="none" w:color="000000" w:sz="2" w:space="0"/>
      </w:pBdr>
      <w:wordWrap w:val="1"/>
      <w:autoSpaceDE w:val="off"/>
      <w:autoSpaceDN w:val="off"/>
      <w:snapToGrid/>
      <w:spacing w:before="142" w:after="284" w:line="340" w:lineRule="auto"/>
      <w:ind w:left="0" w:right="0" w:firstLine="0"/>
      <w:jc w:val="center"/>
      <w:textAlignment w:val="baseline"/>
    </w:pPr>
    <w:rPr>
      <w:rFonts w:ascii="굴림" w:eastAsia="굴림"/>
      <w:color w:val="000000"/>
      <w:spacing w:val="-4"/>
      <w:w w:val="95"/>
      <w:sz w:val="18"/>
    </w:rPr>
  </w:style>
  <w:style w:type="paragraph" w:styleId="9">
    <w:name w:val="각주"/>
    <w:uiPriority w:val="9"/>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12" w:lineRule="auto"/>
      <w:ind w:left="226" w:right="0" w:hanging="226"/>
      <w:jc w:val="both"/>
      <w:textAlignment w:val="baseline"/>
    </w:pPr>
    <w:rPr>
      <w:rFonts w:ascii="Times New Roman" w:eastAsia="한양신명조"/>
      <w:color w:val="000000"/>
      <w:spacing w:val="-4"/>
      <w:w w:val="95"/>
      <w:sz w:val="18"/>
    </w:rPr>
  </w:style>
  <w:style w:type="paragraph" w:styleId="10">
    <w:name w:val="제목"/>
    <w:uiPriority w:val="10"/>
    <w:pPr>
      <w:widowControl w:val="off"/>
      <w:pBdr>
        <w:top w:val="none" w:color="000000" w:sz="2" w:space="0"/>
        <w:left w:val="none" w:color="000000" w:sz="2" w:space="0"/>
        <w:bottom w:val="none" w:color="000000" w:sz="2" w:space="0"/>
        <w:right w:val="none" w:color="000000" w:sz="2" w:space="0"/>
      </w:pBdr>
      <w:wordWrap w:val="1"/>
      <w:autoSpaceDE w:val="off"/>
      <w:autoSpaceDN w:val="off"/>
      <w:snapToGrid/>
      <w:spacing w:before="567" w:after="0" w:line="288" w:lineRule="auto"/>
      <w:ind w:left="0" w:right="0" w:firstLine="0"/>
      <w:jc w:val="center"/>
      <w:textAlignment w:val="baseline"/>
    </w:pPr>
    <w:rPr>
      <w:rFonts w:ascii="굴림" w:eastAsia="굴림"/>
      <w:color w:val="000000"/>
      <w:spacing w:val="-10"/>
      <w:w w:val="95"/>
      <w:sz w:val="40"/>
    </w:rPr>
  </w:style>
  <w:style w:type="paragraph" w:styleId="11">
    <w:name w:val="부제목"/>
    <w:uiPriority w:val="11"/>
    <w:pPr>
      <w:widowControl w:val="off"/>
      <w:pBdr>
        <w:top w:val="none" w:color="000000" w:sz="2" w:space="0"/>
        <w:left w:val="none" w:color="000000" w:sz="2" w:space="0"/>
        <w:bottom w:val="none" w:color="000000" w:sz="2" w:space="0"/>
        <w:right w:val="none" w:color="000000" w:sz="2" w:space="0"/>
      </w:pBdr>
      <w:wordWrap w:val="1"/>
      <w:autoSpaceDE w:val="off"/>
      <w:autoSpaceDN w:val="off"/>
      <w:snapToGrid/>
      <w:spacing w:before="100" w:after="0" w:line="360" w:lineRule="auto"/>
      <w:ind w:left="0" w:right="0" w:firstLine="0"/>
      <w:jc w:val="center"/>
      <w:textAlignment w:val="baseline"/>
    </w:pPr>
    <w:rPr>
      <w:rFonts w:ascii="HY울릉도L" w:eastAsia="HY울릉도L"/>
      <w:b/>
      <w:color w:val="000000"/>
      <w:spacing w:val="-6"/>
      <w:w w:val="95"/>
      <w:sz w:val="26"/>
    </w:rPr>
  </w:style>
  <w:style w:type="paragraph" w:styleId="12">
    <w:name w:val="수식"/>
    <w:uiPriority w:val="12"/>
    <w:pPr>
      <w:widowControl w:val="off"/>
      <w:pBdr>
        <w:top w:val="none" w:color="000000" w:sz="2" w:space="0"/>
        <w:left w:val="none" w:color="000000" w:sz="2" w:space="0"/>
        <w:bottom w:val="none" w:color="000000" w:sz="2" w:space="0"/>
        <w:right w:val="none" w:color="000000" w:sz="2" w:space="0"/>
      </w:pBdr>
      <w:tabs>
        <w:tab w:val="right" w:leader="middleDot" w:pos="4676"/>
      </w:tabs>
      <w:wordWrap w:val="0"/>
      <w:autoSpaceDE w:val="off"/>
      <w:autoSpaceDN w:val="off"/>
      <w:snapToGrid/>
      <w:spacing w:before="0" w:after="0" w:line="340" w:lineRule="auto"/>
      <w:ind w:left="300" w:right="0" w:firstLine="0"/>
      <w:jc w:val="both"/>
      <w:textAlignment w:val="baseline"/>
    </w:pPr>
    <w:rPr>
      <w:rFonts w:ascii="Times New Roman" w:eastAsia="한양신명조"/>
      <w:color w:val="000000"/>
      <w:spacing w:val="-5"/>
      <w:w w:val="95"/>
      <w:sz w:val="20"/>
    </w:rPr>
  </w:style>
  <w:style w:type="paragraph" w:styleId="13">
    <w:name w:val="이름 및 학과"/>
    <w:uiPriority w:val="13"/>
    <w:pPr>
      <w:widowControl w:val="off"/>
      <w:pBdr>
        <w:top w:val="none" w:color="000000" w:sz="2" w:space="0"/>
        <w:left w:val="none" w:color="000000" w:sz="2" w:space="0"/>
        <w:bottom w:val="none" w:color="000000" w:sz="2" w:space="0"/>
        <w:right w:val="none" w:color="000000" w:sz="2" w:space="0"/>
      </w:pBdr>
      <w:wordWrap w:val="1"/>
      <w:autoSpaceDE w:val="off"/>
      <w:autoSpaceDN w:val="off"/>
      <w:snapToGrid/>
      <w:spacing w:before="283" w:after="0" w:line="340" w:lineRule="auto"/>
      <w:ind w:left="0" w:right="0" w:firstLine="0"/>
      <w:jc w:val="center"/>
      <w:textAlignment w:val="baseline"/>
    </w:pPr>
    <w:rPr>
      <w:rFonts w:ascii="Times New Roman" w:eastAsia="한양신명조"/>
      <w:color w:val="000000"/>
      <w:spacing w:val="-5"/>
      <w:w w:val="95"/>
      <w:sz w:val="22"/>
    </w:rPr>
  </w:style>
  <w:style w:type="paragraph" w:styleId="14">
    <w:name w:val="제목-영문"/>
    <w:uiPriority w:val="14"/>
    <w:pPr>
      <w:widowControl w:val="off"/>
      <w:pBdr>
        <w:top w:val="none" w:color="000000" w:sz="2" w:space="0"/>
        <w:left w:val="none" w:color="000000" w:sz="2" w:space="0"/>
        <w:bottom w:val="none" w:color="000000" w:sz="2" w:space="0"/>
        <w:right w:val="none" w:color="000000" w:sz="2" w:space="0"/>
      </w:pBdr>
      <w:wordWrap w:val="1"/>
      <w:autoSpaceDE w:val="off"/>
      <w:autoSpaceDN w:val="off"/>
      <w:snapToGrid/>
      <w:spacing w:before="567" w:after="0" w:line="288" w:lineRule="auto"/>
      <w:ind w:left="0" w:right="0" w:firstLine="0"/>
      <w:jc w:val="center"/>
      <w:textAlignment w:val="baseline"/>
    </w:pPr>
    <w:rPr>
      <w:rFonts w:ascii="굴림" w:eastAsia="굴림"/>
      <w:color w:val="000000"/>
      <w:spacing w:val="-10"/>
      <w:w w:val="95"/>
      <w:sz w:val="40"/>
    </w:rPr>
  </w:style>
  <w:style w:type="paragraph" w:styleId="15">
    <w:name w:val="Keyword"/>
    <w:uiPriority w:val="15"/>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60" w:line="340" w:lineRule="auto"/>
      <w:ind w:left="1050" w:right="0" w:hanging="1050"/>
      <w:jc w:val="both"/>
      <w:textAlignment w:val="baseline"/>
    </w:pPr>
    <w:rPr>
      <w:rFonts w:ascii="Times New Roman" w:eastAsia="한양신명조"/>
      <w:color w:val="000000"/>
      <w:spacing w:val="-5"/>
      <w:w w:val="95"/>
      <w:sz w:val="20"/>
    </w:rPr>
  </w:style>
  <w:style w:type="paragraph" w:styleId="16">
    <w:name w:val="쪽 번호"/>
    <w:uiPriority w:val="16"/>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84" w:lineRule="auto"/>
      <w:ind w:left="0" w:right="0" w:firstLine="0"/>
      <w:jc w:val="both"/>
      <w:textAlignment w:val="baseline"/>
    </w:pPr>
    <w:rPr>
      <w:rFonts w:ascii="HCI Tulip" w:eastAsia="한양신명조"/>
      <w:color w:val="000000"/>
      <w:sz w:val="20"/>
    </w:rPr>
  </w:style>
  <w:style w:type="paragraph" w:styleId="17">
    <w:name w:val="머리말"/>
    <w:uiPriority w:val="17"/>
    <w:pPr>
      <w:widowControl w:val="off"/>
      <w:pBdr>
        <w:top w:val="none" w:color="000000" w:sz="2" w:space="0"/>
        <w:left w:val="none" w:color="000000" w:sz="2" w:space="0"/>
        <w:bottom w:val="none" w:color="000000" w:sz="2" w:space="0"/>
        <w:right w:val="none" w:color="000000" w:sz="2" w:space="0"/>
      </w:pBdr>
      <w:tabs>
        <w:tab w:val="left" w:leader="none" w:pos="0"/>
      </w:tabs>
      <w:wordWrap w:val="1"/>
      <w:autoSpaceDE w:val="off"/>
      <w:autoSpaceDN w:val="off"/>
      <w:snapToGrid/>
      <w:spacing w:before="0" w:after="0" w:line="340" w:lineRule="auto"/>
      <w:ind w:left="0" w:right="0" w:firstLine="0"/>
      <w:jc w:val="center"/>
      <w:textAlignment w:val="baseline"/>
    </w:pPr>
    <w:rPr>
      <w:rFonts w:ascii="HY울릉도L" w:eastAsia="HY울릉도L"/>
      <w:color w:val="000000"/>
      <w:spacing w:val="-4"/>
      <w:w w:val="95"/>
      <w:sz w:val="18"/>
    </w:rPr>
  </w:style>
  <w:style w:type="paragraph" w:styleId="18">
    <w:name w:val="선그리기"/>
    <w:uiPriority w:val="18"/>
    <w:pPr>
      <w:widowControl w:val="off"/>
      <w:pBdr>
        <w:top w:val="none" w:color="000000" w:sz="2" w:space="0"/>
        <w:left w:val="none" w:color="000000" w:sz="2" w:space="0"/>
        <w:bottom w:val="none" w:color="000000" w:sz="2" w:space="0"/>
        <w:right w:val="none" w:color="000000" w:sz="2" w:space="0"/>
      </w:pBdr>
      <w:wordWrap w:val="0"/>
      <w:autoSpaceDE w:val="off"/>
      <w:autoSpaceDN w:val="off"/>
      <w:snapToGrid w:val="off"/>
      <w:spacing w:before="0" w:after="0" w:line="384" w:lineRule="auto"/>
      <w:ind w:left="0" w:right="0" w:firstLine="0"/>
      <w:jc w:val="both"/>
      <w:textAlignment w:val="baseline"/>
    </w:pPr>
    <w:rPr>
      <w:rFonts w:ascii="산세리프" w:eastAsia="한양신명조"/>
      <w:color w:val="000000"/>
      <w:sz w:val="20"/>
    </w:rPr>
  </w:style>
  <w:style w:type="paragraph" w:styleId="19">
    <w:name w:val="주"/>
    <w:uiPriority w:val="19"/>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40" w:lineRule="auto"/>
      <w:ind w:left="0" w:right="0" w:firstLine="0"/>
      <w:jc w:val="both"/>
      <w:textAlignment w:val="baseline"/>
    </w:pPr>
    <w:rPr>
      <w:rFonts w:ascii="Times New Roman" w:eastAsia="한양신명조"/>
      <w:color w:val="000000"/>
      <w:spacing w:val="-4"/>
      <w:w w:val="95"/>
      <w:sz w:val="18"/>
    </w:rPr>
  </w:style>
  <w:style w:type="paragraph" w:styleId="20">
    <w:name w:val="참고문헌내용"/>
    <w:uiPriority w:val="20"/>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40" w:lineRule="auto"/>
      <w:ind w:left="394" w:right="0" w:hanging="394"/>
      <w:jc w:val="both"/>
      <w:textAlignment w:val="baseline"/>
    </w:pPr>
    <w:rPr>
      <w:rFonts w:ascii="Times New Roman" w:eastAsia="한양신명조"/>
      <w:color w:val="000000"/>
      <w:spacing w:val="-5"/>
      <w:w w:val="95"/>
      <w:sz w:val="20"/>
    </w:rPr>
  </w:style>
  <w:style w:type="character" w:styleId="21">
    <w:name w:val="Keywords"/>
    <w:uiPriority w:val="21"/>
    <w:rPr>
      <w:rFonts w:ascii="-윤고딕130" w:eastAsia="-윤고딕130"/>
      <w:color w:val="000000"/>
      <w:spacing w:val="-5"/>
      <w:w w:val="95"/>
      <w:sz w:val="20"/>
    </w:rPr>
  </w:style>
  <w:style w:type="paragraph" w:styleId="22">
    <w:name w:val="이름(한)"/>
    <w:uiPriority w:val="22"/>
    <w:pPr>
      <w:widowControl w:val="off"/>
      <w:pBdr>
        <w:top w:val="none" w:color="000000" w:sz="2" w:space="0"/>
        <w:left w:val="none" w:color="000000" w:sz="2" w:space="0"/>
        <w:bottom w:val="none" w:color="000000" w:sz="2" w:space="0"/>
        <w:right w:val="none" w:color="000000" w:sz="2" w:space="0"/>
      </w:pBdr>
      <w:wordWrap w:val="1"/>
      <w:autoSpaceDE w:val="off"/>
      <w:autoSpaceDN w:val="off"/>
      <w:snapToGrid/>
      <w:spacing w:before="283" w:after="0" w:line="340" w:lineRule="auto"/>
      <w:ind w:left="0" w:right="0" w:firstLine="0"/>
      <w:jc w:val="center"/>
      <w:textAlignment w:val="baseline"/>
    </w:pPr>
    <w:rPr>
      <w:rFonts w:ascii="Times New Roman" w:eastAsia="한양신명조"/>
      <w:color w:val="000000"/>
      <w:spacing w:val="-5"/>
      <w:w w:val="95"/>
      <w:sz w:val="22"/>
    </w:rPr>
  </w:style>
  <w:style w:type="paragraph" w:styleId="23">
    <w:name w:val="이름(영)"/>
    <w:uiPriority w:val="23"/>
    <w:pPr>
      <w:widowControl w:val="off"/>
      <w:pBdr>
        <w:top w:val="none" w:color="000000" w:sz="2" w:space="0"/>
        <w:left w:val="none" w:color="000000" w:sz="2" w:space="0"/>
        <w:bottom w:val="none" w:color="000000" w:sz="2" w:space="0"/>
        <w:right w:val="none" w:color="000000" w:sz="2" w:space="0"/>
      </w:pBdr>
      <w:wordWrap w:val="1"/>
      <w:autoSpaceDE w:val="off"/>
      <w:autoSpaceDN w:val="off"/>
      <w:snapToGrid/>
      <w:spacing w:before="283" w:after="0" w:line="340" w:lineRule="auto"/>
      <w:ind w:left="0" w:right="0" w:firstLine="0"/>
      <w:jc w:val="center"/>
      <w:textAlignment w:val="baseline"/>
    </w:pPr>
    <w:rPr>
      <w:rFonts w:ascii="Times New Roman" w:eastAsia="한양신명조"/>
      <w:color w:val="000000"/>
      <w:spacing w:val="-5"/>
      <w:w w:val="95"/>
      <w:sz w:val="22"/>
    </w:rPr>
  </w:style>
  <w:style w:type="character" w:styleId="24">
    <w:name w:val="표안내용-진하기"/>
    <w:uiPriority w:val="24"/>
    <w:rPr>
      <w:rFonts w:ascii="Times New Roman" w:eastAsia="한양신명조"/>
      <w:b/>
      <w:color w:val="000000"/>
      <w:spacing w:val="-4"/>
      <w:w w:val="95"/>
      <w:sz w:val="18"/>
    </w:rPr>
  </w:style>
  <w:style w:type="paragraph" w:styleId="25">
    <w:name w:val="①"/>
    <w:uiPriority w:val="25"/>
    <w:pPr>
      <w:widowControl w:val="off"/>
      <w:pBdr>
        <w:top w:val="none" w:color="000000" w:sz="2" w:space="0"/>
        <w:left w:val="none" w:color="000000" w:sz="2" w:space="0"/>
        <w:bottom w:val="none" w:color="000000" w:sz="2" w:space="0"/>
        <w:right w:val="none" w:color="000000" w:sz="2" w:space="0"/>
      </w:pBdr>
      <w:wordWrap w:val="0"/>
      <w:autoSpaceDE w:val="off"/>
      <w:autoSpaceDN w:val="off"/>
      <w:snapToGrid w:val="off"/>
      <w:spacing w:before="0" w:after="0" w:line="340" w:lineRule="auto"/>
      <w:ind w:left="475" w:right="0" w:hanging="275"/>
      <w:jc w:val="both"/>
      <w:textAlignment w:val="baseline"/>
    </w:pPr>
    <w:rPr>
      <w:rFonts w:ascii="Times New Roman" w:eastAsia="한양신명조"/>
      <w:color w:val="000000"/>
      <w:spacing w:val="-5"/>
      <w:w w:val="95"/>
      <w:sz w:val="20"/>
    </w:rPr>
  </w:style>
  <w:style w:type="paragraph" w:styleId="26">
    <w:name w:val="가."/>
    <w:uiPriority w:val="26"/>
    <w:pPr>
      <w:widowControl w:val="off"/>
      <w:pBdr>
        <w:top w:val="none" w:color="000000" w:sz="2" w:space="0"/>
        <w:left w:val="none" w:color="000000" w:sz="2" w:space="0"/>
        <w:bottom w:val="none" w:color="000000" w:sz="2" w:space="0"/>
        <w:right w:val="none" w:color="000000" w:sz="2" w:space="0"/>
      </w:pBdr>
      <w:wordWrap w:val="0"/>
      <w:autoSpaceDE w:val="off"/>
      <w:autoSpaceDN w:val="off"/>
      <w:snapToGrid w:val="off"/>
      <w:spacing w:before="284" w:after="0" w:line="340" w:lineRule="auto"/>
      <w:ind w:left="240" w:right="0" w:hanging="240"/>
      <w:jc w:val="both"/>
      <w:textAlignment w:val="baseline"/>
    </w:pPr>
    <w:rPr>
      <w:rFonts w:ascii="한양중고딕" w:eastAsia="한양중고딕"/>
      <w:color w:val="000000"/>
      <w:spacing w:val="-5"/>
      <w:w w:val="95"/>
      <w:sz w:val="20"/>
    </w:rPr>
  </w:style>
  <w:style w:type="paragraph" w:styleId="27">
    <w:name w:val="2칸-문답"/>
    <w:uiPriority w:val="27"/>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40" w:lineRule="auto"/>
      <w:ind w:left="675" w:right="0" w:hanging="275"/>
      <w:jc w:val="both"/>
      <w:textAlignment w:val="baseline"/>
    </w:pPr>
    <w:rPr>
      <w:rFonts w:ascii="Times New Roman" w:eastAsia="한양신명조"/>
      <w:color w:val="000000"/>
      <w:spacing w:val="-5"/>
      <w:w w:val="95"/>
      <w:sz w:val="20"/>
    </w:rPr>
  </w:style>
  <w:style w:type="paragraph" w:styleId="28">
    <w:name w:val="개요 1"/>
    <w:uiPriority w:val="28"/>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84" w:lineRule="auto"/>
      <w:ind w:left="0" w:right="0" w:firstLine="0"/>
      <w:jc w:val="both"/>
      <w:textAlignment w:val="baseline"/>
      <w:outlineLvl w:val="0"/>
      <w:numPr>
        <w:numId w:val="228"/>
        <w:ilvl w:val="0"/>
      </w:numPr>
    </w:pPr>
    <w:rPr>
      <w:rFonts w:ascii="바탕" w:eastAsia="바탕"/>
      <w:color w:val="000000"/>
      <w:sz w:val="20"/>
    </w:rPr>
  </w:style>
  <w:style w:type="paragraph" w:styleId="29">
    <w:name w:val="개요 2"/>
    <w:uiPriority w:val="29"/>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84" w:lineRule="auto"/>
      <w:ind w:left="0" w:right="0" w:firstLine="0"/>
      <w:jc w:val="both"/>
      <w:textAlignment w:val="baseline"/>
      <w:outlineLvl w:val="1"/>
      <w:numPr>
        <w:numId w:val="229"/>
        <w:ilvl w:val="1"/>
      </w:numPr>
    </w:pPr>
    <w:rPr>
      <w:rFonts w:ascii="바탕" w:eastAsia="바탕"/>
      <w:color w:val="000000"/>
      <w:sz w:val="20"/>
    </w:rPr>
  </w:style>
  <w:style w:type="paragraph" w:styleId="30">
    <w:name w:val="작성방법"/>
    <w:uiPriority w:val="30"/>
    <w:pPr>
      <w:widowControl w:val="off"/>
      <w:pBdr>
        <w:top w:val="none" w:color="000000" w:sz="2" w:space="0"/>
        <w:left w:val="none" w:color="000000" w:sz="2" w:space="0"/>
        <w:bottom w:val="none" w:color="000000" w:sz="2" w:space="0"/>
        <w:right w:val="none" w:color="000000" w:sz="2" w:space="0"/>
      </w:pBdr>
      <w:wordWrap w:val="0"/>
      <w:autoSpaceDE w:val="off"/>
      <w:autoSpaceDN w:val="off"/>
      <w:snapToGrid w:val="off"/>
      <w:spacing w:before="0" w:after="0" w:line="384" w:lineRule="auto"/>
      <w:ind w:left="1109" w:right="0" w:hanging="609"/>
      <w:jc w:val="both"/>
      <w:textAlignment w:val="baseline"/>
    </w:pPr>
    <w:rPr>
      <w:rFonts w:ascii="#세나루" w:eastAsia="바탕체"/>
      <w:color w:val="000000"/>
      <w:sz w:val="20"/>
    </w:rPr>
  </w:style>
  <w:style w:type="paragraph" w:styleId="31">
    <w:name w:val="중간제목(신명조13)"/>
    <w:uiPriority w:val="31"/>
    <w:pPr>
      <w:widowControl w:val="off"/>
      <w:pBdr>
        <w:top w:val="none" w:color="000000" w:sz="2" w:space="0"/>
        <w:left w:val="none" w:color="000000" w:sz="2" w:space="0"/>
        <w:bottom w:val="none" w:color="000000" w:sz="2" w:space="0"/>
        <w:right w:val="none" w:color="000000" w:sz="2" w:space="0"/>
      </w:pBdr>
      <w:wordWrap w:val="0"/>
      <w:autoSpaceDE w:val="off"/>
      <w:autoSpaceDN w:val="off"/>
      <w:snapToGrid w:val="off"/>
      <w:spacing w:before="0" w:after="0" w:line="480" w:lineRule="auto"/>
      <w:ind w:left="0" w:right="0" w:firstLine="0"/>
      <w:jc w:val="both"/>
      <w:textAlignment w:val="baseline"/>
    </w:pPr>
    <w:rPr>
      <w:rFonts w:ascii="한양신명조" w:eastAsia="한양신명조"/>
      <w:b/>
      <w:color w:val="000000"/>
      <w:sz w:val="26"/>
    </w:rPr>
  </w:style>
  <w:style w:type="paragraph" w:styleId="32">
    <w:name w:val="발신기관/발신명의"/>
    <w:uiPriority w:val="32"/>
    <w:pPr>
      <w:widowControl w:val="off"/>
      <w:pBdr>
        <w:top w:val="none" w:color="000000" w:sz="2" w:space="0"/>
        <w:left w:val="none" w:color="000000" w:sz="2" w:space="0"/>
        <w:bottom w:val="none" w:color="000000" w:sz="2" w:space="0"/>
        <w:right w:val="none" w:color="000000" w:sz="2" w:space="0"/>
      </w:pBdr>
      <w:wordWrap w:val="1"/>
      <w:autoSpaceDE w:val="off"/>
      <w:autoSpaceDN w:val="off"/>
      <w:snapToGrid w:val="off"/>
      <w:spacing w:before="0" w:after="0" w:line="240" w:lineRule="auto"/>
      <w:ind w:left="0" w:right="0" w:firstLine="0"/>
      <w:jc w:val="center"/>
      <w:textAlignment w:val="baseline"/>
    </w:pPr>
    <w:rPr>
      <w:rFonts w:ascii="한양중고딕" w:eastAsia="한양중고딕"/>
      <w:b/>
      <w:color w:val="000000"/>
      <w:sz w:val="48"/>
    </w:rPr>
  </w:style>
  <w:style w:type="paragraph" w:styleId="33">
    <w:name w:val="정의List1(DLI1)"/>
    <w:uiPriority w:val="33"/>
    <w:pPr>
      <w:widowControl w:val="off"/>
      <w:pBdr>
        <w:top w:val="none" w:color="000000" w:sz="2" w:space="0"/>
        <w:left w:val="none" w:color="000000" w:sz="2" w:space="0"/>
        <w:bottom w:val="none" w:color="000000" w:sz="2" w:space="0"/>
        <w:right w:val="none" w:color="000000" w:sz="2" w:space="0"/>
      </w:pBdr>
      <w:wordWrap w:val="1"/>
      <w:autoSpaceDE w:val="off"/>
      <w:autoSpaceDN w:val="off"/>
      <w:snapToGrid w:val="off"/>
      <w:spacing w:before="0" w:after="0" w:line="312" w:lineRule="auto"/>
      <w:ind w:left="0" w:right="0" w:firstLine="0"/>
      <w:jc w:val="left"/>
      <w:textAlignment w:val="baseline"/>
    </w:pPr>
    <w:rPr>
      <w:rFonts w:ascii="Times New Roman" w:eastAsia="한양신명조"/>
      <w:color w:val="000000"/>
      <w:sz w:val="20"/>
    </w:rPr>
  </w:style>
  <w:style w:type="character" w:styleId="34">
    <w:name w:val="표안(태고)"/>
    <w:uiPriority w:val="34"/>
    <w:rPr>
      <w:rFonts w:ascii="굴림" w:eastAsia="굴림"/>
      <w:color w:val="000000"/>
      <w:spacing w:val="-4"/>
      <w:w w:val="95"/>
      <w:sz w:val="18"/>
    </w:rPr>
  </w:style>
  <w:style w:type="paragraph" w:styleId="35">
    <w:name w:val="영문요약"/>
    <w:uiPriority w:val="35"/>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40" w:lineRule="auto"/>
      <w:ind w:left="0" w:right="0" w:firstLine="200"/>
      <w:jc w:val="both"/>
      <w:textAlignment w:val="baseline"/>
    </w:pPr>
    <w:rPr>
      <w:rFonts w:ascii="Times New Roman" w:eastAsia="한양신명조"/>
      <w:color w:val="000000"/>
      <w:spacing w:val="-5"/>
      <w:w w:val="95"/>
      <w:sz w:val="20"/>
    </w:rPr>
  </w:style>
  <w:style w:type="paragraph" w:styleId="36">
    <w:name w:val="저자"/>
    <w:uiPriority w:val="36"/>
    <w:pPr>
      <w:widowControl w:val="off"/>
      <w:pBdr>
        <w:top w:val="none" w:color="000000" w:sz="2" w:space="0"/>
        <w:left w:val="none" w:color="000000" w:sz="2" w:space="0"/>
        <w:bottom w:val="none" w:color="000000" w:sz="2" w:space="0"/>
        <w:right w:val="none" w:color="000000" w:sz="2" w:space="0"/>
      </w:pBdr>
      <w:tabs>
        <w:tab w:val="left" w:leader="none" w:pos="730"/>
      </w:tabs>
      <w:wordWrap w:val="0"/>
      <w:autoSpaceDE w:val="off"/>
      <w:autoSpaceDN w:val="off"/>
      <w:snapToGrid/>
      <w:spacing w:before="0" w:after="280" w:line="345" w:lineRule="auto"/>
      <w:ind w:left="730" w:right="0" w:hanging="730"/>
      <w:jc w:val="both"/>
      <w:textAlignment w:val="baseline"/>
    </w:pPr>
    <w:rPr>
      <w:rFonts w:ascii="Times New Roman" w:eastAsia="한양신명조"/>
      <w:color w:val="000000"/>
      <w:spacing w:val="-5"/>
      <w:w w:val="95"/>
      <w:sz w:val="20"/>
    </w:rPr>
  </w:style>
  <w:style w:type="paragraph" w:styleId="37">
    <w:name w:val="논문 제목"/>
    <w:uiPriority w:val="37"/>
    <w:pPr>
      <w:widowControl w:val="off"/>
      <w:pBdr>
        <w:top w:val="none" w:color="000000" w:sz="2" w:space="0"/>
        <w:left w:val="none" w:color="000000" w:sz="2" w:space="0"/>
        <w:bottom w:val="none" w:color="000000" w:sz="2" w:space="0"/>
        <w:right w:val="none" w:color="000000" w:sz="2" w:space="0"/>
      </w:pBdr>
      <w:wordWrap w:val="1"/>
      <w:autoSpaceDE w:val="off"/>
      <w:autoSpaceDN w:val="off"/>
      <w:snapToGrid w:val="off"/>
      <w:spacing w:before="0" w:after="0" w:line="240" w:lineRule="auto"/>
      <w:ind w:left="0" w:right="0" w:firstLine="200"/>
      <w:jc w:val="center"/>
      <w:textAlignment w:val="baseline"/>
    </w:pPr>
    <w:rPr>
      <w:rFonts w:ascii="바탕체" w:eastAsia="바탕체"/>
      <w:b/>
      <w:color w:val="000000"/>
      <w:sz w:val="32"/>
    </w:rPr>
  </w:style>
  <w:style w:type="paragraph" w:styleId="38">
    <w:name w:val="영어 논문 제목"/>
    <w:uiPriority w:val="38"/>
    <w:pPr>
      <w:widowControl w:val="off"/>
      <w:pBdr>
        <w:top w:val="none" w:color="000000" w:sz="2" w:space="0"/>
        <w:left w:val="none" w:color="000000" w:sz="2" w:space="0"/>
        <w:bottom w:val="none" w:color="000000" w:sz="2" w:space="0"/>
        <w:right w:val="none" w:color="000000" w:sz="2" w:space="0"/>
      </w:pBdr>
      <w:tabs>
        <w:tab w:val="left" w:leader="none" w:pos="851"/>
        <w:tab w:val="left" w:leader="none" w:pos="1702"/>
        <w:tab w:val="left" w:leader="none" w:pos="2554"/>
        <w:tab w:val="left" w:leader="none" w:pos="3405"/>
        <w:tab w:val="left" w:leader="none" w:pos="4256"/>
        <w:tab w:val="left" w:leader="none" w:pos="5107"/>
        <w:tab w:val="left" w:leader="none" w:pos="5958"/>
        <w:tab w:val="left" w:leader="none" w:pos="6810"/>
        <w:tab w:val="left" w:leader="none" w:pos="7661"/>
        <w:tab w:val="left" w:leader="none" w:pos="8512"/>
        <w:tab w:val="left" w:leader="none" w:pos="9363"/>
        <w:tab w:val="left" w:leader="none" w:pos="10214"/>
        <w:tab w:val="left" w:leader="none" w:pos="11066"/>
        <w:tab w:val="left" w:leader="none" w:pos="11917"/>
        <w:tab w:val="left" w:leader="none" w:pos="12768"/>
        <w:tab w:val="left" w:leader="none" w:pos="13619"/>
      </w:tabs>
      <w:wordWrap w:val="1"/>
      <w:autoSpaceDE w:val="off"/>
      <w:autoSpaceDN w:val="off"/>
      <w:snapToGrid w:val="off"/>
      <w:spacing w:before="0" w:after="0" w:line="320" w:lineRule="exact"/>
      <w:ind w:left="0" w:right="0" w:firstLine="0"/>
      <w:jc w:val="center"/>
      <w:textAlignment w:val="baseline"/>
    </w:pPr>
    <w:rPr>
      <w:rFonts w:ascii="Times New Roman" w:eastAsia="돋움체"/>
      <w:color w:val="000000"/>
      <w:sz w:val="28"/>
    </w:rPr>
  </w:style>
  <w:style w:type="paragraph" w:styleId="39">
    <w:name w:val="영어 저자 이름"/>
    <w:uiPriority w:val="39"/>
    <w:pPr>
      <w:widowControl w:val="off"/>
      <w:pBdr>
        <w:top w:val="none" w:color="000000" w:sz="2" w:space="0"/>
        <w:left w:val="none" w:color="000000" w:sz="2" w:space="0"/>
        <w:bottom w:val="none" w:color="000000" w:sz="2" w:space="0"/>
        <w:right w:val="none" w:color="000000" w:sz="2" w:space="0"/>
      </w:pBdr>
      <w:tabs>
        <w:tab w:val="left" w:leader="none" w:pos="851"/>
        <w:tab w:val="left" w:leader="none" w:pos="1702"/>
        <w:tab w:val="left" w:leader="none" w:pos="2554"/>
        <w:tab w:val="left" w:leader="none" w:pos="3405"/>
        <w:tab w:val="left" w:leader="none" w:pos="4256"/>
        <w:tab w:val="left" w:leader="none" w:pos="5107"/>
        <w:tab w:val="left" w:leader="none" w:pos="5958"/>
        <w:tab w:val="left" w:leader="none" w:pos="6810"/>
        <w:tab w:val="left" w:leader="none" w:pos="7661"/>
        <w:tab w:val="left" w:leader="none" w:pos="8512"/>
        <w:tab w:val="left" w:leader="none" w:pos="9363"/>
        <w:tab w:val="left" w:leader="none" w:pos="10214"/>
        <w:tab w:val="left" w:leader="none" w:pos="11066"/>
        <w:tab w:val="left" w:leader="none" w:pos="11917"/>
        <w:tab w:val="left" w:leader="none" w:pos="12768"/>
        <w:tab w:val="left" w:leader="none" w:pos="13619"/>
      </w:tabs>
      <w:wordWrap w:val="1"/>
      <w:autoSpaceDE w:val="off"/>
      <w:autoSpaceDN w:val="off"/>
      <w:snapToGrid w:val="off"/>
      <w:spacing w:before="0" w:after="0" w:line="260" w:lineRule="exact"/>
      <w:ind w:left="0" w:right="0" w:firstLine="0"/>
      <w:jc w:val="center"/>
      <w:textAlignment w:val="baseline"/>
    </w:pPr>
    <w:rPr>
      <w:rFonts w:ascii="Times New Roman" w:eastAsia="한양신명조"/>
      <w:color w:val="000000"/>
      <w:sz w:val="20"/>
    </w:rPr>
  </w:style>
  <w:style w:type="paragraph" w:styleId="40">
    <w:name w:val="Abstract(내용)"/>
    <w:uiPriority w:val="40"/>
    <w:pPr>
      <w:widowControl w:val="off"/>
      <w:pBdr>
        <w:top w:val="none" w:color="000000" w:sz="2" w:space="0"/>
        <w:left w:val="none" w:color="000000" w:sz="2" w:space="0"/>
        <w:bottom w:val="none" w:color="000000" w:sz="2" w:space="0"/>
        <w:right w:val="none" w:color="000000" w:sz="2" w:space="0"/>
      </w:pBdr>
      <w:tabs>
        <w:tab w:val="left" w:leader="none" w:pos="851"/>
        <w:tab w:val="left" w:leader="none" w:pos="1702"/>
        <w:tab w:val="left" w:leader="none" w:pos="2554"/>
        <w:tab w:val="left" w:leader="none" w:pos="3405"/>
        <w:tab w:val="left" w:leader="none" w:pos="4256"/>
        <w:tab w:val="left" w:leader="none" w:pos="5107"/>
        <w:tab w:val="left" w:leader="none" w:pos="5958"/>
        <w:tab w:val="left" w:leader="none" w:pos="6810"/>
        <w:tab w:val="left" w:leader="none" w:pos="7661"/>
        <w:tab w:val="left" w:leader="none" w:pos="8512"/>
        <w:tab w:val="left" w:leader="none" w:pos="9363"/>
        <w:tab w:val="left" w:leader="none" w:pos="10214"/>
        <w:tab w:val="left" w:leader="none" w:pos="11066"/>
        <w:tab w:val="left" w:leader="none" w:pos="11917"/>
        <w:tab w:val="left" w:leader="none" w:pos="12768"/>
        <w:tab w:val="left" w:leader="none" w:pos="13619"/>
      </w:tabs>
      <w:wordWrap w:val="0"/>
      <w:autoSpaceDE w:val="off"/>
      <w:autoSpaceDN w:val="off"/>
      <w:snapToGrid w:val="off"/>
      <w:spacing w:before="0" w:after="0" w:line="260" w:lineRule="exact"/>
      <w:ind w:left="0" w:right="0" w:firstLine="283"/>
      <w:jc w:val="both"/>
      <w:textAlignment w:val="baseline"/>
    </w:pPr>
    <w:rPr>
      <w:rFonts w:ascii="Times New Roman" w:eastAsia="한양신명조"/>
      <w:color w:val="000000"/>
      <w:sz w:val="18"/>
    </w:rPr>
  </w:style>
  <w:style w:type="paragraph" w:styleId="41">
    <w:name w:val="Key Words"/>
    <w:uiPriority w:val="41"/>
    <w:pPr>
      <w:widowControl w:val="off"/>
      <w:pBdr>
        <w:top w:val="none" w:color="000000" w:sz="2" w:space="0"/>
        <w:left w:val="none" w:color="000000" w:sz="2" w:space="0"/>
        <w:bottom w:val="none" w:color="000000" w:sz="2" w:space="0"/>
        <w:right w:val="none" w:color="000000" w:sz="2" w:space="0"/>
      </w:pBdr>
      <w:tabs>
        <w:tab w:val="left" w:leader="none" w:pos="851"/>
        <w:tab w:val="left" w:leader="none" w:pos="1702"/>
        <w:tab w:val="left" w:leader="none" w:pos="2554"/>
        <w:tab w:val="left" w:leader="none" w:pos="3405"/>
        <w:tab w:val="left" w:leader="none" w:pos="4256"/>
        <w:tab w:val="left" w:leader="none" w:pos="5107"/>
        <w:tab w:val="left" w:leader="none" w:pos="5958"/>
        <w:tab w:val="left" w:leader="none" w:pos="6810"/>
        <w:tab w:val="left" w:leader="none" w:pos="7661"/>
        <w:tab w:val="left" w:leader="none" w:pos="8512"/>
        <w:tab w:val="left" w:leader="none" w:pos="9363"/>
        <w:tab w:val="left" w:leader="none" w:pos="10214"/>
        <w:tab w:val="left" w:leader="none" w:pos="11066"/>
        <w:tab w:val="left" w:leader="none" w:pos="11917"/>
        <w:tab w:val="left" w:leader="none" w:pos="12768"/>
        <w:tab w:val="left" w:leader="none" w:pos="13619"/>
      </w:tabs>
      <w:wordWrap w:val="0"/>
      <w:autoSpaceDE w:val="off"/>
      <w:autoSpaceDN w:val="off"/>
      <w:snapToGrid w:val="off"/>
      <w:spacing w:before="0" w:after="0" w:line="260" w:lineRule="exact"/>
      <w:ind w:left="1167" w:right="0" w:hanging="1167"/>
      <w:jc w:val="both"/>
      <w:textAlignment w:val="baseline"/>
    </w:pPr>
    <w:rPr>
      <w:rFonts w:ascii="Times New Roman" w:eastAsia="바탕체"/>
      <w:color w:val="000000"/>
      <w:sz w:val="18"/>
    </w:rPr>
  </w:style>
  <w:style w:type="paragraph" w:styleId="42">
    <w:name w:val="본문 단락: 논문용"/>
    <w:uiPriority w:val="42"/>
    <w:pPr>
      <w:widowControl w:val="off"/>
      <w:pBdr>
        <w:top w:val="none" w:color="000000" w:sz="2" w:space="0"/>
        <w:left w:val="none" w:color="000000" w:sz="2" w:space="0"/>
        <w:bottom w:val="none" w:color="000000" w:sz="2" w:space="0"/>
        <w:right w:val="none" w:color="000000" w:sz="2" w:space="0"/>
      </w:pBdr>
      <w:wordWrap w:val="0"/>
      <w:autoSpaceDE w:val="off"/>
      <w:autoSpaceDN w:val="off"/>
      <w:snapToGrid w:val="off"/>
      <w:spacing w:before="0" w:after="0" w:line="360" w:lineRule="auto"/>
      <w:ind w:left="0" w:right="0" w:firstLine="200"/>
      <w:jc w:val="both"/>
      <w:textAlignment w:val="baseline"/>
    </w:pPr>
    <w:rPr>
      <w:rFonts w:ascii="Times New Roman" w:eastAsia="바탕체"/>
      <w:color w:val="000000"/>
      <w:sz w:val="20"/>
    </w:rPr>
  </w:style>
  <w:style w:type="paragraph" w:styleId="43">
    <w:name w:val="각 장 제목"/>
    <w:uiPriority w:val="43"/>
    <w:pPr>
      <w:widowControl w:val="off"/>
      <w:pBdr>
        <w:top w:val="none" w:color="000000" w:sz="2" w:space="0"/>
        <w:left w:val="none" w:color="000000" w:sz="2" w:space="0"/>
        <w:bottom w:val="none" w:color="000000" w:sz="2" w:space="0"/>
        <w:right w:val="none" w:color="000000" w:sz="2" w:space="0"/>
      </w:pBdr>
      <w:tabs>
        <w:tab w:val="left" w:leader="none" w:pos="-26042"/>
        <w:tab w:val="left" w:leader="none" w:pos="-25190"/>
        <w:tab w:val="left" w:leader="none" w:pos="-24339"/>
        <w:tab w:val="left" w:leader="none" w:pos="-23488"/>
        <w:tab w:val="left" w:leader="none" w:pos="-22637"/>
        <w:tab w:val="left" w:leader="none" w:pos="-21786"/>
        <w:tab w:val="left" w:leader="none" w:pos="-20934"/>
        <w:tab w:val="left" w:leader="none" w:pos="-20083"/>
        <w:tab w:val="left" w:leader="none" w:pos="-19232"/>
        <w:tab w:val="left" w:leader="none" w:pos="851"/>
        <w:tab w:val="left" w:leader="none" w:pos="1702"/>
        <w:tab w:val="left" w:leader="none" w:pos="2554"/>
        <w:tab w:val="left" w:leader="none" w:pos="3405"/>
        <w:tab w:val="left" w:leader="none" w:pos="4256"/>
        <w:tab w:val="left" w:leader="none" w:pos="5107"/>
        <w:tab w:val="left" w:leader="none" w:pos="5958"/>
        <w:tab w:val="left" w:leader="none" w:pos="6810"/>
        <w:tab w:val="left" w:leader="none" w:pos="7661"/>
        <w:tab w:val="left" w:leader="none" w:pos="8512"/>
        <w:tab w:val="left" w:leader="none" w:pos="9363"/>
        <w:tab w:val="left" w:leader="none" w:pos="10214"/>
        <w:tab w:val="left" w:leader="none" w:pos="11066"/>
        <w:tab w:val="left" w:leader="none" w:pos="11917"/>
        <w:tab w:val="left" w:leader="none" w:pos="12768"/>
        <w:tab w:val="left" w:leader="none" w:pos="13619"/>
        <w:tab w:val="left" w:leader="none" w:pos="14470"/>
        <w:tab w:val="left" w:leader="none" w:pos="15322"/>
        <w:tab w:val="left" w:leader="none" w:pos="16173"/>
        <w:tab w:val="left" w:leader="none" w:pos="17024"/>
        <w:tab w:val="left" w:leader="none" w:pos="17875"/>
        <w:tab w:val="left" w:leader="none" w:pos="18726"/>
        <w:tab w:val="left" w:leader="none" w:pos="19578"/>
        <w:tab w:val="left" w:leader="none" w:pos="20429"/>
        <w:tab w:val="left" w:leader="none" w:pos="21280"/>
        <w:tab w:val="left" w:leader="none" w:pos="22131"/>
        <w:tab w:val="left" w:leader="none" w:pos="22982"/>
        <w:tab w:val="left" w:leader="none" w:pos="23834"/>
        <w:tab w:val="left" w:leader="none" w:pos="24685"/>
        <w:tab w:val="left" w:leader="none" w:pos="25536"/>
      </w:tabs>
      <w:wordWrap w:val="1"/>
      <w:autoSpaceDE w:val="off"/>
      <w:autoSpaceDN w:val="off"/>
      <w:snapToGrid w:val="off"/>
      <w:spacing w:before="0" w:after="0" w:line="260" w:lineRule="exact"/>
      <w:ind w:left="0" w:right="0" w:firstLine="0"/>
      <w:jc w:val="center"/>
      <w:textAlignment w:val="baseline"/>
    </w:pPr>
    <w:rPr>
      <w:rFonts w:ascii="Times New Roman" w:eastAsia="돋움체"/>
      <w:b/>
      <w:color w:val="000000"/>
      <w:sz w:val="20"/>
    </w:rPr>
  </w:style>
  <w:style w:type="paragraph" w:styleId="44">
    <w:name w:val="각 절 제목"/>
    <w:uiPriority w:val="44"/>
    <w:pPr>
      <w:widowControl w:val="off"/>
      <w:pBdr>
        <w:top w:val="none" w:color="000000" w:sz="2" w:space="0"/>
        <w:left w:val="none" w:color="000000" w:sz="2" w:space="0"/>
        <w:bottom w:val="none" w:color="000000" w:sz="2" w:space="0"/>
        <w:right w:val="none" w:color="000000" w:sz="2" w:space="0"/>
      </w:pBdr>
      <w:tabs>
        <w:tab w:val="left" w:leader="none" w:pos="-26042"/>
        <w:tab w:val="left" w:leader="none" w:pos="-25190"/>
        <w:tab w:val="left" w:leader="none" w:pos="-24339"/>
        <w:tab w:val="left" w:leader="none" w:pos="-23488"/>
        <w:tab w:val="left" w:leader="none" w:pos="-22637"/>
        <w:tab w:val="left" w:leader="none" w:pos="-21786"/>
        <w:tab w:val="left" w:leader="none" w:pos="-20934"/>
        <w:tab w:val="left" w:leader="none" w:pos="-20083"/>
        <w:tab w:val="left" w:leader="none" w:pos="-19232"/>
        <w:tab w:val="left" w:leader="none" w:pos="851"/>
        <w:tab w:val="left" w:leader="none" w:pos="1702"/>
        <w:tab w:val="left" w:leader="none" w:pos="2554"/>
        <w:tab w:val="left" w:leader="none" w:pos="3405"/>
        <w:tab w:val="left" w:leader="none" w:pos="4256"/>
        <w:tab w:val="left" w:leader="none" w:pos="5107"/>
        <w:tab w:val="left" w:leader="none" w:pos="5958"/>
        <w:tab w:val="left" w:leader="none" w:pos="6810"/>
        <w:tab w:val="left" w:leader="none" w:pos="7661"/>
        <w:tab w:val="left" w:leader="none" w:pos="8512"/>
        <w:tab w:val="left" w:leader="none" w:pos="9363"/>
        <w:tab w:val="left" w:leader="none" w:pos="10214"/>
        <w:tab w:val="left" w:leader="none" w:pos="11066"/>
        <w:tab w:val="left" w:leader="none" w:pos="11917"/>
        <w:tab w:val="left" w:leader="none" w:pos="12768"/>
        <w:tab w:val="left" w:leader="none" w:pos="13619"/>
        <w:tab w:val="left" w:leader="none" w:pos="14470"/>
        <w:tab w:val="left" w:leader="none" w:pos="15322"/>
        <w:tab w:val="left" w:leader="none" w:pos="16173"/>
        <w:tab w:val="left" w:leader="none" w:pos="17024"/>
        <w:tab w:val="left" w:leader="none" w:pos="17875"/>
        <w:tab w:val="left" w:leader="none" w:pos="18726"/>
        <w:tab w:val="left" w:leader="none" w:pos="19578"/>
        <w:tab w:val="left" w:leader="none" w:pos="20429"/>
        <w:tab w:val="left" w:leader="none" w:pos="21280"/>
        <w:tab w:val="left" w:leader="none" w:pos="22131"/>
        <w:tab w:val="left" w:leader="none" w:pos="22982"/>
        <w:tab w:val="left" w:leader="none" w:pos="23834"/>
        <w:tab w:val="left" w:leader="none" w:pos="24685"/>
        <w:tab w:val="left" w:leader="none" w:pos="25536"/>
      </w:tabs>
      <w:wordWrap w:val="0"/>
      <w:autoSpaceDE w:val="off"/>
      <w:autoSpaceDN w:val="off"/>
      <w:snapToGrid w:val="off"/>
      <w:spacing w:before="0" w:after="0" w:line="260" w:lineRule="exact"/>
      <w:ind w:left="0" w:right="0" w:firstLine="0"/>
      <w:jc w:val="both"/>
      <w:textAlignment w:val="baseline"/>
    </w:pPr>
    <w:rPr>
      <w:rFonts w:ascii="Times New Roman" w:eastAsia="돋움체"/>
      <w:b/>
      <w:color w:val="000000"/>
      <w:sz w:val="20"/>
    </w:rPr>
  </w:style>
  <w:style w:type="paragraph" w:styleId="45">
    <w:name w:val="참고문헌(제목)"/>
    <w:uiPriority w:val="45"/>
    <w:pPr>
      <w:widowControl w:val="off"/>
      <w:pBdr>
        <w:top w:val="none" w:color="000000" w:sz="2" w:space="0"/>
        <w:left w:val="none" w:color="000000" w:sz="2" w:space="0"/>
        <w:bottom w:val="none" w:color="000000" w:sz="2" w:space="0"/>
        <w:right w:val="none" w:color="000000" w:sz="2" w:space="0"/>
      </w:pBdr>
      <w:tabs>
        <w:tab w:val="left" w:leader="none" w:pos="-26042"/>
        <w:tab w:val="left" w:leader="none" w:pos="-25190"/>
        <w:tab w:val="left" w:leader="none" w:pos="-24339"/>
        <w:tab w:val="left" w:leader="none" w:pos="-23488"/>
        <w:tab w:val="left" w:leader="none" w:pos="-22637"/>
        <w:tab w:val="left" w:leader="none" w:pos="-21786"/>
        <w:tab w:val="left" w:leader="none" w:pos="-20934"/>
        <w:tab w:val="left" w:leader="none" w:pos="-20083"/>
        <w:tab w:val="left" w:leader="none" w:pos="-19232"/>
        <w:tab w:val="left" w:leader="none" w:pos="851"/>
        <w:tab w:val="left" w:leader="none" w:pos="1702"/>
        <w:tab w:val="left" w:leader="none" w:pos="2554"/>
        <w:tab w:val="left" w:leader="none" w:pos="3405"/>
        <w:tab w:val="left" w:leader="none" w:pos="4256"/>
        <w:tab w:val="left" w:leader="none" w:pos="5107"/>
        <w:tab w:val="left" w:leader="none" w:pos="5958"/>
        <w:tab w:val="left" w:leader="none" w:pos="6810"/>
        <w:tab w:val="left" w:leader="none" w:pos="7661"/>
        <w:tab w:val="left" w:leader="none" w:pos="8512"/>
        <w:tab w:val="left" w:leader="none" w:pos="9363"/>
        <w:tab w:val="left" w:leader="none" w:pos="10214"/>
        <w:tab w:val="left" w:leader="none" w:pos="11066"/>
        <w:tab w:val="left" w:leader="none" w:pos="11917"/>
        <w:tab w:val="left" w:leader="none" w:pos="12768"/>
        <w:tab w:val="left" w:leader="none" w:pos="13619"/>
        <w:tab w:val="left" w:leader="none" w:pos="14470"/>
        <w:tab w:val="left" w:leader="none" w:pos="15322"/>
        <w:tab w:val="left" w:leader="none" w:pos="16173"/>
        <w:tab w:val="left" w:leader="none" w:pos="17024"/>
        <w:tab w:val="left" w:leader="none" w:pos="17875"/>
        <w:tab w:val="left" w:leader="none" w:pos="18726"/>
        <w:tab w:val="left" w:leader="none" w:pos="19578"/>
        <w:tab w:val="left" w:leader="none" w:pos="20429"/>
        <w:tab w:val="left" w:leader="none" w:pos="21280"/>
        <w:tab w:val="left" w:leader="none" w:pos="22131"/>
        <w:tab w:val="left" w:leader="none" w:pos="22982"/>
        <w:tab w:val="left" w:leader="none" w:pos="23834"/>
        <w:tab w:val="left" w:leader="none" w:pos="24685"/>
        <w:tab w:val="left" w:leader="none" w:pos="25536"/>
      </w:tabs>
      <w:wordWrap w:val="1"/>
      <w:autoSpaceDE w:val="off"/>
      <w:autoSpaceDN w:val="off"/>
      <w:snapToGrid w:val="off"/>
      <w:spacing w:before="0" w:after="0" w:line="260" w:lineRule="exact"/>
      <w:ind w:left="0" w:right="0" w:firstLine="0"/>
      <w:jc w:val="center"/>
      <w:textAlignment w:val="baseline"/>
    </w:pPr>
    <w:rPr>
      <w:rFonts w:ascii="Times New Roman" w:eastAsia="돋움체"/>
      <w:b/>
      <w:color w:val="000000"/>
      <w:sz w:val="20"/>
    </w:rPr>
  </w:style>
  <w:style w:type="paragraph" w:styleId="46">
    <w:name w:val="참고문헌(내용)"/>
    <w:uiPriority w:val="46"/>
    <w:pPr>
      <w:widowControl w:val="off"/>
      <w:pBdr>
        <w:top w:val="none" w:color="000000" w:sz="2" w:space="0"/>
        <w:left w:val="none" w:color="000000" w:sz="2" w:space="0"/>
        <w:bottom w:val="none" w:color="000000" w:sz="2" w:space="0"/>
        <w:right w:val="none" w:color="000000" w:sz="2" w:space="0"/>
      </w:pBdr>
      <w:tabs>
        <w:tab w:val="left" w:leader="none" w:pos="-26042"/>
        <w:tab w:val="left" w:leader="none" w:pos="-25190"/>
        <w:tab w:val="left" w:leader="none" w:pos="-24339"/>
        <w:tab w:val="left" w:leader="none" w:pos="-23488"/>
        <w:tab w:val="left" w:leader="none" w:pos="-22637"/>
        <w:tab w:val="left" w:leader="none" w:pos="-21786"/>
        <w:tab w:val="left" w:leader="none" w:pos="-20934"/>
        <w:tab w:val="left" w:leader="none" w:pos="-20083"/>
        <w:tab w:val="left" w:leader="none" w:pos="-19232"/>
        <w:tab w:val="left" w:leader="none" w:pos="851"/>
        <w:tab w:val="left" w:leader="none" w:pos="1702"/>
        <w:tab w:val="left" w:leader="none" w:pos="2554"/>
        <w:tab w:val="left" w:leader="none" w:pos="3405"/>
        <w:tab w:val="left" w:leader="none" w:pos="4256"/>
        <w:tab w:val="left" w:leader="none" w:pos="5107"/>
        <w:tab w:val="left" w:leader="none" w:pos="5958"/>
        <w:tab w:val="left" w:leader="none" w:pos="6810"/>
        <w:tab w:val="left" w:leader="none" w:pos="7661"/>
        <w:tab w:val="left" w:leader="none" w:pos="8512"/>
        <w:tab w:val="left" w:leader="none" w:pos="9363"/>
        <w:tab w:val="left" w:leader="none" w:pos="10214"/>
        <w:tab w:val="left" w:leader="none" w:pos="11066"/>
        <w:tab w:val="left" w:leader="none" w:pos="11917"/>
        <w:tab w:val="left" w:leader="none" w:pos="12768"/>
        <w:tab w:val="left" w:leader="none" w:pos="13619"/>
        <w:tab w:val="left" w:leader="none" w:pos="14470"/>
        <w:tab w:val="left" w:leader="none" w:pos="15322"/>
        <w:tab w:val="left" w:leader="none" w:pos="16173"/>
        <w:tab w:val="left" w:leader="none" w:pos="17024"/>
        <w:tab w:val="left" w:leader="none" w:pos="17875"/>
        <w:tab w:val="left" w:leader="none" w:pos="18726"/>
        <w:tab w:val="left" w:leader="none" w:pos="19578"/>
        <w:tab w:val="left" w:leader="none" w:pos="20429"/>
        <w:tab w:val="left" w:leader="none" w:pos="21280"/>
        <w:tab w:val="left" w:leader="none" w:pos="22131"/>
        <w:tab w:val="left" w:leader="none" w:pos="22982"/>
        <w:tab w:val="left" w:leader="none" w:pos="23834"/>
        <w:tab w:val="left" w:leader="none" w:pos="24685"/>
        <w:tab w:val="left" w:leader="none" w:pos="25536"/>
      </w:tabs>
      <w:wordWrap w:val="0"/>
      <w:autoSpaceDE w:val="off"/>
      <w:autoSpaceDN w:val="off"/>
      <w:snapToGrid w:val="off"/>
      <w:spacing w:before="0" w:after="0" w:line="260" w:lineRule="exact"/>
      <w:ind w:left="217" w:right="0" w:hanging="217"/>
      <w:jc w:val="both"/>
      <w:textAlignment w:val="baseline"/>
    </w:pPr>
    <w:rPr>
      <w:rFonts w:ascii="Times New Roman" w:eastAsia="바탕체"/>
      <w:color w:val="000000"/>
      <w:sz w:val="18"/>
    </w:rPr>
  </w:style>
  <w:style w:type="paragraph" w:styleId="47">
    <w:name w:val="MsoNoSpacing"/>
    <w:uiPriority w:val="47"/>
    <w:pPr>
      <w:widowControl w:val="off"/>
      <w:pBdr>
        <w:top w:val="none" w:color="000000" w:sz="2" w:space="0"/>
        <w:left w:val="none" w:color="000000" w:sz="2" w:space="0"/>
        <w:bottom w:val="none" w:color="000000" w:sz="2" w:space="0"/>
        <w:right w:val="none" w:color="000000" w:sz="2" w:space="0"/>
      </w:pBdr>
      <w:wordWrap w:val="0"/>
      <w:autoSpaceDE w:val="off"/>
      <w:autoSpaceDN w:val="off"/>
      <w:snapToGrid w:val="off"/>
      <w:spacing w:before="0" w:after="0" w:line="384" w:lineRule="auto"/>
      <w:ind w:left="0" w:right="0" w:firstLine="0"/>
      <w:jc w:val="both"/>
      <w:textAlignment w:val="baseline"/>
    </w:pPr>
    <w:rPr>
      <w:rFonts w:ascii="맑은 고딕" w:eastAsia="맑은 고딕"/>
      <w:color w:val="000000"/>
      <w:sz w:val="20"/>
    </w:rPr>
  </w:style>
  <w:style w:type="paragraph" w:styleId="48">
    <w:name w:val="MS바탕글"/>
    <w:uiPriority w:val="48"/>
    <w:pPr>
      <w:widowControl w:val="off"/>
      <w:pBdr>
        <w:top w:val="none" w:color="000000" w:sz="2" w:space="0"/>
        <w:left w:val="none" w:color="000000" w:sz="2" w:space="0"/>
        <w:bottom w:val="none" w:color="000000" w:sz="2" w:space="0"/>
        <w:right w:val="none" w:color="000000" w:sz="2" w:space="0"/>
      </w:pBdr>
      <w:wordWrap w:val="0"/>
      <w:autoSpaceDE w:val="off"/>
      <w:autoSpaceDN w:val="off"/>
      <w:snapToGrid w:val="off"/>
      <w:spacing w:before="0" w:after="100" w:line="276" w:lineRule="auto"/>
      <w:ind w:left="0" w:right="0" w:firstLine="0"/>
      <w:jc w:val="both"/>
      <w:textAlignment w:val="baseline"/>
    </w:pPr>
    <w:rPr>
      <w:rFonts w:ascii="맑은 고딕" w:eastAsia="맑은 고딕"/>
      <w:color w:val="000000"/>
      <w:sz w:val="20"/>
    </w:rPr>
  </w:style>
  <w:style w:type="paragraph" w:styleId="49">
    <w:name w:val="제목 2"/>
    <w:uiPriority w:val="49"/>
    <w:pPr>
      <w:widowControl/>
      <w:pBdr>
        <w:top w:val="none" w:color="000000" w:sz="2" w:space="0"/>
        <w:left w:val="none" w:color="000000" w:sz="2" w:space="0"/>
        <w:bottom w:val="none" w:color="000000" w:sz="2" w:space="0"/>
        <w:right w:val="none" w:color="000000" w:sz="2" w:space="0"/>
      </w:pBdr>
      <w:wordWrap w:val="1"/>
      <w:autoSpaceDE w:val="off"/>
      <w:autoSpaceDN w:val="off"/>
      <w:snapToGrid/>
      <w:spacing w:before="280" w:after="140" w:line="240" w:lineRule="auto"/>
      <w:ind w:left="0" w:right="0" w:firstLine="0"/>
      <w:jc w:val="left"/>
      <w:textAlignment w:val="baseline"/>
      <w:outlineLvl w:val="1"/>
      <w:numPr>
        <w:numId w:val="249"/>
        <w:ilvl w:val="1"/>
      </w:numPr>
    </w:pPr>
    <w:rPr>
      <w:rFonts w:ascii="바탕" w:eastAsia="바탕"/>
      <w:color w:val="000000"/>
      <w:sz w:val="26"/>
    </w:rPr>
  </w:style>
</w:styles>
</file>

<file path=word/_rels/document.xml.rels><?xml version="1.0" encoding="UTF-8" standalone="yes" ?><Relationships xmlns="http://schemas.openxmlformats.org/package/2006/relationships"><Relationship Id="rId1" Type="http://schemas.openxmlformats.org/officeDocument/2006/relationships/image" Target="media/image0.png"  /><Relationship Id="rId2" Type="http://schemas.openxmlformats.org/officeDocument/2006/relationships/image" Target="media/image1.png"  /><Relationship Id="rId3" Type="http://schemas.openxmlformats.org/officeDocument/2006/relationships/image" Target="media/image2.bmp"  /><Relationship Id="rId4" Type="http://schemas.openxmlformats.org/officeDocument/2006/relationships/image" Target="media/image3.bmp"  /><Relationship Id="rId5" Type="http://schemas.openxmlformats.org/officeDocument/2006/relationships/image" Target="media/image4.png"  /><Relationship Id="rId6" Type="http://schemas.openxmlformats.org/officeDocument/2006/relationships/settings" Target="settings.xml"  /><Relationship Id="rId7" Type="http://schemas.openxmlformats.org/officeDocument/2006/relationships/styles" Target="styles.xml"  /><Relationship Id="rId8" Type="http://schemas.openxmlformats.org/officeDocument/2006/relationships/numbering" Target="numbering.xml"  /></Relationships>
</file>

<file path=docProps/app.xml><?xml version="1.0" encoding="utf-8"?>
<ep:Properties xmlns:r="http://schemas.openxmlformats.org/officeDocument/2006/relationships" xmlns:ep="http://schemas.openxmlformats.org/officeDocument/2006/extended-properties" xmlns:vt="http://schemas.openxmlformats.org/officeDocument/2006/docPropsVTypes">
  <ep:Application>Hancom Office Hanword</ep:Application>
  <ep:AppVersion>12.3</ep:AppVersion>
</ep:Properties>
</file>

<file path=docProps/core.xml><?xml version="1.0" encoding="utf-8"?>
<cp:coreProperties xmlns:r="http://schemas.openxmlformats.org/officeDocument/2006/relationships" xmlns:cp="http://schemas.openxmlformats.org/package/2006/metadata/core-properties" xmlns:dc="http://purl.org/dc/elements/1.1/" xmlns:dcterms="http://purl.org/dc/terms/" xmlns:dcmitype="http://purl.org/dc/dcmitype/" xmlns:xsi="http://www.w3.org/2001/XMLSchema-instance">
  <dc:title>산업경영학회지</dc:title>
  <dc:creator>U+ U+ U+ U+</dc:creator>
  <cp:lastModifiedBy>지명근</cp:lastModifiedBy>
  <dcterms:created xsi:type="dcterms:W3CDTF">2003-02-23T08:58:04.160</dcterms:created>
  <dcterms:modified xsi:type="dcterms:W3CDTF">2026-06-05T10:05:46.263</dcterms:modified>
  <cp:version>0501.0100.01</cp:version>
</cp:coreProperties>
</file>