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Radar de Alertas</w:t>
      </w:r>
    </w:p>
    <w:p>
      <w:r>
        <w:t>Guia técnico, funcional e de homologação | Versão 2 — 11/10/2026</w:t>
      </w:r>
    </w:p>
    <w:p>
      <w:pPr>
        <w:pStyle w:val="Heading1"/>
      </w:pPr>
      <w:r>
        <w:t>1. O que o sistema faz</w:t>
      </w:r>
    </w:p>
    <w:p>
      <w:pPr>
        <w:pStyle w:val="ListBullet"/>
      </w:pPr>
      <w:r>
        <w:t>Usuários cadastram palavras ou frases, URLs de páginas públicas ou selecionam fontes de um catálogo curado pela equipe. O backend verifica alterações, aplica regras de correspondência e registra notificações com o link original.</w:t>
      </w:r>
    </w:p>
    <w:p>
      <w:pPr>
        <w:pStyle w:val="ListBullet"/>
      </w:pPr>
      <w:r>
        <w:t>Não há inteligência artificial nesta versão. Não existe pesquisa irrestrita na internet: buscas genéricas são realizadas apenas nas fontes que a equipe cadastrar.</w:t>
      </w:r>
    </w:p>
    <w:p>
      <w:pPr>
        <w:pStyle w:val="Heading1"/>
      </w:pPr>
      <w:r>
        <w:t>2. Jornada de autenticação</w:t>
      </w:r>
    </w:p>
    <w:p>
      <w:pPr>
        <w:pStyle w:val="ListBullet"/>
      </w:pPr>
      <w:r>
        <w:t>Cadastro: e-mail e senha pelo Supabase Auth; dependendo das configurações, o usuário confirma o e-mail.</w:t>
      </w:r>
    </w:p>
    <w:p>
      <w:pPr>
        <w:pStyle w:val="ListBullet"/>
      </w:pPr>
      <w:r>
        <w:t>Login: o app recebe a sessão Supabase, persiste o token e envia JWT para a API.</w:t>
      </w:r>
    </w:p>
    <w:p>
      <w:pPr>
        <w:pStyle w:val="ListBullet"/>
      </w:pPr>
      <w:r>
        <w:t>Esqueci senha: envio de link por e-mail via Supabase Auth. Configure no Supabase Auth &gt; URL Configuration o deep link radaralertas://auth/callback e o template de recuperação.</w:t>
      </w:r>
    </w:p>
    <w:p>
      <w:pPr>
        <w:pStyle w:val="ListBullet"/>
      </w:pPr>
      <w:r>
        <w:t>Reset: ao abrir o link no app, o callback troca o código/token por sessão de recuperação e permite informar nova senha. Teste em dispositivo com deep link configurado.</w:t>
      </w:r>
    </w:p>
    <w:p>
      <w:pPr>
        <w:pStyle w:val="Heading1"/>
      </w:pPr>
      <w:r>
        <w:t>3. Caso A — FATEC, página específica</w:t>
      </w:r>
    </w:p>
    <w:p>
      <w:pPr>
        <w:pStyle w:val="ListBullet"/>
      </w:pPr>
      <w:r>
        <w:t>O usuário informa a URL exata e a frase “inscrições abertas”. Pode adicionar “edital” como outro termo.</w:t>
      </w:r>
    </w:p>
    <w:p>
      <w:pPr>
        <w:pStyle w:val="ListBullet"/>
      </w:pPr>
      <w:r>
        <w:t>ANY = basta um dos termos estar presente; ALL = todos os termos devem aparecer na mesma página. As exclusões rejeitam páginas que contenham termos indesejados.</w:t>
      </w:r>
    </w:p>
    <w:p>
      <w:pPr>
        <w:pStyle w:val="ListBullet"/>
      </w:pPr>
      <w:r>
        <w:t>Primeira coleta estabelece baseline, sem alerta retroativo. Na coleta seguinte, uma frase precisa passar de ausente para presente e as regras devem ser satisfeitas. A notificação inclui título, trecho e URL.</w:t>
      </w:r>
    </w:p>
    <w:p>
      <w:pPr>
        <w:pStyle w:val="Heading1"/>
      </w:pPr>
      <w:r>
        <w:t>4. Caso B — pós-graduação gratuita</w:t>
      </w:r>
    </w:p>
    <w:p>
      <w:pPr>
        <w:pStyle w:val="ListBullet"/>
      </w:pPr>
      <w:r>
        <w:t>A equipe importa no catálogo fontes públicas de universidades e instituições. O usuário seleciona uma ou mais fontes e cadastra expressões como “pós-graduação”, “online” e “gratuita”.</w:t>
      </w:r>
    </w:p>
    <w:p>
      <w:pPr>
        <w:pStyle w:val="ListBullet"/>
      </w:pPr>
      <w:r>
        <w:t>Para buscar variações, use ANY e diferentes expressões; para exigir todas, use ALL. Sinônimos como “EAD”, “sem taxa” e “isento” devem ser cadastrados explicitamente.</w:t>
      </w:r>
    </w:p>
    <w:p>
      <w:pPr>
        <w:pStyle w:val="ListBullet"/>
      </w:pPr>
      <w:r>
        <w:t>Limitação: as palavras devem aparecer no texto da mesma página; não há compreensão semântica, leitura de PDF, descoberta automática de links internos ou busca universal na internet.</w:t>
      </w:r>
    </w:p>
    <w:p>
      <w:pPr>
        <w:pStyle w:val="Heading1"/>
      </w:pPr>
      <w:r>
        <w:t>5. Motor de scraping e deduplicação</w:t>
      </w:r>
    </w:p>
    <w:p>
      <w:pPr>
        <w:pStyle w:val="ListBullet"/>
      </w:pPr>
      <w:r>
        <w:t>A Lambda executada pelo EventBridge a cada 15 minutos consulta até 50 monitoramentos vencidos por execução. Cada monitoramento tem nextCheckAt definido conforme o plano.</w:t>
      </w:r>
    </w:p>
    <w:p>
      <w:pPr>
        <w:pStyle w:val="ListBullet"/>
      </w:pPr>
      <w:r>
        <w:t>O scraper aceita HTML público, valida URLs e DNS, segue até 3 redirecionamentos e remove scripts, navegação e rodapé antes de comparar o texto normalizado.</w:t>
      </w:r>
    </w:p>
    <w:p>
      <w:pPr>
        <w:pStyle w:val="ListBullet"/>
      </w:pPr>
      <w:r>
        <w:t>A comparação usa hash SHA-256 e texto anterior. Apenas termos recém-surgidos geram detecção; há fingerprint e cooldown por usuário.</w:t>
      </w:r>
    </w:p>
    <w:p>
      <w:pPr>
        <w:pStyle w:val="ListBullet"/>
      </w:pPr>
      <w:r>
        <w:t>Sites com JavaScript obrigatório, CAPTCHA, PDF, bloqueios ou robots.txt restritivo precisam de conectores próprios ou autorização. Não contorne proteções de acesso.</w:t>
      </w:r>
    </w:p>
    <w:p>
      <w:pPr>
        <w:pStyle w:val="Heading1"/>
      </w:pPr>
      <w:r>
        <w:t>6. Planos e agendamento</w:t>
      </w:r>
    </w:p>
    <w:p>
      <w:pPr>
        <w:pStyle w:val="ListBullet"/>
      </w:pPr>
      <w:r>
        <w:t>Planos e limites são registros da tabela Plan. Seed inicial define intervalos, quantidades e cooldown. O EventBridge acorda a Lambda a cada 15 minutos; não há cron individual por usuário.</w:t>
      </w:r>
    </w:p>
    <w:p>
      <w:pPr>
        <w:pStyle w:val="ListBullet"/>
      </w:pPr>
      <w:r>
        <w:t>Não é garantia de latência em tempo real. Se houver mais de 50 monitoramentos vencidos, são processados em lotes nas execuções seguintes. Para produção com alto volume, introduza fila SQS, concorrência controlada, limites por domínio e métricas.</w:t>
      </w:r>
    </w:p>
    <w:p>
      <w:pPr>
        <w:pStyle w:val="Heading1"/>
      </w:pPr>
      <w:r>
        <w:t>7. Como testar</w:t>
      </w:r>
    </w:p>
    <w:p>
      <w:pPr>
        <w:pStyle w:val="ListBullet"/>
      </w:pPr>
      <w:r>
        <w:t>1. Crie projeto Supabase, configure Auth e obtenha URLs/chaves. Use a chave pública somente no app; jamais exponha service_role.</w:t>
      </w:r>
    </w:p>
    <w:p>
      <w:pPr>
        <w:pStyle w:val="ListBullet"/>
      </w:pPr>
      <w:r>
        <w:t>2. Crie um PostgreSQL Supabase, configure DATABASE_URL (pooler) e DIRECT_URL (conexão para migrations) no backend. Execute npm install, prisma generate, prisma migrate dev ou db push no ambiente de desenvolvimento e o seed.</w:t>
      </w:r>
    </w:p>
    <w:p>
      <w:pPr>
        <w:pStyle w:val="ListBullet"/>
      </w:pPr>
      <w:r>
        <w:t>3. Inicie a API com npm run dev. Teste GET /health e cadastro/login no Expo. Configure EXPO_PUBLIC_API_URL com endereço acessível ao telefone.</w:t>
      </w:r>
    </w:p>
    <w:p>
      <w:pPr>
        <w:pStyle w:val="ListBullet"/>
      </w:pPr>
      <w:r>
        <w:t>4. Crie uma página HTML pública controlada por você com texto “inscrições encerradas”. Cadastre sua URL e termo “inscrições abertas”. Execute o worker; não deve notificar.</w:t>
      </w:r>
    </w:p>
    <w:p>
      <w:pPr>
        <w:pStyle w:val="ListBullet"/>
      </w:pPr>
      <w:r>
        <w:t>5. Atualize a página para “inscrições abertas”. Execute o worker novamente. Verifique Detection e Notification no banco. Cadastre token Expo em dispositivo físico para receber push.</w:t>
      </w:r>
    </w:p>
    <w:p>
      <w:pPr>
        <w:pStyle w:val="ListBullet"/>
      </w:pPr>
      <w:r>
        <w:t>6. Repita sem alterar a página; não deve criar nova detecção. Teste pausa, reativação, limite de plano, exclusões e regras ALL/ANY.</w:t>
      </w:r>
    </w:p>
    <w:p>
      <w:pPr>
        <w:pStyle w:val="ListBullet"/>
      </w:pPr>
      <w:r>
        <w:t>7. Teste recuperação de senha com e-mail real, deep link permitido no Supabase e abertura do app no dispositivo.</w:t>
      </w:r>
    </w:p>
    <w:p>
      <w:pPr>
        <w:pStyle w:val="ListBullet"/>
      </w:pPr>
      <w:r>
        <w:t>8. Execute npm run typecheck e npm test em backend; npm run typecheck em mobile. O workflow CI executa esses comandos.</w:t>
      </w:r>
    </w:p>
    <w:p>
      <w:pPr>
        <w:pStyle w:val="Heading1"/>
      </w:pPr>
      <w:r>
        <w:t>8. Publicação AWS e segurança</w:t>
      </w:r>
    </w:p>
    <w:p>
      <w:pPr>
        <w:pStyle w:val="ListBullet"/>
      </w:pPr>
      <w:r>
        <w:t>Configure AWS IAM OIDC e secret AWS_DEPLOY_ROLE_ARN no GitHub Environment. Configure os secrets Supabase, banco e Serverless; execute workflow “Publicar backend AWS”.</w:t>
      </w:r>
    </w:p>
    <w:p>
      <w:pPr>
        <w:pStyle w:val="ListBullet"/>
      </w:pPr>
      <w:r>
        <w:t>O deploy executa prisma migrate deploy e serverless deploy. Prepare migrations versionadas antes de publicar. EventBridge aciona cron Lambda; API Gateway expõe endpoints.</w:t>
      </w:r>
    </w:p>
    <w:p>
      <w:pPr>
        <w:pStyle w:val="ListBullet"/>
      </w:pPr>
      <w:r>
        <w:t>Configure rate limiting/WAF, logs, alertas CloudWatch, rotação de secrets, backups, domínio, política de privacidade e termos de uso antes de lançar. A URL do banco deve ficar somente no backend.</w:t>
      </w:r>
    </w:p>
    <w:p>
      <w:pPr>
        <w:pStyle w:val="ListBullet"/>
      </w:pPr>
      <w:r>
        <w:t>Não use o exemplo de catálogo em produção: URLs precisam ser validadas e cadastradas pela equipe.</w:t>
      </w:r>
    </w:p>
    <w:p>
      <w:pPr>
        <w:pStyle w:val="Heading1"/>
      </w:pPr>
      <w:r>
        <w:t>9. Escopo ainda não coberto</w:t>
      </w:r>
    </w:p>
    <w:p>
      <w:pPr>
        <w:pStyle w:val="ListBullet"/>
      </w:pPr>
      <w:r>
        <w:t>Não há integração com gateway de pagamentos, assinatura automática, painel administrativo visual, descoberta geral via Google/Bing, análise de PDFs, monitoramento de páginas JavaScript, regras cruzadas entre fontes ou garantia de monitoramento 24/7.</w:t>
      </w:r>
    </w:p>
    <w:p>
      <w:pPr>
        <w:pStyle w:val="ListBullet"/>
      </w:pPr>
      <w:r>
        <w:t>O projeto é código-fonte de referência para evolução e homologação. Não foi testado ponta a ponta em contas reais Supabase/AWS e não deve ser apresentado como publicação já validada.</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RADAR  /  DOCUMENTAÇÃO DE PRODUTO E TESTES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