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Single-Area OSPFv2 Configuration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rPr>
          <w:b w:val="0"/>
          <w:bCs w:val="0"/>
        </w:rPr>
      </w:pPr>
      <w:r w:rsidDel="00000000" w:rsidR="00000000" w:rsidRPr="00000000">
        <w:rPr>
          <w:rtl w:val="0"/>
        </w:rPr>
        <w:t xml:space="preserve">Addressing Table</w:t>
      </w:r>
      <w:r w:rsidDel="00000000" w:rsidR="00000000" w:rsidRPr="00000000">
        <w:rPr>
          <w:rtl w:val="0"/>
        </w:rPr>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6"/>
        <w:gridCol w:w="3357"/>
        <w:gridCol w:w="3357"/>
        <w:tblGridChange w:id="0">
          <w:tblGrid>
            <w:gridCol w:w="3356"/>
            <w:gridCol w:w="3357"/>
            <w:gridCol w:w="3357"/>
          </w:tblGrid>
        </w:tblGridChange>
      </w:tblGrid>
      <w:tr>
        <w:trPr>
          <w:cantSplit w:val="1"/>
          <w:trHeight w:val="404" w:hRule="atLeast"/>
          <w:tblHeader w:val="1"/>
        </w:trPr>
        <w:tc>
          <w:tcPr>
            <w:tcBorders>
              <w:bottom w:color="000000" w:space="0" w:sz="4" w:val="single"/>
            </w:tcBorders>
            <w:shd w:fill="dbe5f1" w:val="clear"/>
            <w:vAlign w:val="center"/>
          </w:tcPr>
          <w:p w:rsidR="00000000" w:rsidDel="00000000" w:rsidP="00000000" w:rsidRDefault="00000000" w:rsidRPr="00000000" w14:paraId="00000004">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shd w:fill="dbe5f1" w:val="clear"/>
            <w:vAlign w:val="center"/>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shd w:fill="dbe5f1" w:val="clear"/>
            <w:vAlign w:val="center"/>
          </w:tcPr>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 / Prefix</w:t>
            </w:r>
          </w:p>
        </w:tc>
      </w:tr>
      <w:tr>
        <w:trPr>
          <w:cantSplit w:val="0"/>
          <w:trHeight w:val="432" w:hRule="atLeast"/>
          <w:tblHeader w:val="0"/>
        </w:trPr>
        <w:tc>
          <w:tcPr>
            <w:tcBorders>
              <w:bottom w:color="000000" w:space="0" w:sz="0" w:val="nil"/>
            </w:tcBorders>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P2P-1</w:t>
            </w:r>
          </w:p>
        </w:tc>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10.0.0.1/30</w:t>
            </w:r>
          </w:p>
        </w:tc>
      </w:tr>
      <w:tr>
        <w:trPr>
          <w:cantSplit w:val="0"/>
          <w:trHeight w:val="432" w:hRule="atLeast"/>
          <w:tblHeader w:val="0"/>
        </w:trPr>
        <w:tc>
          <w:tcPr>
            <w:tcBorders>
              <w:top w:color="000000" w:space="0" w:sz="0" w:val="nil"/>
              <w:bottom w:color="000000" w:space="0" w:sz="0" w:val="nil"/>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P2P-1</w:t>
            </w:r>
          </w:p>
        </w:tc>
        <w:tc>
          <w:tcP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10.0.0.9/30</w:t>
            </w:r>
          </w:p>
        </w:tc>
      </w:tr>
      <w:tr>
        <w:trPr>
          <w:cantSplit w:val="0"/>
          <w:trHeight w:val="432" w:hRule="atLeast"/>
          <w:tblHeader w:val="0"/>
        </w:trPr>
        <w:tc>
          <w:tcPr>
            <w:tcBorders>
              <w:top w:color="000000" w:space="0" w:sz="0" w:val="nil"/>
              <w:bottom w:color="00000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P2P-1</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S0/2/0</w:t>
            </w:r>
          </w:p>
        </w:tc>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10.0.0.13/30</w:t>
            </w:r>
          </w:p>
        </w:tc>
      </w:tr>
      <w:tr>
        <w:trPr>
          <w:cantSplit w:val="0"/>
          <w:trHeight w:val="432" w:hRule="atLeast"/>
          <w:tblHeader w:val="0"/>
        </w:trPr>
        <w:tc>
          <w:tcPr>
            <w:tcBorders>
              <w:bottom w:color="f2f2f2" w:space="0" w:sz="4" w:val="single"/>
            </w:tcBorders>
            <w:shd w:fill="f2f2f2"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shd w:fill="f2f2f2" w:val="cle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10.0.0.2/30</w:t>
            </w:r>
          </w:p>
        </w:tc>
      </w:tr>
      <w:tr>
        <w:trPr>
          <w:cantSplit w:val="0"/>
          <w:trHeight w:val="432" w:hRule="atLeast"/>
          <w:tblHeader w:val="0"/>
        </w:trPr>
        <w:tc>
          <w:tcPr>
            <w:tcBorders>
              <w:top w:color="f2f2f2" w:space="0" w:sz="4" w:val="single"/>
              <w:bottom w:color="f2f2f2" w:space="0" w:sz="4" w:val="single"/>
            </w:tcBorders>
            <w:shd w:fill="f2f2f2"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shd w:fill="f2f2f2"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10.0.0.5/30</w:t>
            </w:r>
          </w:p>
        </w:tc>
      </w:tr>
      <w:tr>
        <w:trPr>
          <w:cantSplit w:val="0"/>
          <w:trHeight w:val="432" w:hRule="atLeast"/>
          <w:tblHeader w:val="0"/>
        </w:trPr>
        <w:tc>
          <w:tcPr>
            <w:tcBorders>
              <w:top w:color="f2f2f2" w:space="0" w:sz="4" w:val="single"/>
              <w:bottom w:color="f2f2f2" w:space="0" w:sz="4" w:val="single"/>
            </w:tcBorders>
            <w:shd w:fill="f2f2f2"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192.168.1.1/24</w:t>
            </w:r>
          </w:p>
        </w:tc>
      </w:tr>
      <w:tr>
        <w:trPr>
          <w:cantSplit w:val="0"/>
          <w:trHeight w:val="432" w:hRule="atLeast"/>
          <w:tblHeader w:val="0"/>
        </w:trPr>
        <w:tc>
          <w:tcPr>
            <w:tcBorders>
              <w:top w:color="f2f2f2" w:space="0" w:sz="4" w:val="single"/>
              <w:bottom w:color="000000" w:space="0" w:sz="4" w:val="single"/>
            </w:tcBorders>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shd w:fill="f2f2f2" w:val="cle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192.168.2.1/24</w:t>
            </w:r>
          </w:p>
        </w:tc>
      </w:tr>
      <w:tr>
        <w:trPr>
          <w:cantSplit w:val="0"/>
          <w:trHeight w:val="432" w:hRule="atLeast"/>
          <w:tblHeader w:val="0"/>
        </w:trPr>
        <w:tc>
          <w:tcPr>
            <w:tcBorders>
              <w:bottom w:color="000000" w:space="0" w:sz="0" w:val="nil"/>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P2P-3</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10.0.0.6/30</w:t>
            </w:r>
          </w:p>
        </w:tc>
      </w:tr>
      <w:tr>
        <w:trPr>
          <w:cantSplit w:val="0"/>
          <w:trHeight w:val="432" w:hRule="atLeast"/>
          <w:tblHeader w:val="0"/>
        </w:trPr>
        <w:tc>
          <w:tcPr>
            <w:tcBorders>
              <w:top w:color="000000" w:space="0" w:sz="0" w:val="nil"/>
              <w:bottom w:color="000000" w:space="0" w:sz="0" w:val="nil"/>
            </w:tcBorders>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P2P-3</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10.0.0.10/30</w:t>
            </w:r>
          </w:p>
        </w:tc>
      </w:tr>
      <w:tr>
        <w:trPr>
          <w:cantSplit w:val="0"/>
          <w:trHeight w:val="432" w:hRule="atLeast"/>
          <w:tblHeader w:val="0"/>
        </w:trPr>
        <w:tc>
          <w:tcPr>
            <w:tcBorders>
              <w:top w:color="000000" w:space="0" w:sz="0" w:val="nil"/>
              <w:bottom w:color="000000" w:space="0" w:sz="4" w:val="single"/>
            </w:tcBorders>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P2P-3</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192.168.3.1/28</w:t>
            </w:r>
          </w:p>
        </w:tc>
      </w:tr>
      <w:tr>
        <w:trPr>
          <w:cantSplit w:val="0"/>
          <w:trHeight w:val="432" w:hRule="atLeast"/>
          <w:tblHeader w:val="0"/>
        </w:trPr>
        <w:tc>
          <w:tcPr>
            <w:tcBorders>
              <w:bottom w:color="000000" w:space="0" w:sz="0" w:val="nil"/>
            </w:tcBorders>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BC-1</w:t>
            </w:r>
          </w:p>
        </w:tc>
        <w:tc>
          <w:tcPr>
            <w:shd w:fill="f2f2f2"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shd w:fill="f2f2f2"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10.0.0.14/30</w:t>
            </w:r>
          </w:p>
        </w:tc>
      </w:tr>
      <w:tr>
        <w:trPr>
          <w:cantSplit w:val="0"/>
          <w:trHeight w:val="432" w:hRule="atLeast"/>
          <w:tblHeader w:val="0"/>
        </w:trPr>
        <w:tc>
          <w:tcPr>
            <w:tcBorders>
              <w:top w:color="000000" w:space="0" w:sz="0" w:val="nil"/>
              <w:bottom w:color="000000" w:space="0" w:sz="0" w:val="nil"/>
            </w:tcBorders>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BC-1</w:t>
            </w:r>
          </w:p>
        </w:tc>
        <w:tc>
          <w:tcPr>
            <w:shd w:fill="f2f2f2"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shd w:fill="f2f2f2"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64.0.100.2/30</w:t>
            </w:r>
          </w:p>
        </w:tc>
      </w:tr>
      <w:tr>
        <w:trPr>
          <w:cantSplit w:val="0"/>
          <w:trHeight w:val="432" w:hRule="atLeast"/>
          <w:tblHeader w:val="0"/>
        </w:trPr>
        <w:tc>
          <w:tcPr>
            <w:tcBorders>
              <w:top w:color="000000" w:space="0" w:sz="0" w:val="nil"/>
              <w:bottom w:color="000000" w:space="0" w:sz="4" w:val="single"/>
            </w:tcBorders>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BC-1</w:t>
            </w:r>
          </w:p>
        </w:tc>
        <w:tc>
          <w:tcPr>
            <w:shd w:fill="f2f2f2"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shd w:fill="f2f2f2"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10.0.1.1/29</w:t>
            </w:r>
          </w:p>
        </w:tc>
      </w:tr>
      <w:tr>
        <w:trPr>
          <w:cantSplit w:val="0"/>
          <w:trHeight w:val="432" w:hRule="atLeast"/>
          <w:tblHeader w:val="0"/>
        </w:trPr>
        <w:tc>
          <w:tcPr>
            <w:tcBorders>
              <w:bottom w:color="000000" w:space="0" w:sz="0" w:val="nil"/>
            </w:tcBorders>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BC-2</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192.168.4.1/30</w:t>
            </w:r>
          </w:p>
        </w:tc>
      </w:tr>
      <w:tr>
        <w:trPr>
          <w:cantSplit w:val="0"/>
          <w:trHeight w:val="432"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BC-2</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10.0.1.2/29</w:t>
            </w:r>
          </w:p>
        </w:tc>
      </w:tr>
      <w:tr>
        <w:trPr>
          <w:cantSplit w:val="0"/>
          <w:trHeight w:val="377" w:hRule="atLeast"/>
          <w:tblHeader w:val="0"/>
        </w:trPr>
        <w:tc>
          <w:tcPr>
            <w:tcBorders>
              <w:bottom w:color="000000" w:space="0" w:sz="0" w:val="nil"/>
            </w:tcBorders>
            <w:shd w:fill="f2f2f2"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BC-3</w:t>
            </w:r>
          </w:p>
        </w:tc>
        <w:tc>
          <w:tcPr>
            <w:shd w:fill="f2f2f2"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shd w:fill="f2f2f2"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192.168.5.1/24</w:t>
            </w:r>
          </w:p>
        </w:tc>
      </w:tr>
      <w:tr>
        <w:trPr>
          <w:cantSplit w:val="0"/>
          <w:trHeight w:val="432" w:hRule="atLeast"/>
          <w:tblHeader w:val="0"/>
        </w:trPr>
        <w:tc>
          <w:tcPr>
            <w:tcBorders>
              <w:top w:color="000000" w:space="0" w:sz="0" w:val="nil"/>
            </w:tcBorders>
            <w:shd w:fill="f2f2f2"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BC-3</w:t>
            </w:r>
            <w:r w:rsidDel="00000000" w:rsidR="00000000" w:rsidRPr="00000000">
              <w:rPr>
                <w:rtl w:val="0"/>
              </w:rPr>
            </w:r>
          </w:p>
        </w:tc>
        <w:tc>
          <w:tcPr>
            <w:shd w:fill="f2f2f2"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shd w:fill="f2f2f2"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10.0.1.3/29</w:t>
            </w:r>
          </w:p>
        </w:tc>
      </w:tr>
      <w:tr>
        <w:trPr>
          <w:cantSplit w:val="0"/>
          <w:trHeight w:val="432" w:hRule="atLeast"/>
          <w:tblHeader w:val="0"/>
        </w:trPr>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Server</w:t>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203.0.113.100/24</w:t>
            </w:r>
          </w:p>
        </w:tc>
      </w:tr>
      <w:tr>
        <w:trPr>
          <w:cantSplit w:val="0"/>
          <w:trHeight w:val="432" w:hRule="atLeast"/>
          <w:tblHeader w:val="0"/>
        </w:trPr>
        <w:tc>
          <w:tcPr>
            <w:shd w:fill="f2f2f2"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1</w:t>
            </w:r>
          </w:p>
        </w:tc>
        <w:tc>
          <w:tcPr>
            <w:shd w:fill="f2f2f2"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2f2f2"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192.168.1.10/24</w:t>
            </w:r>
          </w:p>
        </w:tc>
      </w:tr>
      <w:tr>
        <w:trPr>
          <w:cantSplit w:val="0"/>
          <w:trHeight w:val="432" w:hRule="atLeast"/>
          <w:tblHeader w:val="0"/>
        </w:trPr>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Laptop 1</w:t>
            </w:r>
          </w:p>
        </w:tc>
        <w:tc>
          <w:tcP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192.168.2.20/24</w:t>
            </w:r>
          </w:p>
        </w:tc>
      </w:tr>
      <w:tr>
        <w:trPr>
          <w:cantSplit w:val="0"/>
          <w:trHeight w:val="432" w:hRule="atLeast"/>
          <w:tblHeader w:val="0"/>
        </w:trPr>
        <w:tc>
          <w:tcPr>
            <w:shd w:fill="f2f2f2"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Workgroup Server</w:t>
            </w:r>
          </w:p>
        </w:tc>
        <w:tc>
          <w:tcPr>
            <w:shd w:fill="f2f2f2"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2f2f2"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192.168.3.14/28</w:t>
            </w:r>
          </w:p>
        </w:tc>
      </w:tr>
      <w:tr>
        <w:trPr>
          <w:cantSplit w:val="0"/>
          <w:trHeight w:val="432" w:hRule="atLeast"/>
          <w:tblHeader w:val="0"/>
        </w:trPr>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2</w:t>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192.168.4.40/24</w:t>
            </w:r>
          </w:p>
        </w:tc>
      </w:tr>
      <w:tr>
        <w:trPr>
          <w:cantSplit w:val="0"/>
          <w:trHeight w:val="432" w:hRule="atLeast"/>
          <w:tblHeader w:val="0"/>
        </w:trPr>
        <w:tc>
          <w:tcPr>
            <w:shd w:fill="f2f2f2"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3</w:t>
            </w:r>
          </w:p>
        </w:tc>
        <w:tc>
          <w:tcPr>
            <w:shd w:fill="f2f2f2"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2f2f2"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192.168.5.50/24</w:t>
            </w:r>
          </w:p>
        </w:tc>
      </w:tr>
    </w:tbl>
    <w:p w:rsidR="00000000" w:rsidDel="00000000" w:rsidP="00000000" w:rsidRDefault="00000000" w:rsidRPr="00000000" w14:paraId="0000004C">
      <w:pPr>
        <w:pStyle w:val="Heading1"/>
        <w:rPr/>
      </w:pPr>
      <w:r w:rsidDel="00000000" w:rsidR="00000000" w:rsidRPr="00000000">
        <w:rPr>
          <w:rtl w:val="0"/>
        </w:rPr>
        <w:t xml:space="preserve">Objectives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single-area OSPFv2 in both point-to-point and broadcast multiaccess networks.</w:t>
      </w:r>
    </w:p>
    <w:p w:rsidR="00000000" w:rsidDel="00000000" w:rsidP="00000000" w:rsidRDefault="00000000" w:rsidRPr="00000000" w14:paraId="0000004E">
      <w:pPr>
        <w:pStyle w:val="Heading1"/>
        <w:rPr/>
      </w:pPr>
      <w:r w:rsidDel="00000000" w:rsidR="00000000" w:rsidRPr="00000000">
        <w:rPr>
          <w:rtl w:val="0"/>
        </w:rPr>
        <w:t xml:space="preserve">Background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helping a network engineer test an OSPF set up by building the network in the lab where you work. You have interconnected the devices and configured the interfaces and have connectivity within the local LANs. Your job is to complete the OSPF configuration according to the requirements left by the engineer.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information provided and the list of requirements to configure the test network. When the task has been successfully completed, all hosts should be able to ping the internet server.</w:t>
      </w:r>
    </w:p>
    <w:p w:rsidR="00000000" w:rsidDel="00000000" w:rsidP="00000000" w:rsidRDefault="00000000" w:rsidRPr="00000000" w14:paraId="00000051">
      <w:pPr>
        <w:pStyle w:val="Heading1"/>
        <w:rPr/>
      </w:pPr>
      <w:r w:rsidDel="00000000" w:rsidR="00000000" w:rsidRPr="00000000">
        <w:rPr>
          <w:rtl w:val="0"/>
        </w:rPr>
        <w:t xml:space="preserve">Instructions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network to meet the requirements.</w:t>
      </w:r>
    </w:p>
    <w:p w:rsidR="00000000" w:rsidDel="00000000" w:rsidP="00000000" w:rsidRDefault="00000000" w:rsidRPr="00000000" w14:paraId="00000053">
      <w:pPr>
        <w:pStyle w:val="Heading1"/>
        <w:rPr/>
      </w:pPr>
      <w:r w:rsidDel="00000000" w:rsidR="00000000" w:rsidRPr="00000000">
        <w:rPr>
          <w:rtl w:val="0"/>
        </w:rPr>
        <w:t xml:space="preserve">Requirements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process ID 10 for OSPF activation on all routers.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OSPF using network statements and inverse masks on the routers in the Headquarters network.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OSPF by configuring the interfaces of the network devices in the Data Service network, where required.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router IDs on the multiaccess network routers as follows: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BC-1: 6.6.6.6</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BC-2: 5.5.5.5</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BC-3: 4.4.4.4</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OSPF so that routing updates are not sent into networks where they are not required.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router BC-1 with the highest OSPF interface priority so that it will always be the designated router of the multiaccess network.</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default route to the ISP cloud using the exit interface command argument.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Automatically distribute the default route to all routers in the network.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OSPF routers so that the Gigabit Ethernet interface cost will be 10 and the Fast Ethernet cost will be 100.</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OSPF cost value of P2P-1 interface Serial0/1/1 to 50.</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hello and dead timer values on the interfaces that connect P2P-1 and BC-1 to be twice the default values.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63">
      <w:pPr>
        <w:pStyle w:val="Heading1"/>
        <w:numPr>
          <w:ilvl w:val="0"/>
          <w:numId w:val="2"/>
        </w:numPr>
        <w:spacing w:before="120" w:lineRule="auto"/>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Answer Configurations</w:t>
      </w:r>
    </w:p>
    <w:p w:rsidR="00000000" w:rsidDel="00000000" w:rsidP="00000000" w:rsidRDefault="00000000" w:rsidRPr="00000000" w14:paraId="00000064">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P2P-1</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Serial0/1/1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cost 50</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Serial0/2/0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hello-interval 20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dead-interval 80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10.0.0.0 0.0.0.3 area 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10.0.0.8 0.0.0.3 area 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10.0.0.12 0.0.0.3 area 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72">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P2P-2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10.0.0.0 0.0.0.3 area 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10.0.0.4 0.0.0.3 area 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192.168.1.0 0.0.0.255 area 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192.168.2.0 0.0.0.255 area 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7E">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P2P-3</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10.0.0.4 0.0.0.3 area 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10.0.0.8 0.0.0.3 area 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192.168.3.0 0.0.0.15 area 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88">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BC-1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priority 255</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Serial0/1/0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hello-interval 20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dead-interval 80</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router-id 6.6.6.6</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Serial0/1/1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default-information originate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ip route 0.0.0.0 0.0.0.0 Serial0/1/1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99">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BC-2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GigabitEthernet0/0/1</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router-id 5.5.5.5</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sz w:val="20"/>
          <w:szCs w:val="20"/>
          <w:shd w:fill="bfbfbf" w:val="clear"/>
          <w:rtl w:val="0"/>
        </w:rPr>
        <w:t xml:space="preserve">E</w:t>
      </w: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nd</w:t>
        <w:br w:type="textWrapping"/>
      </w:r>
    </w:p>
    <w:p w:rsidR="00000000" w:rsidDel="00000000" w:rsidP="00000000" w:rsidRDefault="00000000" w:rsidRPr="00000000" w14:paraId="000000A5">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BC-3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GigabitEthernet0/0/0</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GigabitEthernet0/0/1</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router-id 4.4.4.4</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sectPr>
      <w:headerReference r:id="rId7" w:type="default"/>
      <w:headerReference r:id="rId8" w:type="first"/>
      <w:footerReference r:id="rId9" w:type="default"/>
      <w:footerReference r:id="rId10"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Single-Area OSPFv2 Configuration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ind w:left="-288" w:firstLine="0"/>
      <w:rPr/>
    </w:pPr>
    <w:r w:rsidDel="00000000" w:rsidR="00000000" w:rsidRPr="00000000">
      <w:rPr/>
      <w:drawing>
        <wp:inline distB="0" distT="0" distL="0" distR="0">
          <wp:extent cx="2587752" cy="804672"/>
          <wp:effectExtent b="0" l="0" r="0" t="0"/>
          <wp:docPr descr="Cisco Network Academy logo" id="2"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OX2g4RfovdeJShNDGch31KHQg==">CgMxLjA4AHIhMUhJNDN5NnBKcnBHeXlGMkFQLWhwMjRPSlVGMnZMSDVx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