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Amaefula and Dr Joseph Onyeka</w:t>
      </w:r>
    </w:p>
    <w:p>
      <w:pPr>
        <w:pStyle w:val="Date"/>
      </w:pPr>
      <w:r>
        <w:t xml:space="preserve">2026-09-14</w:t>
      </w:r>
    </w:p>
    <w:p>
      <w:pPr>
        <w:pStyle w:val="FirstParagraph"/>
      </w:pPr>
      <w:r>
        <w:rPr>
          <w:b/>
          <w:bCs/>
        </w:rPr>
        <w:t xml:space="preserve">Introduction</w:t>
      </w:r>
    </w:p>
    <w:p>
      <w:pPr>
        <w:pStyle w:val="BodyText"/>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flower and or have produce poor seeds and secondly the onset of disease intercepts the time of flower maturation leading to the death of most of the plant hence lack of seeds available for the next planting season. this is a major bottle neck of tara improvement.</w:t>
      </w:r>
    </w:p>
    <w:p>
      <w:pPr>
        <w:pStyle w:val="BodyText"/>
      </w:pPr>
      <w:r>
        <w:t xml:space="preserve">Taro breeders are seeking for ways to overcome the problem of seed availability and have employed method such as staggering the planting time to escape disease the peak of disease outbreak. Mutation breeding is one method that breeders can employ to increase genetic diversity of taro. there is need to understand what mutation is before we think of mutation breeding</w:t>
      </w:r>
    </w:p>
    <w:bookmarkEnd w:id="9"/>
    <w:bookmarkStart w:id="13"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such as chemicals, heat and irradiation leading to structural changes n the DNA. The change usually affect on one strand of the parent double helix. that is only one strand carries the mutation</w:t>
      </w:r>
      <w:r>
        <w:t xml:space="preserve"> </w:t>
      </w:r>
      <w:r>
        <w:t xml:space="preserve">(Brown 2002)</w:t>
      </w:r>
      <w:r>
        <w:t xml:space="preserve">.</w:t>
      </w:r>
    </w:p>
    <w:p>
      <w:pPr>
        <w:pStyle w:val="BodyText"/>
      </w:pPr>
      <w:r>
        <w:t xml:space="preserve">Mutation can be classified based on the scale of the DNA sequence affected by the mutational events. mutaion can be either small or large scale.</w:t>
      </w:r>
    </w:p>
    <w:p>
      <w:pPr>
        <w:pStyle w:val="BodyText"/>
      </w:pPr>
      <w:r>
        <w:t xml:space="preserve">Small scale mutation involves changes in one or few nucleotides. Small scale mutation includes deletion, insertion and substitution of one or few nucleotides. Substitution is also called point mutation - and it is when one nucleotide is replaces with another nucleotide. Point mutation occurs in two way; transition - when a purine is converted to a purine and vice versa. Transversion is when a purine is converted to a pyrimidine and vice versa. Point mutation is of three types, silence mutation, missence mutation and nonsense mutation. Silence mutation occurs when the change in nucleotide of a codon leads to the formation of a new codon that translates into the same amino acid. Mis-sense mutation occurs when the codon is changed into another codon that translates into a different amino acid, and non-sense mutation occurs when the codon is changed into a codon that does not translate any amino acid. The resulting codon (the stop codon) of a non-sense mutation leads to the end of the a translation process.</w:t>
      </w:r>
    </w:p>
    <w:p>
      <w:pPr>
        <w:pStyle w:val="BodyText"/>
      </w:pPr>
      <w:r>
        <w:t xml:space="preserve">Large scale mutation affects the entire structure of the chromosome. Large scale mutation involves deletion of a large region of the chromosome leading to loss of genes, and duplication of a single chromosome. Duplication can lead to extra copies of genes, and inversion is when the segment of the chromosome is reversed. Large scale mutation can occur also include insertion of an extra copy of a chromosome, and translocation of sections of the DNA from one location to another location.</w:t>
      </w:r>
    </w:p>
    <w:p>
      <w:pPr>
        <w:pStyle w:val="BodyText"/>
      </w:pPr>
      <w:r>
        <w:drawing>
          <wp:inline>
            <wp:extent cx="5943600" cy="3587699"/>
            <wp:effectExtent b="0" l="0" r="0" t="0"/>
            <wp:docPr descr="" title="" id="11" name="Picture"/>
            <a:graphic>
              <a:graphicData uri="http://schemas.openxmlformats.org/drawingml/2006/picture">
                <pic:pic>
                  <pic:nvPicPr>
                    <pic:cNvPr descr="Mution-breeding-and-Genomic-Selection-in-Taro_files/images/clipboard-3780650227.png" id="12" name="Picture"/>
                    <pic:cNvPicPr>
                      <a:picLocks noChangeArrowheads="1" noChangeAspect="1"/>
                    </pic:cNvPicPr>
                  </pic:nvPicPr>
                  <pic:blipFill>
                    <a:blip r:embed="rId10"/>
                    <a:stretch>
                      <a:fillRect/>
                    </a:stretch>
                  </pic:blipFill>
                  <pic:spPr bwMode="auto">
                    <a:xfrm>
                      <a:off x="0" y="0"/>
                      <a:ext cx="5943600" cy="3587699"/>
                    </a:xfrm>
                    <a:prstGeom prst="rect">
                      <a:avLst/>
                    </a:prstGeom>
                    <a:noFill/>
                    <a:ln w="9525">
                      <a:noFill/>
                      <a:headEnd/>
                      <a:tailEnd/>
                    </a:ln>
                  </pic:spPr>
                </pic:pic>
              </a:graphicData>
            </a:graphic>
          </wp:inline>
        </w:drawing>
      </w:r>
    </w:p>
    <w:p>
      <w:pPr>
        <w:pStyle w:val="BodyText"/>
      </w:pPr>
      <w:r>
        <w:t xml:space="preserve">fig 1: Types of mutation</w:t>
      </w:r>
    </w:p>
    <w:p>
      <w:pPr>
        <w:pStyle w:val="BodyText"/>
      </w:pPr>
      <w:r>
        <w:t xml:space="preserve">Mutation is the main source of all genetic variation that occurs in organisms including plants (Kharkwal 2011). these variation are the source of raw materials needed for natural selection to operate and ring about evolution (Kharkwal 2011)</w:t>
      </w:r>
      <w:r>
        <w:t xml:space="preserve"> </w:t>
      </w:r>
      <w:r>
        <w:t xml:space="preserve">Mutation can be spontaneous. This is when mutation occurs naturally in a population resulting in new phenotype or variation in the population(). spontaneous mutation naturally occurs during adaptation and evolution processes. Mutation can also be deliberately induced to occur.</w:t>
      </w:r>
    </w:p>
    <w:bookmarkEnd w:id="13"/>
    <w:bookmarkStart w:id="25" w:name="mutagens"/>
    <w:p>
      <w:pPr>
        <w:pStyle w:val="Heading3"/>
      </w:pPr>
      <w:r>
        <w:t xml:space="preserve">Mutagens</w:t>
      </w:r>
    </w:p>
    <w:p>
      <w:pPr>
        <w:pStyle w:val="FirstParagraph"/>
      </w:pPr>
      <w:r>
        <w:t xml:space="preserve">Mutation involves the use of physical mutagens like ionized radiation such as x-rays, gammar rays and fast neutron. These radiations alter the DNA structure of plants. Mutation also involves the use of chemical mutagens such ethyl ethyl methanesulfonate (EMS) to induce spontaneous genetic variation in plant to develop new crop varieties</w:t>
      </w:r>
      <w:r>
        <w:t xml:space="preserve"> </w:t>
      </w:r>
      <w:r>
        <w:t xml:space="preserve">(Cvejić et al. 2026)</w:t>
      </w:r>
      <w:r>
        <w:t xml:space="preserve"> </w:t>
      </w:r>
      <w:r>
        <w:t xml:space="preserve">one of the advantages of mutation breeding is that it increases the genetic diversity.</w:t>
      </w:r>
      <w:r>
        <w:t xml:space="preserve"> </w:t>
      </w:r>
      <w:r>
        <w:t xml:space="preserve">Mutation can also be induced using biotechnological processes (Kharkwal 2011)</w:t>
      </w:r>
    </w:p>
    <w:bookmarkStart w:id="14" w:name="mutation-breeding-for-crop-improvement"/>
    <w:p>
      <w:pPr>
        <w:pStyle w:val="Heading4"/>
      </w:pPr>
      <w:r>
        <w:t xml:space="preserve">Mutation breeding for crop improvement</w:t>
      </w:r>
    </w:p>
    <w:p>
      <w:pPr>
        <w:pStyle w:val="FirstParagraph"/>
      </w:pPr>
      <w:r>
        <w:t xml:space="preserve">Crop improvements can be made when sufficient variation for a given trait of interest is available within the gene pool of the crop. In many cases, the desired variation may exist in out-dated varieties, old landraces (Forstera and Shu 2011). to harness these desired variations from the elite varieties or landraces into the new lines will involve long breeding process which might be less appealing to the plant breeder. A much better approach is to cause variation in the new lines without undergoing so several crosses and selection. Mutation breeding is one method that can create variation without involving crossing.</w:t>
      </w:r>
    </w:p>
    <w:p>
      <w:pPr>
        <w:pStyle w:val="BodyText"/>
      </w:pPr>
      <w:r>
        <w:t xml:space="preserve">Freisleben and Lein (1944) first defined the term mutation breeding as the deliberate induction and development of mutant lines for crop improvement (Forstera and Shu 2011). Mutation breeding is a processes of creating variation in plant by intentionally inducing mutations and utilize them for crop improvement.</w:t>
      </w:r>
    </w:p>
    <w:p>
      <w:pPr>
        <w:pStyle w:val="BodyText"/>
      </w:pPr>
      <w:r>
        <w:t xml:space="preserve">Genetic diversity is important to plant breeders because it allows for the selection of new traits. Although mutants can be produced using different mutagens, mutation breeding is restricted to the use of physical and chemical mutagens (Forstera and Shu 2011).</w:t>
      </w:r>
    </w:p>
    <w:p>
      <w:pPr>
        <w:pStyle w:val="BodyText"/>
      </w:pPr>
      <w:r>
        <w:t xml:space="preserve">Mutation breeding can be useful in plants with narrow genetic base like taro.</w:t>
      </w:r>
    </w:p>
    <w:bookmarkEnd w:id="14"/>
    <w:bookmarkStart w:id="15" w:name="Xfb671e7d8b340cf9eca7793602245abea5c68ee"/>
    <w:p>
      <w:pPr>
        <w:pStyle w:val="Heading4"/>
      </w:pPr>
      <w:r>
        <w:t xml:space="preserve">Principles and application of mutation breeding</w:t>
      </w:r>
    </w:p>
    <w:p>
      <w:pPr>
        <w:pStyle w:val="FirstParagraph"/>
      </w:pPr>
      <w:r>
        <w:t xml:space="preserve">Induce mutation caused either due to physical or chemical mutagens occur at random across the genome or within any locus or gene ()</w:t>
      </w:r>
    </w:p>
    <w:bookmarkEnd w:id="15"/>
    <w:bookmarkStart w:id="24" w:name="X53bfa4b6802512ded6a17f04feab927a2cce647"/>
    <w:p>
      <w:pPr>
        <w:pStyle w:val="Heading4"/>
      </w:pPr>
      <w:r>
        <w:t xml:space="preserve">Genomic selection and mutation breeding workflow</w:t>
      </w:r>
    </w:p>
    <w:p>
      <w:pPr>
        <w:pStyle w:val="FirstParagraph"/>
      </w:pPr>
      <w:r>
        <w:drawing>
          <wp:inline>
            <wp:extent cx="5943600" cy="6324850"/>
            <wp:effectExtent b="0" l="0" r="0" t="0"/>
            <wp:docPr descr="" title="" id="17" name="Picture"/>
            <a:graphic>
              <a:graphicData uri="http://schemas.openxmlformats.org/drawingml/2006/picture">
                <pic:pic>
                  <pic:nvPicPr>
                    <pic:cNvPr descr="Mution-breeding-and-Genomic-Selection-in-Taro_files/images/mutation breeding 2-01.png" id="18" name="Picture"/>
                    <pic:cNvPicPr>
                      <a:picLocks noChangeArrowheads="1" noChangeAspect="1"/>
                    </pic:cNvPicPr>
                  </pic:nvPicPr>
                  <pic:blipFill>
                    <a:blip r:embed="rId16"/>
                    <a:stretch>
                      <a:fillRect/>
                    </a:stretch>
                  </pic:blipFill>
                  <pic:spPr bwMode="auto">
                    <a:xfrm>
                      <a:off x="0" y="0"/>
                      <a:ext cx="5943600" cy="6324850"/>
                    </a:xfrm>
                    <a:prstGeom prst="rect">
                      <a:avLst/>
                    </a:prstGeom>
                    <a:noFill/>
                    <a:ln w="9525">
                      <a:noFill/>
                      <a:headEnd/>
                      <a:tailEnd/>
                    </a:ln>
                  </pic:spPr>
                </pic:pic>
              </a:graphicData>
            </a:graphic>
          </wp:inline>
        </w:drawing>
      </w:r>
    </w:p>
    <w:p>
      <w:pPr>
        <w:pStyle w:val="BodyText"/>
      </w:pPr>
      <w:r>
        <w:rPr>
          <w:b/>
          <w:bCs/>
        </w:rPr>
        <w:t xml:space="preserve">References</w:t>
      </w:r>
    </w:p>
    <w:p>
      <w:pPr>
        <w:pStyle w:val="BodyText"/>
      </w:pPr>
      <w:r>
        <w:t xml:space="preserve">Freisleben, R.A. and Lein, A. 1944. Möglichkeiten und praktische Durchführung der Mutationszüchtung. Kühn-Arhiv. 60: 211-22.</w:t>
      </w:r>
    </w:p>
    <w:p>
      <w:pPr>
        <w:pStyle w:val="BodyText"/>
      </w:pPr>
      <w:r>
        <w:t xml:space="preserve">Forstera B.P. and Shu Q.Y. 2011 Plant Mutagenesis in Crop Improvement: Basic Terms and Applications in Shu Q.Y., Forster B.P., and Nakagawa H. edited Plant Mutation Breeding and Biotechnology. Plant Breeding and Genetics Section Joint FAO/IAEA Division of Nuclear Techniques in Food and Agriculture International Atomic Energy Agency, Vienna, Austria</w:t>
      </w:r>
    </w:p>
    <w:p>
      <w:pPr>
        <w:pStyle w:val="BodyText"/>
      </w:pPr>
      <w:r>
        <w:t xml:space="preserve">Kharkwal M.C. 2011 A Brief History of Plant Mutagenesis in Shu Q.Y., Forster B.P., and Nakagawa H. edited Plant Mutation Breeding and Biotechnology. Plant Breeding and Genetics Section Joint FAO/IAEA Division of Nuclear Techniques in Food and Agriculture International Atomic Energy Agency, Vienna, Austria</w:t>
      </w:r>
    </w:p>
    <w:bookmarkStart w:id="23" w:name="refs"/>
    <w:bookmarkStart w:id="20" w:name="ref-brown2002"/>
    <w:p>
      <w:pPr>
        <w:pStyle w:val="Bibliography"/>
      </w:pPr>
      <w:r>
        <w:t xml:space="preserve">Brown, Terence A. 2002.</w:t>
      </w:r>
      <w:r>
        <w:t xml:space="preserve"> </w:t>
      </w:r>
      <w:r>
        <w:rPr>
          <w:i/>
          <w:iCs/>
        </w:rPr>
        <w:t xml:space="preserve">Mutation, Repair and Recombination</w:t>
      </w:r>
      <w:r>
        <w:t xml:space="preserve">. Wiley-Liss.</w:t>
      </w:r>
      <w:r>
        <w:t xml:space="preserve"> </w:t>
      </w:r>
      <w:hyperlink r:id="rId19">
        <w:r>
          <w:rPr>
            <w:rStyle w:val="Hyperlink"/>
          </w:rPr>
          <w:t xml:space="preserve">https://www.ncbi.nlm.nih.gov/books/NBK21114/</w:t>
        </w:r>
      </w:hyperlink>
      <w:r>
        <w:t xml:space="preserve">.</w:t>
      </w:r>
    </w:p>
    <w:bookmarkEnd w:id="20"/>
    <w:bookmarkStart w:id="22"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21">
        <w:r>
          <w:rPr>
            <w:rStyle w:val="Hyperlink"/>
          </w:rPr>
          <w:t xml:space="preserve">https://doi.org/10.3390/agronomy16151488</w:t>
        </w:r>
      </w:hyperlink>
      <w:r>
        <w:t xml:space="preserve">.</w:t>
      </w:r>
    </w:p>
    <w:bookmarkEnd w:id="22"/>
    <w:bookmarkEnd w:id="23"/>
    <w:bookmarkEnd w:id="24"/>
    <w:bookmarkEnd w:id="25"/>
    <w:sectPr w:rsidR="00D63DC7" w:rsidRPr="0091791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69"/>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918"/>
    <w:rsid w:val="0010132B"/>
    <w:rsid w:val="00917918"/>
    <w:rsid w:val="00D63DC7"/>
    <w:rsid w:val="00E9392A"/>
    <w:rsid w:val="00FA3A7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917918"/>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917918"/>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91791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917918"/>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917918"/>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917918"/>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17918"/>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17918"/>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17918"/>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17918"/>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917918"/>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917918"/>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917918"/>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17918"/>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917918"/>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917918"/>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917918"/>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917918"/>
    <w:rPr>
      <w:rFonts w:cstheme="majorBidi" w:eastAsiaTheme="majorEastAsia"/>
      <w:color w:themeColor="text1" w:themeTint="D8" w:val="272727"/>
    </w:rPr>
  </w:style>
  <w:style w:styleId="Title" w:type="paragraph">
    <w:name w:val="Title"/>
    <w:basedOn w:val="Normal"/>
    <w:next w:val="Normal"/>
    <w:link w:val="TitleChar"/>
    <w:uiPriority w:val="10"/>
    <w:qFormat/>
    <w:rsid w:val="00917918"/>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17918"/>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917918"/>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17918"/>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917918"/>
    <w:pPr>
      <w:spacing w:before="160"/>
      <w:jc w:val="center"/>
    </w:pPr>
    <w:rPr>
      <w:i/>
      <w:iCs/>
      <w:color w:themeColor="text1" w:themeTint="BF" w:val="404040"/>
    </w:rPr>
  </w:style>
  <w:style w:customStyle="1" w:styleId="QuoteChar" w:type="character">
    <w:name w:val="Quote Char"/>
    <w:basedOn w:val="DefaultParagraphFont"/>
    <w:link w:val="Quote"/>
    <w:uiPriority w:val="29"/>
    <w:rsid w:val="00917918"/>
    <w:rPr>
      <w:i/>
      <w:iCs/>
      <w:color w:themeColor="text1" w:themeTint="BF" w:val="404040"/>
    </w:rPr>
  </w:style>
  <w:style w:styleId="ListParagraph" w:type="paragraph">
    <w:name w:val="List Paragraph"/>
    <w:basedOn w:val="Normal"/>
    <w:uiPriority w:val="34"/>
    <w:qFormat/>
    <w:rsid w:val="00917918"/>
    <w:pPr>
      <w:ind w:left="720"/>
      <w:contextualSpacing/>
    </w:pPr>
  </w:style>
  <w:style w:styleId="IntenseEmphasis" w:type="character">
    <w:name w:val="Intense Emphasis"/>
    <w:basedOn w:val="DefaultParagraphFont"/>
    <w:uiPriority w:val="21"/>
    <w:qFormat/>
    <w:rsid w:val="00917918"/>
    <w:rPr>
      <w:i/>
      <w:iCs/>
      <w:color w:themeColor="accent1" w:themeShade="BF" w:val="0F4761"/>
    </w:rPr>
  </w:style>
  <w:style w:styleId="IntenseQuote" w:type="paragraph">
    <w:name w:val="Intense Quote"/>
    <w:basedOn w:val="Normal"/>
    <w:next w:val="Normal"/>
    <w:link w:val="IntenseQuoteChar"/>
    <w:uiPriority w:val="30"/>
    <w:qFormat/>
    <w:rsid w:val="00917918"/>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917918"/>
    <w:rPr>
      <w:i/>
      <w:iCs/>
      <w:color w:themeColor="accent1" w:themeShade="BF" w:val="0F4761"/>
    </w:rPr>
  </w:style>
  <w:style w:styleId="IntenseReference" w:type="character">
    <w:name w:val="Intense Reference"/>
    <w:basedOn w:val="DefaultParagraphFont"/>
    <w:uiPriority w:val="32"/>
    <w:qFormat/>
    <w:rsid w:val="00917918"/>
    <w:rPr>
      <w:b/>
      <w:bCs/>
      <w:smallCaps/>
      <w:color w:themeColor="accent1" w:themeShade="BF" w:val="0F4761"/>
      <w:spacing w:val="5"/>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hyperlink" Id="rId21" Target="https://doi.org/10.3390/agronomy16151488" TargetMode="External" /><Relationship Type="http://schemas.openxmlformats.org/officeDocument/2006/relationships/hyperlink" Id="rId19" Target="https://www.ncbi.nlm.nih.gov/books/NBK21114/"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3390/agronomy16151488" TargetMode="External" /><Relationship Type="http://schemas.openxmlformats.org/officeDocument/2006/relationships/hyperlink" Id="rId19" Target="https://www.ncbi.nlm.nih.gov/books/NBK21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Amaefula and Dr Joseph Onyeka</dc:creator>
  <cp:keywords/>
  <dcterms:created xsi:type="dcterms:W3CDTF">2026-09-14T09:51:26Z</dcterms:created>
  <dcterms:modified xsi:type="dcterms:W3CDTF">2026-09-14T09:51:26Z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2026-09-14</vt:lpwstr>
  </property>
  <property fmtid="{D5CDD505-2E9C-101B-9397-08002B2CF9AE}" pid="4" name="output">
    <vt:lpwstr/>
  </property>
</Properties>
</file>