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E6B9A" w14:textId="77777777" w:rsidR="0079216D" w:rsidRPr="0079216D" w:rsidRDefault="0079216D" w:rsidP="0079216D">
      <w:pPr>
        <w:rPr>
          <w:b/>
          <w:bCs/>
        </w:rPr>
      </w:pPr>
      <w:r w:rsidRPr="0079216D">
        <w:rPr>
          <w:b/>
          <w:bCs/>
        </w:rPr>
        <w:t xml:space="preserve">SPS Student Cover Sheet </w:t>
      </w:r>
    </w:p>
    <w:p w14:paraId="6942F070" w14:textId="77777777" w:rsidR="0079216D" w:rsidRPr="0079216D" w:rsidRDefault="0079216D" w:rsidP="0079216D">
      <w:pPr>
        <w:rPr>
          <w:b/>
          <w:bCs/>
        </w:rPr>
      </w:pPr>
    </w:p>
    <w:p w14:paraId="480EF31F" w14:textId="77777777" w:rsidR="0079216D" w:rsidRPr="0079216D" w:rsidRDefault="0079216D" w:rsidP="0079216D">
      <w:pPr>
        <w:rPr>
          <w:b/>
          <w:bCs/>
        </w:rPr>
      </w:pPr>
      <w:r w:rsidRPr="0079216D">
        <w:rPr>
          <w:b/>
          <w:bCs/>
        </w:rPr>
        <w:t>*</w:t>
      </w:r>
      <w:r w:rsidRPr="0079216D">
        <w:rPr>
          <w:b/>
          <w:bCs/>
          <w:u w:val="single"/>
        </w:rPr>
        <w:t>Indicated fields MUST be completed by student.</w:t>
      </w:r>
      <w:r w:rsidRPr="0079216D">
        <w:rPr>
          <w:b/>
          <w:bCs/>
        </w:rPr>
        <w:t xml:space="preserve"> </w:t>
      </w:r>
    </w:p>
    <w:p w14:paraId="0091BE76" w14:textId="77777777" w:rsidR="0079216D" w:rsidRPr="0079216D" w:rsidRDefault="0079216D" w:rsidP="0079216D">
      <w:pPr>
        <w:rPr>
          <w:b/>
          <w:bCs/>
        </w:rPr>
      </w:pPr>
    </w:p>
    <w:tbl>
      <w:tblPr>
        <w:tblW w:w="8535" w:type="dxa"/>
        <w:tblInd w:w="-10" w:type="dxa"/>
        <w:tblLayout w:type="fixed"/>
        <w:tblLook w:val="04A0" w:firstRow="1" w:lastRow="0" w:firstColumn="1" w:lastColumn="0" w:noHBand="0" w:noVBand="1"/>
      </w:tblPr>
      <w:tblGrid>
        <w:gridCol w:w="3520"/>
        <w:gridCol w:w="5015"/>
      </w:tblGrid>
      <w:tr w:rsidR="0079216D" w:rsidRPr="0079216D" w14:paraId="6AD0810A" w14:textId="77777777" w:rsidTr="0079216D">
        <w:tc>
          <w:tcPr>
            <w:tcW w:w="3520" w:type="dxa"/>
            <w:tcBorders>
              <w:top w:val="single" w:sz="4" w:space="0" w:color="000000" w:themeColor="text1"/>
              <w:left w:val="single" w:sz="4" w:space="0" w:color="000000" w:themeColor="text1"/>
              <w:bottom w:val="single" w:sz="4" w:space="0" w:color="000000" w:themeColor="text1"/>
              <w:right w:val="nil"/>
            </w:tcBorders>
            <w:hideMark/>
          </w:tcPr>
          <w:p w14:paraId="7244724E" w14:textId="77777777" w:rsidR="0079216D" w:rsidRPr="0079216D" w:rsidRDefault="0079216D" w:rsidP="0079216D">
            <w:pPr>
              <w:rPr>
                <w:b/>
                <w:bCs/>
              </w:rPr>
            </w:pPr>
            <w:r w:rsidRPr="0079216D">
              <w:rPr>
                <w:b/>
                <w:bCs/>
              </w:rPr>
              <w:t xml:space="preserve">*Exam number </w:t>
            </w:r>
          </w:p>
        </w:tc>
        <w:tc>
          <w:tcPr>
            <w:tcW w:w="50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21871" w14:textId="18F1B4FD" w:rsidR="0079216D" w:rsidRPr="0079216D" w:rsidRDefault="0079216D" w:rsidP="0079216D">
            <w:pPr>
              <w:rPr>
                <w:b/>
                <w:bCs/>
              </w:rPr>
            </w:pPr>
            <w:r>
              <w:rPr>
                <w:b/>
                <w:bCs/>
              </w:rPr>
              <w:t>B252010</w:t>
            </w:r>
          </w:p>
        </w:tc>
      </w:tr>
      <w:tr w:rsidR="0079216D" w:rsidRPr="0079216D" w14:paraId="43768075" w14:textId="77777777" w:rsidTr="0079216D">
        <w:tc>
          <w:tcPr>
            <w:tcW w:w="3520" w:type="dxa"/>
            <w:tcBorders>
              <w:top w:val="single" w:sz="4" w:space="0" w:color="000000" w:themeColor="text1"/>
              <w:left w:val="single" w:sz="4" w:space="0" w:color="000000" w:themeColor="text1"/>
              <w:bottom w:val="single" w:sz="4" w:space="0" w:color="000000" w:themeColor="text1"/>
              <w:right w:val="nil"/>
            </w:tcBorders>
            <w:hideMark/>
          </w:tcPr>
          <w:p w14:paraId="5BF33C3D" w14:textId="77777777" w:rsidR="0079216D" w:rsidRPr="0079216D" w:rsidRDefault="0079216D" w:rsidP="0079216D">
            <w:pPr>
              <w:rPr>
                <w:b/>
                <w:bCs/>
              </w:rPr>
            </w:pPr>
            <w:r w:rsidRPr="0079216D">
              <w:rPr>
                <w:b/>
                <w:bCs/>
              </w:rPr>
              <w:t>*Course Name</w:t>
            </w:r>
          </w:p>
        </w:tc>
        <w:tc>
          <w:tcPr>
            <w:tcW w:w="50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5AE7AC" w14:textId="44D4D351" w:rsidR="0079216D" w:rsidRPr="0079216D" w:rsidRDefault="0079216D" w:rsidP="0079216D">
            <w:pPr>
              <w:rPr>
                <w:b/>
                <w:bCs/>
              </w:rPr>
            </w:pPr>
            <w:r>
              <w:rPr>
                <w:b/>
                <w:bCs/>
              </w:rPr>
              <w:t>Comparative Politics in a Globali</w:t>
            </w:r>
            <w:r w:rsidR="002E3717">
              <w:rPr>
                <w:b/>
                <w:bCs/>
              </w:rPr>
              <w:t>z</w:t>
            </w:r>
            <w:r>
              <w:rPr>
                <w:b/>
                <w:bCs/>
              </w:rPr>
              <w:t>ed World</w:t>
            </w:r>
          </w:p>
        </w:tc>
      </w:tr>
      <w:tr w:rsidR="0079216D" w:rsidRPr="0079216D" w14:paraId="00F07609" w14:textId="77777777" w:rsidTr="0079216D">
        <w:tc>
          <w:tcPr>
            <w:tcW w:w="3520" w:type="dxa"/>
            <w:tcBorders>
              <w:top w:val="single" w:sz="4" w:space="0" w:color="000000" w:themeColor="text1"/>
              <w:left w:val="single" w:sz="4" w:space="0" w:color="000000" w:themeColor="text1"/>
              <w:bottom w:val="single" w:sz="4" w:space="0" w:color="000000" w:themeColor="text1"/>
              <w:right w:val="nil"/>
            </w:tcBorders>
            <w:hideMark/>
          </w:tcPr>
          <w:p w14:paraId="342AF394" w14:textId="77777777" w:rsidR="0079216D" w:rsidRPr="0079216D" w:rsidRDefault="0079216D" w:rsidP="0079216D">
            <w:pPr>
              <w:rPr>
                <w:b/>
                <w:bCs/>
              </w:rPr>
            </w:pPr>
            <w:r w:rsidRPr="0079216D">
              <w:rPr>
                <w:b/>
                <w:bCs/>
              </w:rPr>
              <w:t>*Essay/title of work</w:t>
            </w:r>
          </w:p>
        </w:tc>
        <w:tc>
          <w:tcPr>
            <w:tcW w:w="50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65ED3" w14:textId="299A9E13" w:rsidR="0079216D" w:rsidRPr="0079216D" w:rsidRDefault="002E3717" w:rsidP="002E3717">
            <w:pPr>
              <w:rPr>
                <w:b/>
                <w:bCs/>
              </w:rPr>
            </w:pPr>
            <w:r w:rsidRPr="002E3717">
              <w:rPr>
                <w:b/>
                <w:bCs/>
              </w:rPr>
              <w:t>"Neoliberal globalisation has 'won': all countries are effectively managing their economies in the same way now." Do you agree with this statement of economic convergence? Explain your position from a comparative political economy perspective.</w:t>
            </w:r>
          </w:p>
        </w:tc>
      </w:tr>
      <w:tr w:rsidR="0079216D" w:rsidRPr="0079216D" w14:paraId="6B93A211" w14:textId="77777777" w:rsidTr="0079216D">
        <w:tc>
          <w:tcPr>
            <w:tcW w:w="3520" w:type="dxa"/>
            <w:tcBorders>
              <w:top w:val="single" w:sz="4" w:space="0" w:color="000000" w:themeColor="text1"/>
              <w:left w:val="single" w:sz="4" w:space="0" w:color="000000" w:themeColor="text1"/>
              <w:bottom w:val="single" w:sz="4" w:space="0" w:color="000000" w:themeColor="text1"/>
              <w:right w:val="nil"/>
            </w:tcBorders>
            <w:hideMark/>
          </w:tcPr>
          <w:p w14:paraId="23ECDF49" w14:textId="77777777" w:rsidR="0079216D" w:rsidRPr="0079216D" w:rsidRDefault="0079216D" w:rsidP="0079216D">
            <w:pPr>
              <w:rPr>
                <w:b/>
                <w:bCs/>
              </w:rPr>
            </w:pPr>
            <w:r w:rsidRPr="0079216D">
              <w:rPr>
                <w:b/>
                <w:bCs/>
              </w:rPr>
              <w:t xml:space="preserve">*Word count </w:t>
            </w:r>
          </w:p>
        </w:tc>
        <w:tc>
          <w:tcPr>
            <w:tcW w:w="50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3EA6D9" w14:textId="6C14C397" w:rsidR="0079216D" w:rsidRPr="0079216D" w:rsidRDefault="002E3717" w:rsidP="0079216D">
            <w:pPr>
              <w:rPr>
                <w:b/>
                <w:bCs/>
              </w:rPr>
            </w:pPr>
            <w:r>
              <w:rPr>
                <w:b/>
                <w:bCs/>
              </w:rPr>
              <w:t>19</w:t>
            </w:r>
            <w:r w:rsidR="00490D43">
              <w:rPr>
                <w:b/>
                <w:bCs/>
              </w:rPr>
              <w:t>9</w:t>
            </w:r>
            <w:r w:rsidR="00D6293D">
              <w:rPr>
                <w:b/>
                <w:bCs/>
              </w:rPr>
              <w:t>9</w:t>
            </w:r>
          </w:p>
        </w:tc>
      </w:tr>
    </w:tbl>
    <w:p w14:paraId="19BD566C" w14:textId="77777777" w:rsidR="0079216D" w:rsidRPr="0079216D" w:rsidRDefault="0079216D" w:rsidP="0079216D"/>
    <w:p w14:paraId="0FA9249C" w14:textId="77777777" w:rsidR="0079216D" w:rsidRPr="0079216D" w:rsidRDefault="0079216D" w:rsidP="0079216D">
      <w:r w:rsidRPr="0079216D">
        <w:t xml:space="preserve">*If you consent for the </w:t>
      </w:r>
      <w:proofErr w:type="gramStart"/>
      <w:r w:rsidRPr="0079216D">
        <w:t>School</w:t>
      </w:r>
      <w:proofErr w:type="gramEnd"/>
      <w:r w:rsidRPr="0079216D">
        <w:t xml:space="preserve"> to retain a copy of your coursework and make it available to other students to assist them in completing their assignment, please edit the below statement as applicable. Where your work is made available, it will be anonymized.  Please be sure to read the full details of our retention of course assessments policy on our </w:t>
      </w:r>
      <w:hyperlink r:id="rId11" w:history="1">
        <w:r w:rsidRPr="0079216D">
          <w:rPr>
            <w:rStyle w:val="Hyperlink"/>
            <w:color w:val="auto"/>
          </w:rPr>
          <w:t>webpages</w:t>
        </w:r>
      </w:hyperlink>
      <w:r w:rsidRPr="0079216D">
        <w:t xml:space="preserve"> before providing your consent. </w:t>
      </w:r>
    </w:p>
    <w:p w14:paraId="66EE3110" w14:textId="77777777" w:rsidR="0079216D" w:rsidRPr="0079216D" w:rsidRDefault="0079216D" w:rsidP="0079216D">
      <w:pPr>
        <w:rPr>
          <w:b/>
          <w:bCs/>
        </w:rPr>
      </w:pPr>
      <w:r w:rsidRPr="0079216D">
        <w:rPr>
          <w:b/>
          <w:bCs/>
        </w:rPr>
        <w:t>I consent to my coursework being retained for the purpose stated above:</w:t>
      </w:r>
      <w:r w:rsidRPr="0079216D">
        <w:t xml:space="preserve"> Yes/No. </w:t>
      </w:r>
    </w:p>
    <w:p w14:paraId="5ADD1C16" w14:textId="77777777" w:rsidR="0079216D" w:rsidRPr="0079216D" w:rsidRDefault="0079216D" w:rsidP="0079216D">
      <w:pPr>
        <w:rPr>
          <w:u w:val="single"/>
        </w:rPr>
      </w:pPr>
    </w:p>
    <w:p w14:paraId="6F8B59B2" w14:textId="77777777" w:rsidR="0079216D" w:rsidRPr="0079216D" w:rsidRDefault="0079216D" w:rsidP="0079216D">
      <w:pPr>
        <w:rPr>
          <w:b/>
          <w:bCs/>
        </w:rPr>
      </w:pPr>
      <w:r w:rsidRPr="0079216D">
        <w:rPr>
          <w:b/>
          <w:bCs/>
        </w:rPr>
        <w:t>This Section is for office use.</w:t>
      </w:r>
    </w:p>
    <w:p w14:paraId="4FFCFC79" w14:textId="77777777" w:rsidR="0079216D" w:rsidRPr="0079216D" w:rsidRDefault="0079216D" w:rsidP="0079216D">
      <w:pPr>
        <w:rPr>
          <w:b/>
          <w:bCs/>
        </w:rPr>
      </w:pPr>
      <w:r w:rsidRPr="0079216D">
        <w:rPr>
          <w:b/>
          <w:bCs/>
        </w:rPr>
        <w:t xml:space="preserve"> </w:t>
      </w:r>
    </w:p>
    <w:p w14:paraId="376E7CB5" w14:textId="77777777" w:rsidR="0079216D" w:rsidRPr="0079216D" w:rsidRDefault="0079216D" w:rsidP="0079216D">
      <w:pPr>
        <w:rPr>
          <w:b/>
          <w:bCs/>
        </w:rPr>
      </w:pPr>
      <w:r w:rsidRPr="0079216D">
        <w:t xml:space="preserve">Staff should add a written bubble /comment to the relevant box to input any of the below details.  </w:t>
      </w:r>
    </w:p>
    <w:p w14:paraId="24B301EC" w14:textId="77777777" w:rsidR="0079216D" w:rsidRPr="0079216D" w:rsidRDefault="0079216D" w:rsidP="0079216D">
      <w:pPr>
        <w:rPr>
          <w:b/>
          <w:bCs/>
          <w:i/>
          <w:iCs/>
        </w:rPr>
      </w:pPr>
    </w:p>
    <w:p w14:paraId="025D903B" w14:textId="77777777" w:rsidR="0079216D" w:rsidRPr="0079216D" w:rsidRDefault="0079216D" w:rsidP="0079216D">
      <w:pPr>
        <w:rPr>
          <w:b/>
          <w:bCs/>
          <w:i/>
          <w:iCs/>
        </w:rPr>
      </w:pPr>
    </w:p>
    <w:tbl>
      <w:tblPr>
        <w:tblW w:w="0" w:type="auto"/>
        <w:tblInd w:w="-10" w:type="dxa"/>
        <w:tblLayout w:type="fixed"/>
        <w:tblLook w:val="04A0" w:firstRow="1" w:lastRow="0" w:firstColumn="1" w:lastColumn="0" w:noHBand="0" w:noVBand="1"/>
      </w:tblPr>
      <w:tblGrid>
        <w:gridCol w:w="2528"/>
        <w:gridCol w:w="1134"/>
      </w:tblGrid>
      <w:tr w:rsidR="0079216D" w:rsidRPr="0079216D" w14:paraId="17F2E5B7" w14:textId="77777777" w:rsidTr="0079216D">
        <w:tc>
          <w:tcPr>
            <w:tcW w:w="2528" w:type="dxa"/>
            <w:tcBorders>
              <w:top w:val="single" w:sz="4" w:space="0" w:color="000000" w:themeColor="text1"/>
              <w:left w:val="single" w:sz="4" w:space="0" w:color="000000" w:themeColor="text1"/>
              <w:bottom w:val="single" w:sz="4" w:space="0" w:color="000000" w:themeColor="text1"/>
              <w:right w:val="nil"/>
            </w:tcBorders>
            <w:hideMark/>
          </w:tcPr>
          <w:p w14:paraId="5A72E493" w14:textId="77777777" w:rsidR="0079216D" w:rsidRPr="0079216D" w:rsidRDefault="0079216D" w:rsidP="0079216D">
            <w:pPr>
              <w:rPr>
                <w:b/>
                <w:bCs/>
              </w:rPr>
            </w:pPr>
            <w:r w:rsidRPr="0079216D">
              <w:rPr>
                <w:b/>
                <w:bCs/>
              </w:rPr>
              <w:t>Word count penalties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7BDA4" w14:textId="77777777" w:rsidR="0079216D" w:rsidRPr="0079216D" w:rsidRDefault="0079216D" w:rsidP="0079216D">
            <w:pPr>
              <w:rPr>
                <w:b/>
                <w:bCs/>
              </w:rPr>
            </w:pPr>
          </w:p>
        </w:tc>
      </w:tr>
      <w:tr w:rsidR="0079216D" w:rsidRPr="0079216D" w14:paraId="55DD9FE4" w14:textId="77777777" w:rsidTr="0079216D">
        <w:tc>
          <w:tcPr>
            <w:tcW w:w="2528" w:type="dxa"/>
            <w:tcBorders>
              <w:top w:val="single" w:sz="4" w:space="0" w:color="000000" w:themeColor="text1"/>
              <w:left w:val="single" w:sz="4" w:space="0" w:color="000000" w:themeColor="text1"/>
              <w:bottom w:val="single" w:sz="4" w:space="0" w:color="000000" w:themeColor="text1"/>
              <w:right w:val="nil"/>
            </w:tcBorders>
            <w:hideMark/>
          </w:tcPr>
          <w:p w14:paraId="5C636C9A" w14:textId="77777777" w:rsidR="0079216D" w:rsidRPr="0079216D" w:rsidRDefault="0079216D" w:rsidP="0079216D">
            <w:pPr>
              <w:rPr>
                <w:b/>
                <w:bCs/>
              </w:rPr>
            </w:pPr>
            <w:r w:rsidRPr="0079216D">
              <w:rPr>
                <w:b/>
                <w:bCs/>
              </w:rPr>
              <w:t>Lateness penalties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A48F4" w14:textId="77777777" w:rsidR="0079216D" w:rsidRPr="0079216D" w:rsidRDefault="0079216D" w:rsidP="0079216D">
            <w:pPr>
              <w:rPr>
                <w:b/>
                <w:bCs/>
              </w:rPr>
            </w:pPr>
          </w:p>
        </w:tc>
      </w:tr>
      <w:tr w:rsidR="0079216D" w:rsidRPr="0079216D" w14:paraId="483B1814" w14:textId="77777777" w:rsidTr="0079216D">
        <w:trPr>
          <w:trHeight w:val="300"/>
        </w:trPr>
        <w:tc>
          <w:tcPr>
            <w:tcW w:w="2528" w:type="dxa"/>
            <w:tcBorders>
              <w:top w:val="single" w:sz="4" w:space="0" w:color="000000" w:themeColor="text1"/>
              <w:left w:val="single" w:sz="4" w:space="0" w:color="000000" w:themeColor="text1"/>
              <w:bottom w:val="single" w:sz="4" w:space="0" w:color="000000" w:themeColor="text1"/>
              <w:right w:val="nil"/>
            </w:tcBorders>
            <w:hideMark/>
          </w:tcPr>
          <w:p w14:paraId="324BD35B" w14:textId="77777777" w:rsidR="0079216D" w:rsidRPr="0079216D" w:rsidRDefault="0079216D" w:rsidP="0079216D">
            <w:pPr>
              <w:rPr>
                <w:b/>
                <w:bCs/>
              </w:rPr>
            </w:pPr>
            <w:r w:rsidRPr="0079216D">
              <w:rPr>
                <w:b/>
                <w:bCs/>
              </w:rPr>
              <w:t>Markers name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F8289F" w14:textId="77777777" w:rsidR="0079216D" w:rsidRPr="0079216D" w:rsidRDefault="0079216D" w:rsidP="0079216D">
            <w:pPr>
              <w:rPr>
                <w:b/>
                <w:bCs/>
              </w:rPr>
            </w:pPr>
          </w:p>
        </w:tc>
      </w:tr>
    </w:tbl>
    <w:p w14:paraId="1E179993" w14:textId="77777777" w:rsidR="0079216D" w:rsidRPr="0079216D" w:rsidRDefault="0079216D" w:rsidP="0079216D"/>
    <w:p w14:paraId="7EC663BC" w14:textId="5D84BC9C" w:rsidR="00B51860" w:rsidRPr="0079216D" w:rsidRDefault="00B51860" w:rsidP="00B51860"/>
    <w:p w14:paraId="4C6E65BB" w14:textId="7BE44AAA" w:rsidR="00B51860" w:rsidRDefault="00B51860" w:rsidP="00474B3C">
      <w:pPr>
        <w:pStyle w:val="Heading1"/>
        <w:spacing w:line="360" w:lineRule="auto"/>
        <w:rPr>
          <w:color w:val="7030A0"/>
        </w:rPr>
      </w:pPr>
      <w:r w:rsidRPr="00A60BD4">
        <w:rPr>
          <w:color w:val="7030A0"/>
        </w:rPr>
        <w:lastRenderedPageBreak/>
        <w:t>Introduction</w:t>
      </w:r>
    </w:p>
    <w:p w14:paraId="65F124AB" w14:textId="75457065" w:rsidR="00D67DE5" w:rsidRDefault="00332D3B" w:rsidP="00B51860">
      <w:r>
        <w:t xml:space="preserve">Globalization, </w:t>
      </w:r>
      <w:r w:rsidR="00AE6380">
        <w:t xml:space="preserve">which will be </w:t>
      </w:r>
      <w:r w:rsidR="00777785">
        <w:t>defined</w:t>
      </w:r>
      <w:r>
        <w:t xml:space="preserve"> as </w:t>
      </w:r>
      <w:r w:rsidR="00285C12">
        <w:t>“a</w:t>
      </w:r>
      <w:r w:rsidR="00285C12" w:rsidRPr="00285C12">
        <w:t xml:space="preserve"> process that reduces the autonomy of nation-states by integrating economies, cultures, and political systems on a global scale</w:t>
      </w:r>
      <w:r w:rsidR="00285C12">
        <w:t>”</w:t>
      </w:r>
      <w:r w:rsidR="00285C12">
        <w:rPr>
          <w:rStyle w:val="FootnoteReference"/>
        </w:rPr>
        <w:footnoteReference w:id="2"/>
      </w:r>
      <w:r w:rsidR="00285C12">
        <w:t xml:space="preserve"> within this essay</w:t>
      </w:r>
      <w:r w:rsidR="0016553A">
        <w:t>, h</w:t>
      </w:r>
      <w:r>
        <w:t xml:space="preserve">as permeated through global markets over recent decades. Innovations such as </w:t>
      </w:r>
      <w:r w:rsidR="009263C4" w:rsidRPr="009263C4">
        <w:t>digital financial platforms and e-commerce</w:t>
      </w:r>
      <w:r w:rsidR="009263C4" w:rsidRPr="009263C4">
        <w:t xml:space="preserve"> </w:t>
      </w:r>
      <w:r>
        <w:t xml:space="preserve">have acted as a catalyst for </w:t>
      </w:r>
      <w:r w:rsidR="00AB3799">
        <w:t xml:space="preserve">prosperity, with </w:t>
      </w:r>
      <w:r>
        <w:t>global trade</w:t>
      </w:r>
      <w:r w:rsidR="00AB3799">
        <w:t xml:space="preserve"> </w:t>
      </w:r>
      <w:r>
        <w:t xml:space="preserve">encouraging countries to </w:t>
      </w:r>
      <w:r w:rsidR="00AB3799">
        <w:t>open</w:t>
      </w:r>
      <w:r>
        <w:t xml:space="preserve"> their markets to </w:t>
      </w:r>
      <w:r w:rsidR="00014A23" w:rsidRPr="00014A23">
        <w:t>sustain comparable levels</w:t>
      </w:r>
      <w:r w:rsidR="00014A23">
        <w:t xml:space="preserve"> of growth with other nations</w:t>
      </w:r>
      <w:r w:rsidRPr="00970419">
        <w:t xml:space="preserve">. These developments have influenced national governments to adopt neoliberal policies, </w:t>
      </w:r>
      <w:r w:rsidR="00970419" w:rsidRPr="00970419">
        <w:t xml:space="preserve">which are </w:t>
      </w:r>
      <w:r w:rsidR="00F402B8" w:rsidRPr="00970419">
        <w:t>noted</w:t>
      </w:r>
      <w:r w:rsidRPr="00970419">
        <w:t xml:space="preserve"> by</w:t>
      </w:r>
      <w:r w:rsidR="009573C1" w:rsidRPr="00970419">
        <w:t xml:space="preserve"> </w:t>
      </w:r>
      <w:r w:rsidR="00770159" w:rsidRPr="00970419">
        <w:t xml:space="preserve">Friedman </w:t>
      </w:r>
      <w:r w:rsidR="009573C1" w:rsidRPr="00970419">
        <w:t>in</w:t>
      </w:r>
      <w:r w:rsidR="00770159" w:rsidRPr="00970419">
        <w:t xml:space="preserve"> </w:t>
      </w:r>
      <w:r w:rsidR="00770159" w:rsidRPr="00970419">
        <w:rPr>
          <w:i/>
          <w:iCs/>
        </w:rPr>
        <w:t>Capitalism and Freedom</w:t>
      </w:r>
      <w:r w:rsidR="00770159" w:rsidRPr="00970419">
        <w:t xml:space="preserve"> (1962) </w:t>
      </w:r>
      <w:r w:rsidR="00970419" w:rsidRPr="00970419">
        <w:t>to be</w:t>
      </w:r>
      <w:r w:rsidR="00F36681" w:rsidRPr="00970419">
        <w:t xml:space="preserve"> </w:t>
      </w:r>
      <w:r w:rsidR="00F402B8" w:rsidRPr="00970419">
        <w:t xml:space="preserve">lassiez-faire </w:t>
      </w:r>
      <w:r w:rsidR="00970419" w:rsidRPr="00970419">
        <w:t>strategies</w:t>
      </w:r>
      <w:r w:rsidR="00F36681" w:rsidRPr="00970419">
        <w:t xml:space="preserve"> such as </w:t>
      </w:r>
      <w:r w:rsidR="00D34DC2" w:rsidRPr="00970419">
        <w:t>deregulation, privatization and minimal government</w:t>
      </w:r>
      <w:r w:rsidR="003D7056" w:rsidRPr="00970419">
        <w:rPr>
          <w:rStyle w:val="FootnoteReference"/>
        </w:rPr>
        <w:footnoteReference w:id="3"/>
      </w:r>
      <w:r w:rsidR="00D34DC2" w:rsidRPr="00970419">
        <w:t>.</w:t>
      </w:r>
      <w:r w:rsidR="009573C1" w:rsidRPr="00970419">
        <w:t xml:space="preserve"> </w:t>
      </w:r>
      <w:r w:rsidRPr="00970419">
        <w:t>This shift towards neoliberal economics reflects globalization's pressure on nations to remove trade barriers and align their economic policies with international market demands</w:t>
      </w:r>
      <w:r w:rsidR="0005404F" w:rsidRPr="00970419">
        <w:t xml:space="preserve">. </w:t>
      </w:r>
      <w:r w:rsidR="00822F85" w:rsidRPr="00970419">
        <w:t xml:space="preserve">Despite the pervasive influence of globalization </w:t>
      </w:r>
      <w:r w:rsidR="009E0EFC" w:rsidRPr="00970419">
        <w:t xml:space="preserve">and how </w:t>
      </w:r>
      <w:r w:rsidR="00822F85" w:rsidRPr="00970419">
        <w:t>neoliberal policies</w:t>
      </w:r>
      <w:r w:rsidR="009E0EFC" w:rsidRPr="00970419">
        <w:t xml:space="preserve"> have spread</w:t>
      </w:r>
      <w:r w:rsidR="00822F85" w:rsidRPr="00970419">
        <w:t xml:space="preserve">, it is </w:t>
      </w:r>
      <w:r w:rsidR="00B57095" w:rsidRPr="00970419">
        <w:t>necessary</w:t>
      </w:r>
      <w:r w:rsidR="00822F85" w:rsidRPr="00970419">
        <w:t xml:space="preserve"> to critically examine whether neoliberal globalization has truly</w:t>
      </w:r>
      <w:r w:rsidR="00822F85" w:rsidRPr="00EB2A36">
        <w:t xml:space="preserve"> reshaped national economies into models that converge</w:t>
      </w:r>
      <w:r w:rsidR="006C161B">
        <w:rPr>
          <w:rStyle w:val="FootnoteReference"/>
        </w:rPr>
        <w:footnoteReference w:id="4"/>
      </w:r>
      <w:r w:rsidR="00822F85" w:rsidRPr="00EB2A36">
        <w:t xml:space="preserve"> on market liberalization, privatization, and deregulation</w:t>
      </w:r>
      <w:r w:rsidR="00FE2523">
        <w:t>. T</w:t>
      </w:r>
      <w:r w:rsidR="000153AC">
        <w:t>his idea is</w:t>
      </w:r>
      <w:r w:rsidR="00346A94">
        <w:t xml:space="preserve"> often</w:t>
      </w:r>
      <w:r w:rsidR="000153AC">
        <w:t xml:space="preserve"> </w:t>
      </w:r>
      <w:r w:rsidR="00346A94">
        <w:t>criticized</w:t>
      </w:r>
      <w:r w:rsidR="000153AC">
        <w:t xml:space="preserve"> by the </w:t>
      </w:r>
      <w:r w:rsidR="00346A94">
        <w:t>argument</w:t>
      </w:r>
      <w:r w:rsidR="000153AC">
        <w:t xml:space="preserve"> that </w:t>
      </w:r>
      <w:r w:rsidR="00A60BD4">
        <w:t>rather than adhering to a</w:t>
      </w:r>
      <w:r w:rsidR="00B57095" w:rsidRPr="00EB2A36">
        <w:t xml:space="preserve"> dominant ideological </w:t>
      </w:r>
      <w:r w:rsidR="00A60BD4">
        <w:t>framework</w:t>
      </w:r>
      <w:r w:rsidR="00EB2A36" w:rsidRPr="00EB2A36">
        <w:t>, countries are increasingly adopting hybrid approaches, selectively integrating neoliberal principles with their unique cultural, political, and economic traditions.</w:t>
      </w:r>
      <w:r w:rsidR="00E16902">
        <w:t xml:space="preserve"> </w:t>
      </w:r>
      <w:r w:rsidR="00FC55C5">
        <w:t>Both</w:t>
      </w:r>
      <w:r w:rsidR="00FE2523">
        <w:t xml:space="preserve"> arguments will be evaluated within this essay.</w:t>
      </w:r>
    </w:p>
    <w:p w14:paraId="673AE9EC" w14:textId="1854D234" w:rsidR="00474B3C" w:rsidRDefault="00FC55C5" w:rsidP="00474B3C">
      <w:r>
        <w:t xml:space="preserve">The approach </w:t>
      </w:r>
      <w:r w:rsidR="004830C7">
        <w:t>taken</w:t>
      </w:r>
      <w:r>
        <w:t xml:space="preserve"> within </w:t>
      </w:r>
      <w:r w:rsidR="00D440A9">
        <w:t xml:space="preserve">this essay, will be </w:t>
      </w:r>
      <w:r w:rsidR="00E31795">
        <w:t xml:space="preserve">a comparative political economy </w:t>
      </w:r>
      <w:r w:rsidR="009655FA">
        <w:t>perspective,</w:t>
      </w:r>
      <w:r w:rsidR="00D440A9">
        <w:t xml:space="preserve"> looking a</w:t>
      </w:r>
      <w:r w:rsidR="009655FA">
        <w:t xml:space="preserve">t </w:t>
      </w:r>
      <w:r w:rsidR="009C3281">
        <w:t xml:space="preserve">the </w:t>
      </w:r>
      <w:r w:rsidR="009655FA">
        <w:t>policies</w:t>
      </w:r>
      <w:r w:rsidR="00D440A9">
        <w:t xml:space="preserve"> adapted by individual countries and the outcomes of said policy through the Economic Freedom Index</w:t>
      </w:r>
      <w:r w:rsidR="008841AD">
        <w:rPr>
          <w:rStyle w:val="FootnoteReference"/>
        </w:rPr>
        <w:footnoteReference w:id="5"/>
      </w:r>
      <w:r w:rsidR="008841AD">
        <w:t xml:space="preserve"> </w:t>
      </w:r>
      <w:r w:rsidR="00D440A9">
        <w:t>(</w:t>
      </w:r>
      <w:r w:rsidR="00E31795">
        <w:t>1995-2024</w:t>
      </w:r>
      <w:r w:rsidR="00D440A9">
        <w:t xml:space="preserve">). </w:t>
      </w:r>
      <w:r w:rsidR="009C3281">
        <w:t>From this</w:t>
      </w:r>
      <w:r w:rsidR="00F53120">
        <w:t xml:space="preserve">, </w:t>
      </w:r>
      <w:r w:rsidR="00854942">
        <w:t xml:space="preserve">countries </w:t>
      </w:r>
      <w:r w:rsidR="00654C30">
        <w:t xml:space="preserve">extent of </w:t>
      </w:r>
      <w:r w:rsidR="00D67DE5">
        <w:t xml:space="preserve">convergence </w:t>
      </w:r>
      <w:r w:rsidR="0053676D">
        <w:t xml:space="preserve">towards neoliberal economic policies </w:t>
      </w:r>
      <w:r w:rsidR="00D67DE5">
        <w:t>across different nations</w:t>
      </w:r>
      <w:r w:rsidR="009C3281">
        <w:t xml:space="preserve"> can be </w:t>
      </w:r>
      <w:r w:rsidR="00B715A6">
        <w:t>evaluated.</w:t>
      </w:r>
      <w:r w:rsidR="006523DB">
        <w:t xml:space="preserve"> </w:t>
      </w:r>
      <w:r w:rsidR="00474B3C">
        <w:t>To</w:t>
      </w:r>
      <w:r w:rsidR="003854CE">
        <w:t xml:space="preserve"> accomplish this</w:t>
      </w:r>
      <w:r w:rsidR="00482BB0">
        <w:t>, the essay will start</w:t>
      </w:r>
      <w:r w:rsidR="00BF65A4">
        <w:t xml:space="preserve"> with</w:t>
      </w:r>
      <w:r w:rsidR="00965053">
        <w:t xml:space="preserve"> a Research Design, where the dependent and independent variables will be </w:t>
      </w:r>
      <w:r w:rsidR="00A221AC">
        <w:t xml:space="preserve">operationalised, and a hypothesis will be </w:t>
      </w:r>
      <w:r w:rsidR="00BF65A4">
        <w:t>established</w:t>
      </w:r>
      <w:r w:rsidR="00A221AC">
        <w:t>.</w:t>
      </w:r>
      <w:r w:rsidR="00B715A6">
        <w:t xml:space="preserve"> </w:t>
      </w:r>
      <w:r w:rsidR="00BF65A4">
        <w:t>Following this, the</w:t>
      </w:r>
      <w:r w:rsidR="00B715A6">
        <w:t>re is an</w:t>
      </w:r>
      <w:r w:rsidR="00BF65A4">
        <w:t xml:space="preserve"> analysis section </w:t>
      </w:r>
      <w:r w:rsidR="007B0FE1">
        <w:t xml:space="preserve">in which </w:t>
      </w:r>
      <w:r w:rsidR="00BF65A4">
        <w:t xml:space="preserve">relevant </w:t>
      </w:r>
      <w:r w:rsidR="007B0FE1">
        <w:t xml:space="preserve">data </w:t>
      </w:r>
      <w:r w:rsidR="009E2F0C">
        <w:t>and</w:t>
      </w:r>
      <w:r w:rsidR="00BF65A4">
        <w:t xml:space="preserve"> statistical evidence</w:t>
      </w:r>
      <w:r w:rsidR="009E2F0C">
        <w:t xml:space="preserve"> will be considered</w:t>
      </w:r>
      <w:r w:rsidR="00474B3C">
        <w:t xml:space="preserve"> </w:t>
      </w:r>
      <w:r w:rsidR="004D6DA6">
        <w:t>with</w:t>
      </w:r>
      <w:r w:rsidR="00474B3C">
        <w:t xml:space="preserve"> contextual information </w:t>
      </w:r>
      <w:r w:rsidR="00371722">
        <w:t>that</w:t>
      </w:r>
      <w:r w:rsidR="00474B3C">
        <w:t xml:space="preserve"> may present underlying causes of policy change</w:t>
      </w:r>
      <w:r w:rsidR="00B715A6">
        <w:t xml:space="preserve">. </w:t>
      </w:r>
      <w:r w:rsidR="003854CE">
        <w:t>Finally,</w:t>
      </w:r>
      <w:r w:rsidR="00B715A6">
        <w:t xml:space="preserve"> the</w:t>
      </w:r>
      <w:r w:rsidR="009E2F0C">
        <w:t xml:space="preserve"> </w:t>
      </w:r>
      <w:r w:rsidR="00776370">
        <w:t>Conclusion</w:t>
      </w:r>
      <w:r w:rsidR="003854CE">
        <w:t xml:space="preserve"> </w:t>
      </w:r>
      <w:r w:rsidR="00B715A6">
        <w:t xml:space="preserve">attempts to </w:t>
      </w:r>
      <w:r w:rsidR="00776370">
        <w:t>evalua</w:t>
      </w:r>
      <w:r w:rsidR="00B715A6">
        <w:t xml:space="preserve">te </w:t>
      </w:r>
      <w:r w:rsidR="00776370">
        <w:t xml:space="preserve">the </w:t>
      </w:r>
      <w:r w:rsidR="005F2279">
        <w:t>hypothesis and</w:t>
      </w:r>
      <w:r w:rsidR="009E2F0C">
        <w:t xml:space="preserve"> </w:t>
      </w:r>
      <w:r w:rsidR="00B715A6">
        <w:t>address</w:t>
      </w:r>
      <w:r w:rsidR="005F2279">
        <w:t xml:space="preserve"> the research question.</w:t>
      </w:r>
    </w:p>
    <w:p w14:paraId="27F3467E" w14:textId="3D82F1FD" w:rsidR="002E3717" w:rsidRDefault="002E3717" w:rsidP="00474B3C"/>
    <w:p w14:paraId="0C2D6D23" w14:textId="5A2CFF0A" w:rsidR="00AA024F" w:rsidRPr="00474B3C" w:rsidRDefault="00AA024F" w:rsidP="00474B3C">
      <w:pPr>
        <w:pStyle w:val="Heading1"/>
        <w:spacing w:line="360" w:lineRule="auto"/>
        <w:rPr>
          <w:color w:val="7030A0"/>
        </w:rPr>
      </w:pPr>
      <w:r w:rsidRPr="00474B3C">
        <w:rPr>
          <w:color w:val="7030A0"/>
        </w:rPr>
        <w:t>Research Design</w:t>
      </w:r>
    </w:p>
    <w:p w14:paraId="081439E9" w14:textId="17839B2C" w:rsidR="00E73D71" w:rsidRDefault="00AA765C" w:rsidP="001D3FF4">
      <w:r>
        <w:t>This research will use</w:t>
      </w:r>
      <w:r w:rsidR="00370C64">
        <w:t xml:space="preserve"> Mill's Method of Difference</w:t>
      </w:r>
      <w:r w:rsidR="00640731">
        <w:t xml:space="preserve"> (MSSD)</w:t>
      </w:r>
      <w:r w:rsidR="00A402CE">
        <w:t>.</w:t>
      </w:r>
      <w:r w:rsidR="00640731">
        <w:t xml:space="preserve"> </w:t>
      </w:r>
      <w:r w:rsidR="00A402CE">
        <w:t>I</w:t>
      </w:r>
      <w:r w:rsidR="00687002">
        <w:t xml:space="preserve">n </w:t>
      </w:r>
      <w:r w:rsidR="00A402CE">
        <w:t xml:space="preserve">this method, </w:t>
      </w:r>
      <w:r w:rsidR="0072027A">
        <w:t>a</w:t>
      </w:r>
      <w:r w:rsidR="0072027A" w:rsidRPr="0072027A">
        <w:t xml:space="preserve">n event's cause can be identified by comparing two identical cases, one where the event occurs and one where it does not, isolating the </w:t>
      </w:r>
      <w:r w:rsidR="00F91914">
        <w:t xml:space="preserve">difference </w:t>
      </w:r>
      <w:r w:rsidR="0072027A" w:rsidRPr="0072027A">
        <w:t>as the likely cause.</w:t>
      </w:r>
      <w:r w:rsidR="002E3717">
        <w:t xml:space="preserve"> </w:t>
      </w:r>
      <w:r w:rsidR="0072027A">
        <w:t>This research design</w:t>
      </w:r>
      <w:r w:rsidR="00A402CE">
        <w:t xml:space="preserve"> could be criticized as</w:t>
      </w:r>
      <w:r w:rsidR="0072027A">
        <w:t xml:space="preserve"> limited</w:t>
      </w:r>
      <w:r w:rsidR="004D6DA6">
        <w:t xml:space="preserve">, </w:t>
      </w:r>
      <w:r w:rsidR="001D3FF4">
        <w:t>as the method doesn't guarantee that the differing factor is the actual cause of the event</w:t>
      </w:r>
      <w:r w:rsidR="00716928">
        <w:t>.</w:t>
      </w:r>
      <w:r w:rsidR="001D3FF4">
        <w:t xml:space="preserve"> </w:t>
      </w:r>
      <w:r w:rsidR="00716928">
        <w:t>I</w:t>
      </w:r>
      <w:r w:rsidR="001D3FF4">
        <w:t>t could just be another effect of a shared underlying cause</w:t>
      </w:r>
      <w:r w:rsidR="00821316">
        <w:t>, creating issues with the internal validity of the research</w:t>
      </w:r>
      <w:r w:rsidR="001D3FF4">
        <w:t xml:space="preserve">. </w:t>
      </w:r>
      <w:r w:rsidR="00474B3C">
        <w:t>Similarly</w:t>
      </w:r>
      <w:r w:rsidR="001D3FF4">
        <w:t>, it relies on finding two cases that are identical in every way except for one specific difference</w:t>
      </w:r>
      <w:r w:rsidR="008074A8">
        <w:t xml:space="preserve">, </w:t>
      </w:r>
      <w:r w:rsidR="00B0667F">
        <w:t xml:space="preserve">which is </w:t>
      </w:r>
      <w:r w:rsidR="005272E7">
        <w:t>unlikely</w:t>
      </w:r>
      <w:r w:rsidR="00821316">
        <w:t>, which again</w:t>
      </w:r>
      <w:r w:rsidR="008074A8">
        <w:t xml:space="preserve"> </w:t>
      </w:r>
      <w:r w:rsidR="005272E7">
        <w:t>may produce internally invalid results</w:t>
      </w:r>
      <w:r w:rsidR="001D3FF4">
        <w:t xml:space="preserve">. </w:t>
      </w:r>
      <w:r w:rsidR="009E59AF">
        <w:t>To combat this</w:t>
      </w:r>
      <w:r w:rsidR="00A17195">
        <w:t>,</w:t>
      </w:r>
      <w:r w:rsidR="001D3FF4">
        <w:t xml:space="preserve"> multiple forms of research </w:t>
      </w:r>
      <w:r w:rsidR="00A17195">
        <w:t xml:space="preserve">(qualitative and quantitative) </w:t>
      </w:r>
      <w:r w:rsidR="001D3FF4">
        <w:t xml:space="preserve">will be considered </w:t>
      </w:r>
      <w:r w:rsidR="00A229EC">
        <w:t xml:space="preserve">to ensure </w:t>
      </w:r>
      <w:r w:rsidR="00A17195">
        <w:t>a</w:t>
      </w:r>
      <w:r w:rsidR="00F35DA0">
        <w:t xml:space="preserve"> </w:t>
      </w:r>
      <w:r w:rsidR="00A229EC">
        <w:t xml:space="preserve">holistic approach is taken in addressing these </w:t>
      </w:r>
      <w:r w:rsidR="00F35DA0">
        <w:t>cases</w:t>
      </w:r>
      <w:r w:rsidR="00A17195">
        <w:t>.</w:t>
      </w:r>
      <w:r w:rsidR="00A402CE">
        <w:t xml:space="preserve"> </w:t>
      </w:r>
    </w:p>
    <w:p w14:paraId="7CCF2ADC" w14:textId="19BDF127" w:rsidR="00E73D71" w:rsidRDefault="00E73D71" w:rsidP="001D3FF4">
      <w:r>
        <w:lastRenderedPageBreak/>
        <w:t xml:space="preserve">To conduct this </w:t>
      </w:r>
      <w:r w:rsidR="00180F37">
        <w:t>analysis,</w:t>
      </w:r>
      <w:r>
        <w:t xml:space="preserve"> </w:t>
      </w:r>
      <w:r w:rsidR="0037293B">
        <w:t xml:space="preserve">I selected </w:t>
      </w:r>
      <w:r w:rsidR="00787B71">
        <w:t>nine</w:t>
      </w:r>
      <w:r w:rsidR="0037293B">
        <w:t xml:space="preserve"> countries</w:t>
      </w:r>
      <w:r w:rsidR="004D6DA6">
        <w:t>,</w:t>
      </w:r>
      <w:r w:rsidR="0037293B">
        <w:t xml:space="preserve"> which are: Brazil, China, India, Germany, S</w:t>
      </w:r>
      <w:r w:rsidR="00474B3C">
        <w:t xml:space="preserve">outh </w:t>
      </w:r>
      <w:r w:rsidR="0037293B">
        <w:t>Africa, Spain, Sweden, United States</w:t>
      </w:r>
      <w:r w:rsidR="004D6DA6">
        <w:t xml:space="preserve"> and the </w:t>
      </w:r>
      <w:r w:rsidR="0037293B">
        <w:t xml:space="preserve">United Kingdom. </w:t>
      </w:r>
      <w:r w:rsidR="001B17E8">
        <w:t>T</w:t>
      </w:r>
      <w:r w:rsidR="001B17E8" w:rsidRPr="001B17E8">
        <w:t>his</w:t>
      </w:r>
      <w:r w:rsidR="00787B71">
        <w:t xml:space="preserve"> selection</w:t>
      </w:r>
      <w:r w:rsidR="001B17E8" w:rsidRPr="001B17E8">
        <w:t xml:space="preserve"> does not guarantee that the research will be representative of </w:t>
      </w:r>
      <w:r w:rsidR="0076742B" w:rsidRPr="001B17E8">
        <w:t>all</w:t>
      </w:r>
      <w:r w:rsidR="001B17E8" w:rsidRPr="001B17E8">
        <w:t xml:space="preserve"> the countries in the world and their respective economie</w:t>
      </w:r>
      <w:r w:rsidR="007E40E9">
        <w:t xml:space="preserve">s, </w:t>
      </w:r>
      <w:r w:rsidR="00180F37">
        <w:t xml:space="preserve">but it </w:t>
      </w:r>
      <w:r w:rsidR="001B17E8" w:rsidRPr="001B17E8">
        <w:t>is an attempt to focus on representative cases to then draw broader insights</w:t>
      </w:r>
      <w:r w:rsidR="007E40E9">
        <w:t>. Ea</w:t>
      </w:r>
      <w:r w:rsidR="001B17E8">
        <w:t xml:space="preserve">ch </w:t>
      </w:r>
      <w:r w:rsidR="007E40E9">
        <w:t xml:space="preserve">country represents either a different continent, </w:t>
      </w:r>
      <w:r w:rsidR="001B17E8">
        <w:t>development status</w:t>
      </w:r>
      <w:r w:rsidR="00EA7938">
        <w:t>,</w:t>
      </w:r>
      <w:r w:rsidR="007E40E9">
        <w:t xml:space="preserve"> or </w:t>
      </w:r>
      <w:r w:rsidR="00B40613">
        <w:t>political ideolog</w:t>
      </w:r>
      <w:r w:rsidR="00E775E2">
        <w:t>y</w:t>
      </w:r>
      <w:r w:rsidR="00B40613">
        <w:t>.</w:t>
      </w:r>
    </w:p>
    <w:p w14:paraId="3247E6B4" w14:textId="07E4F97F" w:rsidR="00370C64" w:rsidRDefault="00687002" w:rsidP="00370C64">
      <w:r>
        <w:t>T</w:t>
      </w:r>
      <w:r w:rsidR="00370C64">
        <w:t xml:space="preserve">hese countries will be compared to identify the variables that </w:t>
      </w:r>
      <w:r w:rsidR="00C06C14">
        <w:t>explain</w:t>
      </w:r>
      <w:r w:rsidR="00370C64">
        <w:t xml:space="preserve"> </w:t>
      </w:r>
      <w:r w:rsidR="00C06C14">
        <w:t>the</w:t>
      </w:r>
      <w:r w:rsidR="00370C64">
        <w:t xml:space="preserve"> differences in their approaches to economic policy</w:t>
      </w:r>
      <w:r w:rsidR="00AA41D1">
        <w:t>.</w:t>
      </w:r>
    </w:p>
    <w:p w14:paraId="75EB8F4C" w14:textId="2A220DD4" w:rsidR="000D352B" w:rsidRDefault="00637B20" w:rsidP="00D36975">
      <w:pPr>
        <w:pStyle w:val="ListParagraph"/>
        <w:numPr>
          <w:ilvl w:val="0"/>
          <w:numId w:val="4"/>
        </w:numPr>
      </w:pPr>
      <w:r>
        <w:t>The first independent variable to be analysed is economic developmen</w:t>
      </w:r>
      <w:r w:rsidR="002163DE">
        <w:t>t</w:t>
      </w:r>
      <w:r w:rsidR="00D54956">
        <w:t>.</w:t>
      </w:r>
      <w:r w:rsidR="002163DE">
        <w:t xml:space="preserve"> This has been chosen as it is a rational reason </w:t>
      </w:r>
      <w:r w:rsidR="00EA7938">
        <w:t>why</w:t>
      </w:r>
      <w:r w:rsidR="002163DE">
        <w:t xml:space="preserve"> countries would adopt </w:t>
      </w:r>
      <w:r w:rsidR="000B5440">
        <w:t xml:space="preserve">different policy approaches, </w:t>
      </w:r>
      <w:r w:rsidR="0067708B">
        <w:t>as they want to</w:t>
      </w:r>
      <w:r w:rsidR="000B5440">
        <w:t xml:space="preserve"> remain competitive. To do this</w:t>
      </w:r>
      <w:r w:rsidR="00EA7938">
        <w:t>,</w:t>
      </w:r>
      <w:r w:rsidR="000B5440">
        <w:t xml:space="preserve"> government spending will be assessed as </w:t>
      </w:r>
      <w:r w:rsidR="00C93849">
        <w:t xml:space="preserve">it indicates how much of the economy is led by public expenditure and how nations have adopted </w:t>
      </w:r>
      <w:r w:rsidR="005B2F2D">
        <w:t>growth strategies.</w:t>
      </w:r>
    </w:p>
    <w:p w14:paraId="27694B2D" w14:textId="7A964E7D" w:rsidR="004A132C" w:rsidRPr="00921E4B" w:rsidRDefault="004A132C" w:rsidP="00D36975">
      <w:pPr>
        <w:pStyle w:val="ListParagraph"/>
        <w:numPr>
          <w:ilvl w:val="0"/>
          <w:numId w:val="4"/>
        </w:numPr>
      </w:pPr>
      <w:r w:rsidRPr="00921E4B">
        <w:t xml:space="preserve">The second independent variable is the </w:t>
      </w:r>
      <w:r w:rsidR="005A04B5" w:rsidRPr="00921E4B">
        <w:t>freedom of</w:t>
      </w:r>
      <w:r w:rsidR="00B3501E" w:rsidRPr="00921E4B">
        <w:t xml:space="preserve"> businesses </w:t>
      </w:r>
      <w:r w:rsidR="00FE4BAE" w:rsidRPr="00921E4B">
        <w:t>within a countr</w:t>
      </w:r>
      <w:r w:rsidR="00EA7938">
        <w:t xml:space="preserve">y’s </w:t>
      </w:r>
      <w:r w:rsidR="00614780" w:rsidRPr="00921E4B">
        <w:t>economic</w:t>
      </w:r>
      <w:r w:rsidR="00B3501E" w:rsidRPr="00921E4B">
        <w:t xml:space="preserve"> policy</w:t>
      </w:r>
      <w:r w:rsidR="000B5440" w:rsidRPr="00921E4B">
        <w:t xml:space="preserve">. This variable </w:t>
      </w:r>
      <w:r w:rsidR="00A90AE5" w:rsidRPr="00921E4B">
        <w:t xml:space="preserve">demonstrates regulatory burdens </w:t>
      </w:r>
      <w:r w:rsidR="00921E4B" w:rsidRPr="00921E4B">
        <w:t>on business operations such as startup costs and licensing requirements</w:t>
      </w:r>
      <w:r w:rsidR="004441AE" w:rsidRPr="00921E4B">
        <w:t xml:space="preserve">. To assess </w:t>
      </w:r>
      <w:r w:rsidR="00714797" w:rsidRPr="00921E4B">
        <w:t>these changes</w:t>
      </w:r>
      <w:r w:rsidR="00EA7938">
        <w:t xml:space="preserve">, </w:t>
      </w:r>
      <w:r w:rsidR="004441AE" w:rsidRPr="00921E4B">
        <w:t>business freedom over time will be analy</w:t>
      </w:r>
      <w:r w:rsidR="00B9441F" w:rsidRPr="00921E4B">
        <w:t>s</w:t>
      </w:r>
      <w:r w:rsidR="004441AE" w:rsidRPr="00921E4B">
        <w:t>ed a</w:t>
      </w:r>
      <w:r w:rsidR="00DB43CE" w:rsidRPr="00921E4B">
        <w:t>s it measures the regulatory environment</w:t>
      </w:r>
      <w:r w:rsidR="006F63DD" w:rsidRPr="00921E4B">
        <w:t>, displaying if a country maintains tight control</w:t>
      </w:r>
      <w:r w:rsidR="00C93849" w:rsidRPr="00921E4B">
        <w:t xml:space="preserve"> on business</w:t>
      </w:r>
      <w:r w:rsidR="00921E4B" w:rsidRPr="00921E4B">
        <w:t>/tax and labour.</w:t>
      </w:r>
    </w:p>
    <w:p w14:paraId="6D451D04" w14:textId="6DE197AE" w:rsidR="0034386C" w:rsidRDefault="004A132C" w:rsidP="0034386C">
      <w:pPr>
        <w:pStyle w:val="ListParagraph"/>
        <w:numPr>
          <w:ilvl w:val="0"/>
          <w:numId w:val="4"/>
        </w:numPr>
      </w:pPr>
      <w:r w:rsidRPr="0034386C">
        <w:t xml:space="preserve">The third </w:t>
      </w:r>
      <w:r w:rsidR="004441AE" w:rsidRPr="0034386C">
        <w:t xml:space="preserve">independent variable is </w:t>
      </w:r>
      <w:r w:rsidR="0034386C" w:rsidRPr="0034386C">
        <w:t>the</w:t>
      </w:r>
      <w:r w:rsidR="00AC3EB4">
        <w:t xml:space="preserve"> </w:t>
      </w:r>
      <w:r w:rsidR="007F3163" w:rsidRPr="00A97102">
        <w:t>state-market balance</w:t>
      </w:r>
      <w:r w:rsidR="00EA7938">
        <w:t>. T</w:t>
      </w:r>
      <w:r w:rsidR="004441AE" w:rsidRPr="0034386C">
        <w:t>his is a structural</w:t>
      </w:r>
      <w:r w:rsidR="0044080D" w:rsidRPr="0034386C">
        <w:t xml:space="preserve"> reason why </w:t>
      </w:r>
      <w:r w:rsidR="00B9441F" w:rsidRPr="0034386C">
        <w:t>policy approaches differ from nation</w:t>
      </w:r>
      <w:r w:rsidR="00B9441F">
        <w:t xml:space="preserve"> to nation</w:t>
      </w:r>
      <w:r w:rsidR="0034386C">
        <w:t>. To assess these changes</w:t>
      </w:r>
      <w:r w:rsidR="00AC3EB4">
        <w:t xml:space="preserve">, </w:t>
      </w:r>
      <w:r w:rsidR="0034386C">
        <w:t>investment freedom over time will be analysed a</w:t>
      </w:r>
      <w:r w:rsidR="00AC3EB4">
        <w:t>s</w:t>
      </w:r>
      <w:r w:rsidR="0020646E">
        <w:t xml:space="preserve"> it </w:t>
      </w:r>
      <w:r w:rsidR="0020646E" w:rsidRPr="0020646E">
        <w:t>measures the openness of a country's economy to foreign and domestic investments.</w:t>
      </w:r>
      <w:r w:rsidR="00A25958">
        <w:t xml:space="preserve"> If the country has export-led growth or import dependency</w:t>
      </w:r>
      <w:r w:rsidR="00EA7938">
        <w:t>, i</w:t>
      </w:r>
      <w:r w:rsidR="00C94855">
        <w:t>s a significant factor in how the nation is affected by neoliberal globalisation.</w:t>
      </w:r>
    </w:p>
    <w:p w14:paraId="25AA66A4" w14:textId="4487E3D4" w:rsidR="00045EB5" w:rsidRDefault="00446608" w:rsidP="0034386C">
      <w:r w:rsidRPr="00446608">
        <w:t xml:space="preserve">The dependent variable is </w:t>
      </w:r>
      <w:r w:rsidR="001C55A6">
        <w:t>“</w:t>
      </w:r>
      <w:r w:rsidRPr="00446608">
        <w:t>the degree of convergence in economic management under neoliberal globalization</w:t>
      </w:r>
      <w:r w:rsidR="004E67FC">
        <w:t>,</w:t>
      </w:r>
      <w:r w:rsidR="001C55A6">
        <w:t>”</w:t>
      </w:r>
      <w:r w:rsidRPr="00446608">
        <w:t xml:space="preserve"> measured through the changes in Economic Freedom Index</w:t>
      </w:r>
      <w:r w:rsidR="008841AD">
        <w:t xml:space="preserve"> </w:t>
      </w:r>
      <w:r w:rsidRPr="00446608">
        <w:t>scores from 1995 to 2024.</w:t>
      </w:r>
      <w:r>
        <w:t xml:space="preserve"> </w:t>
      </w:r>
      <w:r w:rsidR="000D595E">
        <w:t xml:space="preserve">The index covering the past </w:t>
      </w:r>
      <w:r w:rsidR="00EC398E">
        <w:t xml:space="preserve">29 years should encapsulate the most drastic changes witnessed in neoliberal globalization as it </w:t>
      </w:r>
      <w:r w:rsidR="00FE4AC4">
        <w:t xml:space="preserve">has </w:t>
      </w:r>
      <w:r w:rsidR="00EC398E">
        <w:t>heightened within this timespan</w:t>
      </w:r>
      <w:r w:rsidR="00485CCA">
        <w:t>.</w:t>
      </w:r>
      <w:r w:rsidR="008841AD">
        <w:t xml:space="preserve"> </w:t>
      </w:r>
      <w:r w:rsidR="007C2AEF">
        <w:t xml:space="preserve">The Economic Freedom Index </w:t>
      </w:r>
      <w:r w:rsidR="00E2718C">
        <w:t xml:space="preserve">scores countries on factors such as </w:t>
      </w:r>
      <w:r w:rsidR="0065334D">
        <w:t xml:space="preserve">government spending, investment freedom and </w:t>
      </w:r>
      <w:r w:rsidR="006C161B">
        <w:t>business freedom</w:t>
      </w:r>
      <w:r w:rsidR="00E2718C">
        <w:t xml:space="preserve"> on a scale from 1 to 10</w:t>
      </w:r>
      <w:r w:rsidR="005B5669">
        <w:t>0. T</w:t>
      </w:r>
      <w:r w:rsidR="00E2718C">
        <w:t xml:space="preserve">he development of countries </w:t>
      </w:r>
      <w:r w:rsidR="00853ED9">
        <w:t>on this scale</w:t>
      </w:r>
      <w:r w:rsidR="00E2718C">
        <w:t xml:space="preserve"> </w:t>
      </w:r>
      <w:r w:rsidR="00332BEF">
        <w:t xml:space="preserve">will be </w:t>
      </w:r>
      <w:r w:rsidR="00853ED9">
        <w:t xml:space="preserve">analysed </w:t>
      </w:r>
      <w:r w:rsidR="00A90B80">
        <w:t xml:space="preserve">within 5 </w:t>
      </w:r>
      <w:r w:rsidR="00840E92">
        <w:t>year</w:t>
      </w:r>
      <w:r w:rsidR="004E67FC">
        <w:t>-</w:t>
      </w:r>
      <w:r w:rsidR="00A90B80">
        <w:t>intervals</w:t>
      </w:r>
      <w:r w:rsidR="009C2124">
        <w:t xml:space="preserve"> until the current date</w:t>
      </w:r>
      <w:r w:rsidR="00840E92">
        <w:t xml:space="preserve"> </w:t>
      </w:r>
      <w:r w:rsidR="009C2124">
        <w:t>(1995, 200</w:t>
      </w:r>
      <w:r w:rsidR="009107A9">
        <w:t>0</w:t>
      </w:r>
      <w:r w:rsidR="009C2124">
        <w:t>, 200</w:t>
      </w:r>
      <w:r w:rsidR="009107A9">
        <w:t>5</w:t>
      </w:r>
      <w:r w:rsidR="009C2124">
        <w:t xml:space="preserve">, </w:t>
      </w:r>
      <w:r w:rsidR="00B96DA7">
        <w:t xml:space="preserve">2010, </w:t>
      </w:r>
      <w:r w:rsidR="009C2124">
        <w:t>201</w:t>
      </w:r>
      <w:r w:rsidR="009107A9">
        <w:t>5</w:t>
      </w:r>
      <w:r w:rsidR="009C2124">
        <w:t>, 20</w:t>
      </w:r>
      <w:r w:rsidR="009107A9">
        <w:t>20</w:t>
      </w:r>
      <w:r w:rsidR="004E67FC">
        <w:t xml:space="preserve">, </w:t>
      </w:r>
      <w:r w:rsidR="009C2124">
        <w:t>until 2024)</w:t>
      </w:r>
      <w:r w:rsidR="009107A9">
        <w:t xml:space="preserve">. </w:t>
      </w:r>
      <w:r w:rsidR="00F303E0">
        <w:t xml:space="preserve">As a form of quantitative analysis, </w:t>
      </w:r>
      <w:r w:rsidR="00927222">
        <w:t>I create</w:t>
      </w:r>
      <w:r w:rsidR="00FB3BD9">
        <w:t>d</w:t>
      </w:r>
      <w:r w:rsidR="00927222">
        <w:t xml:space="preserve"> data visualizations</w:t>
      </w:r>
      <w:r w:rsidR="0068268F">
        <w:t xml:space="preserve"> of the data</w:t>
      </w:r>
      <w:r w:rsidR="00F303E0">
        <w:t xml:space="preserve"> with the use of RStudio</w:t>
      </w:r>
      <w:r w:rsidR="00927222">
        <w:t xml:space="preserve"> (shown </w:t>
      </w:r>
      <w:r w:rsidR="0068268F">
        <w:t xml:space="preserve">later </w:t>
      </w:r>
      <w:r w:rsidR="00927222">
        <w:t>as figure</w:t>
      </w:r>
      <w:r w:rsidR="004E67FC">
        <w:t>s</w:t>
      </w:r>
      <w:r w:rsidR="00927222">
        <w:t xml:space="preserve"> 1</w:t>
      </w:r>
      <w:r w:rsidR="0068268F">
        <w:t>,</w:t>
      </w:r>
      <w:r w:rsidR="00927222">
        <w:t>2</w:t>
      </w:r>
      <w:r w:rsidR="0068268F">
        <w:t>,</w:t>
      </w:r>
      <w:r w:rsidR="00927222">
        <w:t xml:space="preserve">3) </w:t>
      </w:r>
      <w:r w:rsidR="00F303E0">
        <w:t xml:space="preserve">using the </w:t>
      </w:r>
      <w:r w:rsidR="008041E8">
        <w:t>ggplot2 package</w:t>
      </w:r>
      <w:r w:rsidR="004E67FC">
        <w:t xml:space="preserve">, </w:t>
      </w:r>
      <w:r w:rsidR="0068268F">
        <w:t xml:space="preserve">which </w:t>
      </w:r>
      <w:r w:rsidR="00FB3BD9">
        <w:t>I</w:t>
      </w:r>
      <w:r w:rsidR="0068268F">
        <w:t xml:space="preserve"> designed to highlight trends in the </w:t>
      </w:r>
      <w:r w:rsidR="00045EB5">
        <w:t>independent variables over time.</w:t>
      </w:r>
    </w:p>
    <w:p w14:paraId="1183B6EC" w14:textId="79CC0ED0" w:rsidR="000D352B" w:rsidRDefault="00A75E6C" w:rsidP="000D352B">
      <w:r>
        <w:t>However,</w:t>
      </w:r>
      <w:r w:rsidR="000F4E17">
        <w:t xml:space="preserve"> whilst the index is a </w:t>
      </w:r>
      <w:r>
        <w:t>useful tool</w:t>
      </w:r>
      <w:r w:rsidR="000F4E17">
        <w:t xml:space="preserve">, it does not </w:t>
      </w:r>
      <w:r w:rsidR="000D271F">
        <w:t>fully capture the</w:t>
      </w:r>
      <w:r w:rsidR="003A79DD" w:rsidRPr="003A79DD">
        <w:t xml:space="preserve"> </w:t>
      </w:r>
      <w:r w:rsidR="003A79DD">
        <w:t xml:space="preserve">complexity of economic systems and is often critiqued </w:t>
      </w:r>
      <w:r w:rsidR="003A79DD" w:rsidRPr="00347E3F">
        <w:t xml:space="preserve">as a western-centric view of freedom, </w:t>
      </w:r>
      <w:r w:rsidR="000D271F" w:rsidRPr="00347E3F">
        <w:t xml:space="preserve">as it suggests that success is </w:t>
      </w:r>
      <w:r w:rsidR="00C55946" w:rsidRPr="00347E3F">
        <w:t>determined by neoliberal policy</w:t>
      </w:r>
      <w:r w:rsidR="00AE64DA" w:rsidRPr="00347E3F">
        <w:t xml:space="preserve">. </w:t>
      </w:r>
      <w:r w:rsidR="00F508EE" w:rsidRPr="00347E3F">
        <w:t>Therefore</w:t>
      </w:r>
      <w:r w:rsidR="00F508EE">
        <w:t>,</w:t>
      </w:r>
      <w:r w:rsidR="004841A2">
        <w:t xml:space="preserve"> qualitative analysis</w:t>
      </w:r>
      <w:r w:rsidR="00653503">
        <w:t xml:space="preserve"> of this convergence</w:t>
      </w:r>
      <w:r w:rsidR="00E42000">
        <w:t xml:space="preserve"> (policy reviews,</w:t>
      </w:r>
      <w:r w:rsidR="00B96DA7">
        <w:t xml:space="preserve"> articles)</w:t>
      </w:r>
      <w:r w:rsidR="00653503">
        <w:t xml:space="preserve"> will additionally be </w:t>
      </w:r>
      <w:r w:rsidR="00B96DA7">
        <w:t>reviewed</w:t>
      </w:r>
      <w:r w:rsidR="00653503">
        <w:t xml:space="preserve"> in unison with the index. </w:t>
      </w:r>
      <w:r w:rsidR="00D85D25">
        <w:t>Drawing from</w:t>
      </w:r>
      <w:r w:rsidR="004841A2">
        <w:t xml:space="preserve"> </w:t>
      </w:r>
      <w:r w:rsidR="00653503">
        <w:t>reviews</w:t>
      </w:r>
      <w:r w:rsidR="00EA549D">
        <w:t xml:space="preserve"> and analyses</w:t>
      </w:r>
      <w:r w:rsidR="00653503">
        <w:t xml:space="preserve"> </w:t>
      </w:r>
      <w:r w:rsidR="00241371">
        <w:t xml:space="preserve">of different events </w:t>
      </w:r>
      <w:r w:rsidR="00653503">
        <w:t>by academic</w:t>
      </w:r>
      <w:r w:rsidR="00800EDB">
        <w:t>s</w:t>
      </w:r>
      <w:r w:rsidR="00241371">
        <w:t>, an</w:t>
      </w:r>
      <w:r w:rsidR="00800EDB">
        <w:t xml:space="preserve"> attempt to create a nuanced approach</w:t>
      </w:r>
      <w:r w:rsidR="00241371">
        <w:t xml:space="preserve"> will be made. This will be done by </w:t>
      </w:r>
      <w:r w:rsidR="00D85D25">
        <w:t>contextualising</w:t>
      </w:r>
      <w:r w:rsidR="007B41F9">
        <w:t xml:space="preserve"> the</w:t>
      </w:r>
      <w:r w:rsidR="00241371">
        <w:t xml:space="preserve"> visual and data-based</w:t>
      </w:r>
      <w:r w:rsidR="007B41F9">
        <w:t xml:space="preserve"> result</w:t>
      </w:r>
      <w:r w:rsidR="00830FF8">
        <w:t>s</w:t>
      </w:r>
      <w:r w:rsidR="007B41F9">
        <w:t xml:space="preserve"> with the </w:t>
      </w:r>
      <w:r w:rsidR="007450E5">
        <w:t>context</w:t>
      </w:r>
      <w:r w:rsidR="007B41F9">
        <w:t xml:space="preserve"> behind </w:t>
      </w:r>
      <w:r w:rsidR="00830FF8">
        <w:t>them</w:t>
      </w:r>
      <w:r w:rsidR="0009073A">
        <w:t xml:space="preserve">, </w:t>
      </w:r>
      <w:r w:rsidR="00F6035D">
        <w:t>e.g. cultural</w:t>
      </w:r>
      <w:r w:rsidR="00490D43">
        <w:t>/structural/rational factors.</w:t>
      </w:r>
    </w:p>
    <w:p w14:paraId="284AF985" w14:textId="731DD2F8" w:rsidR="00445715" w:rsidRPr="00932DDC" w:rsidRDefault="00D9471A" w:rsidP="00932DDC">
      <w:pPr>
        <w:rPr>
          <w:b/>
          <w:bCs/>
        </w:rPr>
      </w:pPr>
      <w:r w:rsidRPr="009D42D0">
        <w:t xml:space="preserve">The hypothesis for this </w:t>
      </w:r>
      <w:r w:rsidR="002B6CB9" w:rsidRPr="009D42D0">
        <w:t>research</w:t>
      </w:r>
      <w:r w:rsidRPr="009D42D0">
        <w:t xml:space="preserve"> </w:t>
      </w:r>
      <w:r w:rsidR="002B6CB9" w:rsidRPr="009D42D0">
        <w:t>is: “</w:t>
      </w:r>
      <w:r w:rsidR="00A71C24" w:rsidRPr="009D42D0">
        <w:t>Neoliberal globalisation has</w:t>
      </w:r>
      <w:r w:rsidR="00555FAB" w:rsidRPr="009D42D0">
        <w:t xml:space="preserve"> not</w:t>
      </w:r>
      <w:r w:rsidR="00A71C24" w:rsidRPr="009D42D0">
        <w:t xml:space="preserve"> ‘won</w:t>
      </w:r>
      <w:proofErr w:type="gramStart"/>
      <w:r w:rsidR="0009073A">
        <w:t>’</w:t>
      </w:r>
      <w:proofErr w:type="gramEnd"/>
      <w:r w:rsidR="00A71C24" w:rsidRPr="009D42D0">
        <w:t xml:space="preserve"> and national economies have </w:t>
      </w:r>
      <w:r w:rsidR="00555FAB" w:rsidRPr="009D42D0">
        <w:t xml:space="preserve">not fully </w:t>
      </w:r>
      <w:r w:rsidR="00A71C24" w:rsidRPr="009D42D0">
        <w:t>converged to fit a specific model</w:t>
      </w:r>
      <w:r w:rsidR="0009073A">
        <w:t>;</w:t>
      </w:r>
      <w:r w:rsidR="00776A6E" w:rsidRPr="009D42D0">
        <w:t xml:space="preserve"> they retain individuality</w:t>
      </w:r>
      <w:r w:rsidR="00EC5909" w:rsidRPr="009D42D0">
        <w:t xml:space="preserve"> in their economic management</w:t>
      </w:r>
      <w:r w:rsidR="0009073A">
        <w:t>.”</w:t>
      </w:r>
    </w:p>
    <w:p w14:paraId="30FA3AD1" w14:textId="1959D717" w:rsidR="003547CA" w:rsidRPr="003547CA" w:rsidRDefault="00445715" w:rsidP="00257C2B">
      <w:pPr>
        <w:pStyle w:val="Heading1"/>
        <w:spacing w:line="240" w:lineRule="auto"/>
        <w:rPr>
          <w:color w:val="7030A0"/>
        </w:rPr>
      </w:pPr>
      <w:r w:rsidRPr="00445715">
        <w:rPr>
          <w:color w:val="7030A0"/>
        </w:rPr>
        <w:lastRenderedPageBreak/>
        <w:t>Analysi</w:t>
      </w:r>
      <w:r w:rsidR="0067708B">
        <w:rPr>
          <w:color w:val="7030A0"/>
        </w:rPr>
        <w:t>s</w:t>
      </w:r>
    </w:p>
    <w:p w14:paraId="1F702971" w14:textId="0E69701E" w:rsidR="0067708B" w:rsidRPr="00B90E62" w:rsidRDefault="00F075F5" w:rsidP="00257C2B">
      <w:pPr>
        <w:pStyle w:val="Quote"/>
        <w:spacing w:line="240" w:lineRule="auto"/>
      </w:pPr>
      <w:r>
        <w:rPr>
          <w:noProof/>
        </w:rPr>
        <w:drawing>
          <wp:anchor distT="0" distB="0" distL="114300" distR="114300" simplePos="0" relativeHeight="251659776" behindDoc="1" locked="0" layoutInCell="1" allowOverlap="1" wp14:anchorId="56786372" wp14:editId="5B22A15E">
            <wp:simplePos x="0" y="0"/>
            <wp:positionH relativeFrom="margin">
              <wp:align>center</wp:align>
            </wp:positionH>
            <wp:positionV relativeFrom="paragraph">
              <wp:posOffset>56515</wp:posOffset>
            </wp:positionV>
            <wp:extent cx="4678680" cy="2905125"/>
            <wp:effectExtent l="0" t="0" r="7620" b="9525"/>
            <wp:wrapTopAndBottom/>
            <wp:docPr id="1043576497" name="Picture 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12229" name="Picture 8" descr="A graph of different colored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8680" cy="290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90E62" w:rsidRPr="00B90E62">
        <w:t xml:space="preserve">Data from </w:t>
      </w:r>
      <w:r w:rsidR="00180C7B">
        <w:t xml:space="preserve">the </w:t>
      </w:r>
      <w:r w:rsidR="0025582E">
        <w:t>Economic Freedom Index (1995-2024)</w:t>
      </w:r>
    </w:p>
    <w:p w14:paraId="7388AE7D" w14:textId="2D63ADAD" w:rsidR="00351A88" w:rsidRDefault="0067708B" w:rsidP="00D01B89">
      <w:pPr>
        <w:spacing w:line="240" w:lineRule="auto"/>
      </w:pPr>
      <w:r>
        <w:t xml:space="preserve">As demonstrated in figure 1, </w:t>
      </w:r>
      <w:r w:rsidR="00B22A71">
        <w:t xml:space="preserve">countries </w:t>
      </w:r>
      <w:r w:rsidR="00F77021">
        <w:t xml:space="preserve">appear to </w:t>
      </w:r>
      <w:r w:rsidR="00AF5515">
        <w:t xml:space="preserve">become </w:t>
      </w:r>
      <w:r w:rsidR="00497147">
        <w:t xml:space="preserve">clustered </w:t>
      </w:r>
      <w:r w:rsidR="00B22A71">
        <w:t>around economic development levels</w:t>
      </w:r>
      <w:r w:rsidR="00EA25DD">
        <w:t xml:space="preserve"> as there is a</w:t>
      </w:r>
      <w:r w:rsidR="00EA25DD">
        <w:t xml:space="preserve"> </w:t>
      </w:r>
      <w:r w:rsidR="00C350F3">
        <w:t xml:space="preserve">49.4-point </w:t>
      </w:r>
      <w:r w:rsidR="00EA25DD">
        <w:t>difference</w:t>
      </w:r>
      <w:r w:rsidR="00EA25DD">
        <w:t xml:space="preserve"> in</w:t>
      </w:r>
      <w:r w:rsidR="006C5C7C">
        <w:t xml:space="preserve"> score</w:t>
      </w:r>
      <w:r w:rsidR="00EA25DD">
        <w:t xml:space="preserve"> range between 1995 and 2024</w:t>
      </w:r>
      <w:r w:rsidR="00497147">
        <w:t>. This may be interpreted as convergence</w:t>
      </w:r>
      <w:r w:rsidR="00180C7B">
        <w:t xml:space="preserve">; </w:t>
      </w:r>
      <w:r w:rsidR="00AF5515">
        <w:t>however</w:t>
      </w:r>
      <w:r w:rsidR="00180C7B">
        <w:t>,</w:t>
      </w:r>
      <w:r w:rsidR="001E12E6">
        <w:t xml:space="preserve"> this is not the </w:t>
      </w:r>
      <w:r w:rsidR="00326E4F">
        <w:t xml:space="preserve">case; it </w:t>
      </w:r>
      <w:r w:rsidR="004531BF">
        <w:t xml:space="preserve">Is </w:t>
      </w:r>
      <w:r w:rsidR="00326E4F">
        <w:t>skewed by Sweden</w:t>
      </w:r>
      <w:r w:rsidR="004531BF">
        <w:t xml:space="preserve">, </w:t>
      </w:r>
      <w:r w:rsidR="00326E4F">
        <w:t xml:space="preserve">which shows a </w:t>
      </w:r>
      <w:r w:rsidR="0030280E" w:rsidRPr="0030280E">
        <w:t>disproportionate</w:t>
      </w:r>
      <w:r w:rsidR="0030280E" w:rsidRPr="0030280E">
        <w:rPr>
          <w:b/>
          <w:bCs/>
        </w:rPr>
        <w:t xml:space="preserve"> </w:t>
      </w:r>
      <w:r w:rsidR="00326E4F">
        <w:t xml:space="preserve">increase from 0 to 28.5 </w:t>
      </w:r>
      <w:r w:rsidR="00C350F3">
        <w:t>over the 29-year period</w:t>
      </w:r>
      <w:r w:rsidR="00326E4F">
        <w:t>. Other n</w:t>
      </w:r>
      <w:r w:rsidR="001E12E6">
        <w:t xml:space="preserve">ations have </w:t>
      </w:r>
      <w:r w:rsidR="00DB35F7">
        <w:t xml:space="preserve">quite similar </w:t>
      </w:r>
      <w:r w:rsidR="001E12E6">
        <w:t xml:space="preserve">levels of government expenditure </w:t>
      </w:r>
      <w:r w:rsidR="00E07688">
        <w:t>respectively between 1995 to 2024</w:t>
      </w:r>
      <w:r w:rsidR="00994C2C">
        <w:t>.</w:t>
      </w:r>
      <w:r w:rsidR="00B57C52">
        <w:t xml:space="preserve"> </w:t>
      </w:r>
      <w:r w:rsidR="00E07688">
        <w:t xml:space="preserve">Spikes in government expenditure are witnessed commonly surrounding events which required a nation to </w:t>
      </w:r>
      <w:r w:rsidR="001A6096">
        <w:t xml:space="preserve">use an increase in government expenditure e.g. to </w:t>
      </w:r>
      <w:r w:rsidR="00E07688">
        <w:t>bail</w:t>
      </w:r>
      <w:r w:rsidR="00BB6395">
        <w:t xml:space="preserve"> </w:t>
      </w:r>
      <w:r w:rsidR="00E07688">
        <w:t xml:space="preserve">out banks. European countries involved in the Eurozone </w:t>
      </w:r>
      <w:r w:rsidR="009D6334">
        <w:t>C</w:t>
      </w:r>
      <w:r w:rsidR="00E07688">
        <w:t>risis</w:t>
      </w:r>
      <w:r w:rsidR="009D6334">
        <w:rPr>
          <w:rStyle w:val="FootnoteReference"/>
        </w:rPr>
        <w:footnoteReference w:id="6"/>
      </w:r>
      <w:r w:rsidR="00C366EB">
        <w:t xml:space="preserve"> </w:t>
      </w:r>
      <w:r w:rsidR="00E07688">
        <w:t xml:space="preserve"> such as Spain, Sweden </w:t>
      </w:r>
      <w:r w:rsidR="0027205C">
        <w:t xml:space="preserve">, </w:t>
      </w:r>
      <w:r w:rsidR="00E07688">
        <w:t>and Germany</w:t>
      </w:r>
      <w:r w:rsidR="0027205C">
        <w:t xml:space="preserve">, </w:t>
      </w:r>
      <w:r w:rsidR="00E07688">
        <w:t>all had an increase in government expenditure from 2005 to 2010</w:t>
      </w:r>
      <w:r w:rsidR="00B86D1C">
        <w:t xml:space="preserve"> as </w:t>
      </w:r>
      <w:r w:rsidR="009A197F">
        <w:t>the crisis caused high debt levels, economic recession</w:t>
      </w:r>
      <w:r w:rsidR="00BB6395">
        <w:t xml:space="preserve">, </w:t>
      </w:r>
      <w:r w:rsidR="009A197F">
        <w:t>and high unemployment in some countries.</w:t>
      </w:r>
      <w:r w:rsidR="009A197F">
        <w:rPr>
          <w:rStyle w:val="FootnoteReference"/>
        </w:rPr>
        <w:footnoteReference w:id="7"/>
      </w:r>
      <w:r w:rsidR="009A197F">
        <w:t xml:space="preserve"> Sp</w:t>
      </w:r>
      <w:r w:rsidR="00994C2C">
        <w:t xml:space="preserve">ain was one of the countries most affected by the Eurozone crisis due </w:t>
      </w:r>
      <w:r w:rsidR="00BB6395">
        <w:t>to</w:t>
      </w:r>
      <w:r w:rsidR="00610F59">
        <w:t xml:space="preserve"> i</w:t>
      </w:r>
      <w:r w:rsidR="007869BB">
        <w:t>ts geographical location as</w:t>
      </w:r>
      <w:r w:rsidR="00610F59">
        <w:t xml:space="preserve"> a Southern European countr</w:t>
      </w:r>
      <w:r w:rsidR="00BB6395">
        <w:t>y,</w:t>
      </w:r>
      <w:r w:rsidR="00516C1A">
        <w:t xml:space="preserve"> which </w:t>
      </w:r>
      <w:r w:rsidR="00BB6395">
        <w:t>was</w:t>
      </w:r>
      <w:r w:rsidR="007869BB">
        <w:t xml:space="preserve"> typically</w:t>
      </w:r>
      <w:r w:rsidR="00516C1A">
        <w:t xml:space="preserve"> reliant on</w:t>
      </w:r>
      <w:r w:rsidR="00527BD0">
        <w:t xml:space="preserve"> sectors like construction</w:t>
      </w:r>
      <w:r w:rsidR="001E455B">
        <w:t xml:space="preserve"> </w:t>
      </w:r>
      <w:r w:rsidR="001E455B" w:rsidRPr="001E455B">
        <w:t>which led to a housing bubble and massive private debt</w:t>
      </w:r>
      <w:r w:rsidR="007869BB">
        <w:t>.</w:t>
      </w:r>
      <w:r w:rsidR="00B452B8">
        <w:rPr>
          <w:rStyle w:val="FootnoteReference"/>
        </w:rPr>
        <w:footnoteReference w:id="8"/>
      </w:r>
      <w:r w:rsidR="007869BB">
        <w:t xml:space="preserve"> Furthermore,</w:t>
      </w:r>
      <w:r w:rsidR="001E455B">
        <w:t xml:space="preserve"> </w:t>
      </w:r>
      <w:r w:rsidR="007869BB">
        <w:t>these countries</w:t>
      </w:r>
      <w:r w:rsidR="001E455B">
        <w:t xml:space="preserve"> </w:t>
      </w:r>
      <w:r w:rsidR="00516C1A">
        <w:t xml:space="preserve">could not devalue </w:t>
      </w:r>
      <w:r w:rsidR="007869BB">
        <w:t>the</w:t>
      </w:r>
      <w:r w:rsidR="001E455B">
        <w:t xml:space="preserve"> shared</w:t>
      </w:r>
      <w:r w:rsidR="00516C1A">
        <w:t xml:space="preserve"> currency, </w:t>
      </w:r>
      <w:r w:rsidR="000C562E">
        <w:t>the Euro</w:t>
      </w:r>
      <w:r w:rsidR="001E455B">
        <w:rPr>
          <w:rStyle w:val="FootnoteReference"/>
        </w:rPr>
        <w:footnoteReference w:id="9"/>
      </w:r>
      <w:r w:rsidR="007869BB">
        <w:t xml:space="preserve"> to </w:t>
      </w:r>
      <w:r w:rsidR="0025170F">
        <w:t>avoid austerity</w:t>
      </w:r>
      <w:r w:rsidR="000C562E">
        <w:t xml:space="preserve">. </w:t>
      </w:r>
      <w:r w:rsidR="001E455B">
        <w:t>Despite this</w:t>
      </w:r>
      <w:r w:rsidR="0025170F">
        <w:t>,</w:t>
      </w:r>
      <w:r w:rsidR="00994C2C">
        <w:t xml:space="preserve"> it only raised by 1.8 points from 2005 to 2010 and later decreased by 15 points after austerity was dealt with.</w:t>
      </w:r>
      <w:r w:rsidR="00326E4F">
        <w:t xml:space="preserve"> Sweden experienced its largest decrease in GDP </w:t>
      </w:r>
      <w:r w:rsidR="001A65C7">
        <w:t>in history</w:t>
      </w:r>
      <w:r w:rsidR="00BB6395">
        <w:t xml:space="preserve">, </w:t>
      </w:r>
      <w:r w:rsidR="00CE4974">
        <w:t>to around -</w:t>
      </w:r>
      <w:r w:rsidR="004C799A">
        <w:t>4.3</w:t>
      </w:r>
      <w:r w:rsidR="00CE4974">
        <w:t>%</w:t>
      </w:r>
      <w:r w:rsidR="009D6334">
        <w:rPr>
          <w:rStyle w:val="FootnoteReference"/>
        </w:rPr>
        <w:footnoteReference w:id="10"/>
      </w:r>
      <w:r w:rsidR="00CE4974">
        <w:t xml:space="preserve"> </w:t>
      </w:r>
      <w:r w:rsidR="00326E4F">
        <w:t>around th</w:t>
      </w:r>
      <w:r w:rsidR="00CE4974">
        <w:t>is date</w:t>
      </w:r>
      <w:r w:rsidR="00BB6395">
        <w:t>;</w:t>
      </w:r>
      <w:r w:rsidR="00CE4974">
        <w:t xml:space="preserve"> </w:t>
      </w:r>
      <w:r w:rsidR="001B686D">
        <w:t xml:space="preserve">this could </w:t>
      </w:r>
      <w:r w:rsidR="00CE4974">
        <w:t xml:space="preserve">explain </w:t>
      </w:r>
      <w:r w:rsidR="009D6334">
        <w:t>its</w:t>
      </w:r>
      <w:r w:rsidR="005B47DA">
        <w:t xml:space="preserve"> increased</w:t>
      </w:r>
      <w:r w:rsidR="009D6334">
        <w:t xml:space="preserve"> us</w:t>
      </w:r>
      <w:r w:rsidR="005B47DA">
        <w:t>age of government funds</w:t>
      </w:r>
      <w:r w:rsidR="009D6334">
        <w:t xml:space="preserve"> </w:t>
      </w:r>
      <w:r w:rsidR="00A23EF0">
        <w:t xml:space="preserve">to restabilize its </w:t>
      </w:r>
      <w:r w:rsidR="005B47DA">
        <w:t>economy</w:t>
      </w:r>
      <w:r w:rsidR="000E127F">
        <w:t xml:space="preserve">. This transition was so disproportionate as Sweden had very low </w:t>
      </w:r>
      <w:r w:rsidR="00AE6CB0" w:rsidRPr="00AE6CB0">
        <w:t xml:space="preserve">prior </w:t>
      </w:r>
      <w:r w:rsidR="000E127F">
        <w:t>government expenditure in comparison to these other countries (Spain, Germany).</w:t>
      </w:r>
      <w:r w:rsidR="00085DFC">
        <w:t xml:space="preserve"> The Eurozone crisis is a prime example of neoliberal globalisation</w:t>
      </w:r>
      <w:r w:rsidR="004A0A12">
        <w:t xml:space="preserve"> as it involved financial integration, policy responses</w:t>
      </w:r>
      <w:r w:rsidR="00ED1D93">
        <w:t xml:space="preserve">, </w:t>
      </w:r>
      <w:r w:rsidR="004A0A12">
        <w:t xml:space="preserve">and </w:t>
      </w:r>
      <w:r w:rsidR="002D0A3E">
        <w:t>privatization</w:t>
      </w:r>
      <w:r w:rsidR="004A0A12">
        <w:t xml:space="preserve"> programs</w:t>
      </w:r>
      <w:r w:rsidR="009D42D0">
        <w:t>.</w:t>
      </w:r>
      <w:r w:rsidR="00085DFC">
        <w:t xml:space="preserve"> </w:t>
      </w:r>
      <w:r w:rsidR="009D42D0">
        <w:t>D</w:t>
      </w:r>
      <w:r w:rsidR="00085DFC">
        <w:t>espite this</w:t>
      </w:r>
      <w:r w:rsidR="00ED1D93">
        <w:t>,</w:t>
      </w:r>
      <w:r w:rsidR="00085DFC">
        <w:t xml:space="preserve"> </w:t>
      </w:r>
      <w:r w:rsidR="001D7D53">
        <w:t>the evidence does not suggest that it has</w:t>
      </w:r>
      <w:r w:rsidR="0091495B">
        <w:t xml:space="preserve"> fully</w:t>
      </w:r>
      <w:r w:rsidR="001D7D53">
        <w:t xml:space="preserve"> ‘won</w:t>
      </w:r>
      <w:r w:rsidR="00ED1D93">
        <w:t xml:space="preserve">’, </w:t>
      </w:r>
      <w:r w:rsidR="001D7D53">
        <w:t xml:space="preserve">as it </w:t>
      </w:r>
      <w:r w:rsidR="00AE6CB0">
        <w:t xml:space="preserve">only caused severe </w:t>
      </w:r>
      <w:r w:rsidR="00EA2462">
        <w:t>convergence</w:t>
      </w:r>
      <w:r w:rsidR="0091495B">
        <w:t xml:space="preserve"> in government expenditure and thus economic convergence in some countries.</w:t>
      </w:r>
    </w:p>
    <w:p w14:paraId="23E23FFA" w14:textId="2E160529" w:rsidR="00BE3E5F" w:rsidRDefault="00257C2B" w:rsidP="00D01B89">
      <w:pPr>
        <w:pStyle w:val="Quote"/>
        <w:spacing w:line="240" w:lineRule="auto"/>
      </w:pPr>
      <w:r>
        <w:rPr>
          <w:noProof/>
        </w:rPr>
        <w:lastRenderedPageBreak/>
        <w:drawing>
          <wp:anchor distT="0" distB="0" distL="114300" distR="114300" simplePos="0" relativeHeight="251677184" behindDoc="0" locked="0" layoutInCell="1" allowOverlap="1" wp14:anchorId="6A0323C7" wp14:editId="1DD0CF70">
            <wp:simplePos x="0" y="0"/>
            <wp:positionH relativeFrom="margin">
              <wp:align>center</wp:align>
            </wp:positionH>
            <wp:positionV relativeFrom="paragraph">
              <wp:posOffset>201930</wp:posOffset>
            </wp:positionV>
            <wp:extent cx="4690110" cy="2912110"/>
            <wp:effectExtent l="0" t="0" r="0" b="2540"/>
            <wp:wrapTopAndBottom/>
            <wp:docPr id="334519626" name="Picture 9"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70375" name="Picture 9" descr="A graph of different colored lin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90110" cy="291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F133C6" w14:textId="1E601075" w:rsidR="0073388D" w:rsidRDefault="0025582E" w:rsidP="00D01B89">
      <w:pPr>
        <w:pStyle w:val="Quote"/>
        <w:spacing w:line="240" w:lineRule="auto"/>
      </w:pPr>
      <w:r w:rsidRPr="00B90E62">
        <w:t>Data from</w:t>
      </w:r>
      <w:r w:rsidR="00382D9F">
        <w:t xml:space="preserve"> the</w:t>
      </w:r>
      <w:r w:rsidRPr="00B90E62">
        <w:t xml:space="preserve"> </w:t>
      </w:r>
      <w:r>
        <w:t>Economic Freedom Index (1995-2024)</w:t>
      </w:r>
    </w:p>
    <w:p w14:paraId="72CB44EC" w14:textId="7DC1A334" w:rsidR="00A3656D" w:rsidRPr="003C09C6" w:rsidRDefault="002E2E74" w:rsidP="003C09C6">
      <w:r>
        <w:t>As figure 2 displays, countries are evidently converging</w:t>
      </w:r>
      <w:r w:rsidR="005D6937">
        <w:t xml:space="preserve"> and becoming clustered together</w:t>
      </w:r>
      <w:r>
        <w:t xml:space="preserve"> in</w:t>
      </w:r>
      <w:r w:rsidR="0078400E">
        <w:t xml:space="preserve"> terms of their</w:t>
      </w:r>
      <w:r w:rsidR="005D6937">
        <w:t xml:space="preserve"> regulations on</w:t>
      </w:r>
      <w:r w:rsidR="0078400E">
        <w:t xml:space="preserve"> </w:t>
      </w:r>
      <w:r w:rsidR="005D6937">
        <w:t xml:space="preserve">business. This </w:t>
      </w:r>
      <w:r w:rsidR="007A24F0">
        <w:t xml:space="preserve">is clearly displayed within the difference in </w:t>
      </w:r>
      <w:r w:rsidR="006C5C7C">
        <w:t xml:space="preserve">score </w:t>
      </w:r>
      <w:r w:rsidR="007A24F0">
        <w:t>range between 1995 and 2024</w:t>
      </w:r>
      <w:r w:rsidR="003F56E4">
        <w:t xml:space="preserve">. In 1995 the range </w:t>
      </w:r>
      <w:r w:rsidR="00316696">
        <w:t xml:space="preserve">between the UK and India </w:t>
      </w:r>
      <w:r w:rsidR="003F56E4">
        <w:t>was 45</w:t>
      </w:r>
      <w:r w:rsidR="00316696">
        <w:t xml:space="preserve"> (100-45) </w:t>
      </w:r>
      <w:r w:rsidR="00B14060">
        <w:t>whereas</w:t>
      </w:r>
      <w:r w:rsidR="00316696">
        <w:t xml:space="preserve"> in 2024 it was 23.4 between South Africa and the US (</w:t>
      </w:r>
      <w:r w:rsidR="000D67F5" w:rsidRPr="000D67F5">
        <w:t>84.8</w:t>
      </w:r>
      <w:r w:rsidR="000D67F5">
        <w:t>-</w:t>
      </w:r>
      <w:r w:rsidR="000D67F5" w:rsidRPr="000D67F5">
        <w:t>61.4</w:t>
      </w:r>
      <w:r w:rsidR="000D67F5">
        <w:t xml:space="preserve">). </w:t>
      </w:r>
      <w:r w:rsidR="00B14060">
        <w:t>It is a reasonable assumption that this convergence is due to neoliberal globalisation</w:t>
      </w:r>
      <w:r w:rsidR="00A9230A">
        <w:t xml:space="preserve">; </w:t>
      </w:r>
      <w:r w:rsidR="00B14060">
        <w:t xml:space="preserve">nations </w:t>
      </w:r>
      <w:r w:rsidR="001738B2">
        <w:t>must alter their business practice</w:t>
      </w:r>
      <w:r w:rsidR="009F1884">
        <w:t>s</w:t>
      </w:r>
      <w:r w:rsidR="001738B2">
        <w:t xml:space="preserve"> to remain</w:t>
      </w:r>
      <w:r w:rsidR="00EC7E88" w:rsidRPr="00EC7E88">
        <w:t xml:space="preserve"> </w:t>
      </w:r>
      <w:r w:rsidR="00EC7E88" w:rsidRPr="00EC7E88">
        <w:t xml:space="preserve">competitive in an economy highly impacted by </w:t>
      </w:r>
      <w:r w:rsidR="00EC7E88">
        <w:t xml:space="preserve">globalised </w:t>
      </w:r>
      <w:r w:rsidR="00EC7E88" w:rsidRPr="00EC7E88">
        <w:t>technological development</w:t>
      </w:r>
      <w:r w:rsidR="00EC7E88" w:rsidRPr="00F23109">
        <w:t xml:space="preserve">. </w:t>
      </w:r>
      <w:r w:rsidR="009F1884" w:rsidRPr="00F23109">
        <w:t>F</w:t>
      </w:r>
      <w:r w:rsidR="00735041" w:rsidRPr="00F23109">
        <w:t xml:space="preserve">or </w:t>
      </w:r>
      <w:r w:rsidR="009F1884" w:rsidRPr="00F23109">
        <w:t>example,</w:t>
      </w:r>
      <w:r w:rsidR="00735041" w:rsidRPr="00F23109">
        <w:t xml:space="preserve"> the US and China both </w:t>
      </w:r>
      <w:r w:rsidR="009F1884" w:rsidRPr="00F23109">
        <w:t xml:space="preserve">purchase </w:t>
      </w:r>
      <w:r w:rsidR="00735041" w:rsidRPr="00F23109">
        <w:t>Taiwan</w:t>
      </w:r>
      <w:r w:rsidR="009F1884" w:rsidRPr="00F23109">
        <w:t>ese</w:t>
      </w:r>
      <w:r w:rsidR="00735041" w:rsidRPr="00F23109">
        <w:t xml:space="preserve"> microchip</w:t>
      </w:r>
      <w:r w:rsidR="00285543" w:rsidRPr="00F23109">
        <w:t>s</w:t>
      </w:r>
      <w:r w:rsidR="006426A9" w:rsidRPr="00F23109">
        <w:t xml:space="preserve"> from the company TMSC</w:t>
      </w:r>
      <w:r w:rsidR="00595F28" w:rsidRPr="00F23109">
        <w:t>, their share is around 54% of the global market</w:t>
      </w:r>
      <w:r w:rsidR="00A9230A">
        <w:t>,</w:t>
      </w:r>
      <w:r w:rsidR="00595F28" w:rsidRPr="00F23109">
        <w:t xml:space="preserve"> </w:t>
      </w:r>
      <w:r w:rsidR="009F1884" w:rsidRPr="00F23109">
        <w:t>as they</w:t>
      </w:r>
      <w:r w:rsidR="00120BA5" w:rsidRPr="00F23109">
        <w:t xml:space="preserve"> create microchips with advanced com</w:t>
      </w:r>
      <w:r w:rsidR="00595F28" w:rsidRPr="00F23109">
        <w:t xml:space="preserve">putational power </w:t>
      </w:r>
      <w:r w:rsidR="00120BA5" w:rsidRPr="00F23109">
        <w:t>smaller than</w:t>
      </w:r>
      <w:r w:rsidR="00595F28" w:rsidRPr="00F23109">
        <w:t xml:space="preserve"> 1</w:t>
      </w:r>
      <w:r w:rsidR="00595F28" w:rsidRPr="00F23109">
        <w:t xml:space="preserve">0 </w:t>
      </w:r>
      <w:r w:rsidR="00595F28" w:rsidRPr="00F23109">
        <w:t>nanometres</w:t>
      </w:r>
      <w:r w:rsidR="009F1884" w:rsidRPr="00F23109">
        <w:rPr>
          <w:rStyle w:val="FootnoteReference"/>
        </w:rPr>
        <w:footnoteReference w:id="11"/>
      </w:r>
      <w:r w:rsidR="00EC7E88" w:rsidRPr="00F23109">
        <w:t xml:space="preserve">. </w:t>
      </w:r>
      <w:r w:rsidR="00C57363" w:rsidRPr="00F23109">
        <w:t xml:space="preserve">This </w:t>
      </w:r>
      <w:r w:rsidR="00C57363" w:rsidRPr="00F23109">
        <w:t xml:space="preserve">demonstrates how technological interdependence </w:t>
      </w:r>
      <w:r w:rsidR="00C57363" w:rsidRPr="00F23109">
        <w:t>forces</w:t>
      </w:r>
      <w:r w:rsidR="00C57363" w:rsidRPr="00F23109">
        <w:t xml:space="preserve"> nations</w:t>
      </w:r>
      <w:r w:rsidR="00C57363" w:rsidRPr="00C57363">
        <w:t xml:space="preserve"> to </w:t>
      </w:r>
      <w:r w:rsidR="00D02C7A">
        <w:t>adjust their</w:t>
      </w:r>
      <w:r w:rsidR="000A05AB">
        <w:t xml:space="preserve"> </w:t>
      </w:r>
      <w:r w:rsidR="00C57363" w:rsidRPr="00C57363">
        <w:t xml:space="preserve">business regulations, such as import standards </w:t>
      </w:r>
      <w:r w:rsidR="00D02C7A">
        <w:t>or</w:t>
      </w:r>
      <w:r w:rsidR="00C57363" w:rsidRPr="00C57363">
        <w:t xml:space="preserve"> intellectual property laws, to </w:t>
      </w:r>
      <w:r w:rsidR="00D02C7A">
        <w:t>maintain</w:t>
      </w:r>
      <w:r w:rsidR="00C57363" w:rsidRPr="00C57363">
        <w:t xml:space="preserve"> access to critical resources</w:t>
      </w:r>
      <w:r w:rsidR="00D02C7A">
        <w:t>.</w:t>
      </w:r>
    </w:p>
    <w:p w14:paraId="570F1A24" w14:textId="7AAD5FA6" w:rsidR="00D01B89" w:rsidRDefault="00D01B89" w:rsidP="00D01B89">
      <w:pPr>
        <w:pStyle w:val="Quote"/>
        <w:spacing w:line="240" w:lineRule="auto"/>
      </w:pPr>
    </w:p>
    <w:p w14:paraId="6424DA73" w14:textId="6C42598C" w:rsidR="00A3656D" w:rsidRDefault="00A3656D" w:rsidP="00A3656D"/>
    <w:p w14:paraId="6A3C111C" w14:textId="7467028F" w:rsidR="00A3656D" w:rsidRDefault="00A3656D" w:rsidP="00A3656D"/>
    <w:p w14:paraId="6A3868B0" w14:textId="13FF78A8" w:rsidR="00A3656D" w:rsidRDefault="00A3656D" w:rsidP="00A3656D"/>
    <w:p w14:paraId="72980B6C" w14:textId="3F4141DA" w:rsidR="00A3656D" w:rsidRDefault="00A3656D" w:rsidP="00A3656D"/>
    <w:p w14:paraId="35687082" w14:textId="7DFB1C10" w:rsidR="00A3656D" w:rsidRDefault="00A3656D" w:rsidP="00A3656D"/>
    <w:p w14:paraId="5B055B64" w14:textId="5F1607D0" w:rsidR="00A3656D" w:rsidRDefault="00A3656D" w:rsidP="00A3656D"/>
    <w:p w14:paraId="68B05044" w14:textId="43405EE1" w:rsidR="00A3656D" w:rsidRDefault="00A3656D" w:rsidP="00A3656D"/>
    <w:p w14:paraId="6D3B83FE" w14:textId="64A273A5" w:rsidR="00A3656D" w:rsidRDefault="00A3656D" w:rsidP="00A3656D"/>
    <w:p w14:paraId="7D103805" w14:textId="07AC5E59" w:rsidR="00A3656D" w:rsidRDefault="00A3656D" w:rsidP="00A3656D"/>
    <w:p w14:paraId="69B7CAFB" w14:textId="0F0C2A79" w:rsidR="00A3656D" w:rsidRPr="00A3656D" w:rsidRDefault="00371722" w:rsidP="00A3656D">
      <w:r w:rsidRPr="00A166F7">
        <w:rPr>
          <w:noProof/>
          <w:highlight w:val="yellow"/>
        </w:rPr>
        <w:lastRenderedPageBreak/>
        <w:drawing>
          <wp:anchor distT="0" distB="0" distL="114300" distR="114300" simplePos="0" relativeHeight="251649536" behindDoc="0" locked="0" layoutInCell="1" allowOverlap="1" wp14:anchorId="58F115B2" wp14:editId="0EFC7A3A">
            <wp:simplePos x="0" y="0"/>
            <wp:positionH relativeFrom="margin">
              <wp:align>center</wp:align>
            </wp:positionH>
            <wp:positionV relativeFrom="paragraph">
              <wp:posOffset>0</wp:posOffset>
            </wp:positionV>
            <wp:extent cx="4692650" cy="2913380"/>
            <wp:effectExtent l="0" t="0" r="0" b="1270"/>
            <wp:wrapTopAndBottom/>
            <wp:docPr id="2012825830" name="Picture 7"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25830" name="Picture 7" descr="A graph of different colored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92650" cy="2913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4056A0" w14:textId="39D48904" w:rsidR="00D01B89" w:rsidRDefault="00D01B89" w:rsidP="00D01B89">
      <w:pPr>
        <w:pStyle w:val="Quote"/>
        <w:spacing w:line="240" w:lineRule="auto"/>
      </w:pPr>
      <w:r w:rsidRPr="00B90E62">
        <w:t xml:space="preserve">Data from </w:t>
      </w:r>
      <w:r w:rsidR="00382D9F">
        <w:t xml:space="preserve">the </w:t>
      </w:r>
      <w:r>
        <w:t>Economic Freedom Index (1995-2024)</w:t>
      </w:r>
    </w:p>
    <w:p w14:paraId="6148FDBC" w14:textId="7F6D0595" w:rsidR="00A3656D" w:rsidRDefault="00696DBC" w:rsidP="000D352B">
      <w:r>
        <w:t xml:space="preserve">Figure 3 illustrates that countries are not converging when it comes to investment freedom, they are </w:t>
      </w:r>
      <w:r w:rsidR="00406D53">
        <w:t xml:space="preserve">diverging. </w:t>
      </w:r>
      <w:r w:rsidR="008C792C">
        <w:t xml:space="preserve"> The difference in </w:t>
      </w:r>
      <w:r w:rsidR="006C5C7C">
        <w:t xml:space="preserve">score </w:t>
      </w:r>
      <w:r w:rsidR="008C792C">
        <w:t>range</w:t>
      </w:r>
      <w:r w:rsidR="004D39E7">
        <w:t xml:space="preserve"> between China </w:t>
      </w:r>
      <w:r w:rsidR="004976F0">
        <w:t xml:space="preserve">(20,50) </w:t>
      </w:r>
      <w:r w:rsidR="004D39E7">
        <w:t>and the US</w:t>
      </w:r>
      <w:r w:rsidR="005A408B">
        <w:t xml:space="preserve"> (80,70)</w:t>
      </w:r>
      <w:r w:rsidR="002E7FA3">
        <w:t xml:space="preserve"> from 1995 to 2024. </w:t>
      </w:r>
      <w:r w:rsidR="005A408B">
        <w:t xml:space="preserve">In 1995 there was a range of </w:t>
      </w:r>
      <w:r w:rsidR="00BE4013">
        <w:t xml:space="preserve">20 (70 – 20) </w:t>
      </w:r>
      <w:r w:rsidR="0050295C">
        <w:t>whereas</w:t>
      </w:r>
      <w:r w:rsidR="00BE4013">
        <w:t xml:space="preserve"> in 202</w:t>
      </w:r>
      <w:r w:rsidR="0050295C">
        <w:t xml:space="preserve">4 there was a range of 60 (80-20). This is due to a </w:t>
      </w:r>
      <w:r w:rsidR="00662AFF">
        <w:t>difference in the state-market balance</w:t>
      </w:r>
      <w:r w:rsidR="0050295C">
        <w:t xml:space="preserve"> in </w:t>
      </w:r>
      <w:r w:rsidR="00662AFF">
        <w:t xml:space="preserve">their economies. </w:t>
      </w:r>
      <w:r w:rsidR="008C792C">
        <w:t xml:space="preserve">China has </w:t>
      </w:r>
      <w:r w:rsidR="00EE47C7">
        <w:t xml:space="preserve">trailblazed as a nation with an excellent economic trajectory whilst withholding a state-led </w:t>
      </w:r>
      <w:r w:rsidR="00570BDA">
        <w:t>economy. For example, the</w:t>
      </w:r>
      <w:r w:rsidR="009F4796">
        <w:t xml:space="preserve"> Belt and Road </w:t>
      </w:r>
      <w:r w:rsidR="008D01E5">
        <w:t>I</w:t>
      </w:r>
      <w:r w:rsidR="009F4796">
        <w:t>nitiative</w:t>
      </w:r>
      <w:r w:rsidR="00570BDA">
        <w:t xml:space="preserve"> (BRI) </w:t>
      </w:r>
      <w:r w:rsidR="004A7B87">
        <w:t>is</w:t>
      </w:r>
      <w:r w:rsidR="00570BDA">
        <w:t xml:space="preserve"> </w:t>
      </w:r>
      <w:r w:rsidR="009512E3">
        <w:t>an</w:t>
      </w:r>
      <w:r w:rsidR="00194273">
        <w:t xml:space="preserve"> extravagant global infrastructure plan to connect Asia, Africa</w:t>
      </w:r>
      <w:r w:rsidR="008D01E5">
        <w:t xml:space="preserve">, </w:t>
      </w:r>
      <w:r w:rsidR="00194273">
        <w:t>and Europe</w:t>
      </w:r>
      <w:r w:rsidR="002B3EB2">
        <w:t xml:space="preserve"> and stimulate economic growth</w:t>
      </w:r>
      <w:r w:rsidR="008D01E5">
        <w:t xml:space="preserve">; </w:t>
      </w:r>
      <w:r w:rsidR="005A0C52">
        <w:t>t</w:t>
      </w:r>
      <w:r w:rsidR="00194273">
        <w:t xml:space="preserve">he Chinese government </w:t>
      </w:r>
      <w:r w:rsidR="005A0C52">
        <w:t>provides</w:t>
      </w:r>
      <w:r w:rsidR="00194273">
        <w:t xml:space="preserve"> financing and state-owned enterprises </w:t>
      </w:r>
      <w:r w:rsidR="001425BE">
        <w:t>to</w:t>
      </w:r>
      <w:r w:rsidR="00194273">
        <w:t xml:space="preserve"> </w:t>
      </w:r>
      <w:r w:rsidR="009512E3">
        <w:t>oversee construction.</w:t>
      </w:r>
      <w:r w:rsidR="001425BE">
        <w:rPr>
          <w:rStyle w:val="FootnoteReference"/>
        </w:rPr>
        <w:footnoteReference w:id="12"/>
      </w:r>
      <w:r w:rsidR="001425BE">
        <w:t xml:space="preserve"> </w:t>
      </w:r>
      <w:r w:rsidR="00AF1437">
        <w:t xml:space="preserve">Furthermore, </w:t>
      </w:r>
      <w:r w:rsidR="00141C60">
        <w:t xml:space="preserve">India has a higher </w:t>
      </w:r>
      <w:r w:rsidR="00334004">
        <w:t>i</w:t>
      </w:r>
      <w:r w:rsidR="004D09D4">
        <w:t>nvestment</w:t>
      </w:r>
      <w:r w:rsidR="00141C60">
        <w:t xml:space="preserve"> freedom </w:t>
      </w:r>
      <w:r w:rsidR="0045347A" w:rsidRPr="0045347A">
        <w:t xml:space="preserve">score </w:t>
      </w:r>
      <w:r w:rsidR="00141C60" w:rsidRPr="0045347A">
        <w:t>than China</w:t>
      </w:r>
      <w:r w:rsidR="00662AFF" w:rsidRPr="0045347A">
        <w:t xml:space="preserve"> (40 in 2024</w:t>
      </w:r>
      <w:r w:rsidR="009D42D0" w:rsidRPr="0045347A">
        <w:t>),</w:t>
      </w:r>
      <w:r w:rsidR="00141C60" w:rsidRPr="0045347A">
        <w:t xml:space="preserve"> but </w:t>
      </w:r>
      <w:r w:rsidR="0045347A" w:rsidRPr="0045347A">
        <w:t xml:space="preserve">it </w:t>
      </w:r>
      <w:r w:rsidR="00141C60" w:rsidRPr="0045347A">
        <w:t>is significantly lower than that of the US/UK/Germany/</w:t>
      </w:r>
      <w:r w:rsidR="004D09D4" w:rsidRPr="0045347A">
        <w:t xml:space="preserve">Sweden. </w:t>
      </w:r>
      <w:r w:rsidR="00D63CAB" w:rsidRPr="0045347A">
        <w:t>India</w:t>
      </w:r>
      <w:r w:rsidR="004D09D4" w:rsidRPr="0045347A">
        <w:t xml:space="preserve"> has a</w:t>
      </w:r>
      <w:r w:rsidR="00D63CAB" w:rsidRPr="0045347A">
        <w:t xml:space="preserve"> mixed economy </w:t>
      </w:r>
      <w:r w:rsidR="00334004">
        <w:t>that</w:t>
      </w:r>
      <w:r w:rsidR="00CD3090" w:rsidRPr="0045347A">
        <w:t xml:space="preserve"> has engaged with</w:t>
      </w:r>
      <w:r w:rsidR="001B30FC" w:rsidRPr="0045347A">
        <w:t xml:space="preserve"> </w:t>
      </w:r>
      <w:r w:rsidR="008B1229" w:rsidRPr="0045347A">
        <w:t xml:space="preserve">liberalisation </w:t>
      </w:r>
      <w:r w:rsidR="00CD3090" w:rsidRPr="0045347A">
        <w:t>but</w:t>
      </w:r>
      <w:r w:rsidR="00334004">
        <w:t xml:space="preserve"> is</w:t>
      </w:r>
      <w:r w:rsidR="008B1229" w:rsidRPr="0045347A">
        <w:t xml:space="preserve"> subject to conditions</w:t>
      </w:r>
      <w:r w:rsidR="00D63CAB" w:rsidRPr="0045347A">
        <w:t>.</w:t>
      </w:r>
      <w:r w:rsidR="008B1229" w:rsidRPr="0045347A">
        <w:rPr>
          <w:rStyle w:val="FootnoteReference"/>
        </w:rPr>
        <w:footnoteReference w:id="13"/>
      </w:r>
      <w:r w:rsidR="0045347A">
        <w:t xml:space="preserve"> There has been </w:t>
      </w:r>
      <w:r w:rsidR="00BA70D2">
        <w:t xml:space="preserve">success </w:t>
      </w:r>
      <w:r w:rsidR="00BD0DA7" w:rsidRPr="0045347A">
        <w:t>in</w:t>
      </w:r>
      <w:r w:rsidR="008B1229" w:rsidRPr="0045347A">
        <w:t xml:space="preserve"> </w:t>
      </w:r>
      <w:r w:rsidR="00334004">
        <w:t>i</w:t>
      </w:r>
      <w:r w:rsidR="00CD3090" w:rsidRPr="0045347A">
        <w:t>ndustries</w:t>
      </w:r>
      <w:r w:rsidR="00D63CAB" w:rsidRPr="0045347A">
        <w:t xml:space="preserve"> </w:t>
      </w:r>
      <w:r w:rsidR="00CD3090" w:rsidRPr="0045347A">
        <w:t>like technology a</w:t>
      </w:r>
      <w:r w:rsidR="00D63CAB" w:rsidRPr="0045347A">
        <w:t>nd pharmaceuticals</w:t>
      </w:r>
      <w:r w:rsidR="00334004">
        <w:t>,</w:t>
      </w:r>
      <w:r w:rsidR="00D63CAB" w:rsidRPr="0045347A">
        <w:t xml:space="preserve"> </w:t>
      </w:r>
      <w:r w:rsidR="00BA70D2">
        <w:t>which</w:t>
      </w:r>
      <w:r w:rsidR="00D63CAB" w:rsidRPr="0045347A">
        <w:t xml:space="preserve"> </w:t>
      </w:r>
      <w:r w:rsidR="00BD0DA7" w:rsidRPr="0045347A">
        <w:t>occurred</w:t>
      </w:r>
      <w:r w:rsidR="00D63CAB" w:rsidRPr="0045347A">
        <w:t xml:space="preserve"> under liberalized policies</w:t>
      </w:r>
      <w:r w:rsidR="0042465E">
        <w:t>.</w:t>
      </w:r>
      <w:r w:rsidR="0042465E">
        <w:rPr>
          <w:rStyle w:val="FootnoteReference"/>
        </w:rPr>
        <w:footnoteReference w:id="14"/>
      </w:r>
      <w:r w:rsidR="0042465E">
        <w:t xml:space="preserve"> W</w:t>
      </w:r>
      <w:r w:rsidR="00BD0DA7" w:rsidRPr="0045347A">
        <w:t>hilst areas</w:t>
      </w:r>
      <w:r w:rsidR="00D63CAB" w:rsidRPr="0045347A">
        <w:t xml:space="preserve">, such as </w:t>
      </w:r>
      <w:r w:rsidR="00CD3090" w:rsidRPr="0045347A">
        <w:t>agriculture</w:t>
      </w:r>
      <w:r w:rsidR="00D63CAB" w:rsidRPr="0045347A">
        <w:t xml:space="preserve">, </w:t>
      </w:r>
      <w:r w:rsidR="00BD0DA7" w:rsidRPr="0045347A">
        <w:t>have been subject to</w:t>
      </w:r>
      <w:r w:rsidR="00D63CAB" w:rsidRPr="0045347A">
        <w:t xml:space="preserve"> heav</w:t>
      </w:r>
      <w:r w:rsidR="00BD0DA7" w:rsidRPr="0045347A">
        <w:t>y regulation</w:t>
      </w:r>
      <w:r w:rsidR="00D63CAB" w:rsidRPr="0045347A">
        <w:t>. This illustrates how India has</w:t>
      </w:r>
      <w:r w:rsidR="00BD0DA7" w:rsidRPr="0045347A">
        <w:t xml:space="preserve"> had the autonomy to</w:t>
      </w:r>
      <w:r w:rsidR="00D63CAB" w:rsidRPr="0045347A">
        <w:t xml:space="preserve"> selectively embrace</w:t>
      </w:r>
      <w:r w:rsidR="00BD0DA7" w:rsidRPr="0045347A">
        <w:t xml:space="preserve"> </w:t>
      </w:r>
      <w:r w:rsidR="00D63CAB" w:rsidRPr="0045347A">
        <w:t>globalization whil</w:t>
      </w:r>
      <w:r w:rsidR="0045347A" w:rsidRPr="0045347A">
        <w:t xml:space="preserve">st </w:t>
      </w:r>
      <w:r w:rsidR="00D63CAB" w:rsidRPr="0045347A">
        <w:t>protecting vulnerable sectors</w:t>
      </w:r>
      <w:r w:rsidR="001D72B3" w:rsidRPr="0045347A">
        <w:t>.</w:t>
      </w:r>
      <w:r w:rsidR="001D72B3">
        <w:t xml:space="preserve"> </w:t>
      </w:r>
      <w:r w:rsidR="00AF1437">
        <w:t>These examples demonstrate that</w:t>
      </w:r>
      <w:r w:rsidR="001C29E7" w:rsidRPr="001C29E7">
        <w:t xml:space="preserve"> neo</w:t>
      </w:r>
      <w:r w:rsidR="00592610">
        <w:t>liberal globalisation</w:t>
      </w:r>
      <w:r w:rsidR="001C29E7" w:rsidRPr="001C29E7">
        <w:t xml:space="preserve"> has not </w:t>
      </w:r>
      <w:r w:rsidR="00592610">
        <w:t>‘</w:t>
      </w:r>
      <w:r w:rsidR="001C29E7" w:rsidRPr="001C29E7">
        <w:t>won</w:t>
      </w:r>
      <w:r w:rsidR="00592610">
        <w:t>’</w:t>
      </w:r>
      <w:r w:rsidR="00D6293D">
        <w:t>;</w:t>
      </w:r>
      <w:r w:rsidR="001C29E7" w:rsidRPr="001C29E7">
        <w:t xml:space="preserve"> it has </w:t>
      </w:r>
      <w:r w:rsidR="00592610">
        <w:t xml:space="preserve">augmented what is expected of nations </w:t>
      </w:r>
      <w:r w:rsidR="00592610" w:rsidRPr="001C29E7">
        <w:t>goal</w:t>
      </w:r>
      <w:r w:rsidR="00D6293D">
        <w:t>-</w:t>
      </w:r>
      <w:r w:rsidR="00592610">
        <w:t>wise</w:t>
      </w:r>
      <w:r w:rsidR="001C29E7" w:rsidRPr="001C29E7">
        <w:t xml:space="preserve"> but </w:t>
      </w:r>
      <w:r w:rsidR="00592610">
        <w:t xml:space="preserve">has not fully implicated how countries can achieve these goals. </w:t>
      </w:r>
    </w:p>
    <w:p w14:paraId="47DDF67F" w14:textId="77777777" w:rsidR="00A3656D" w:rsidRPr="005600E3" w:rsidRDefault="00A3656D" w:rsidP="000D352B"/>
    <w:p w14:paraId="26C886E4" w14:textId="5508F319" w:rsidR="000D352B" w:rsidRDefault="008574AE" w:rsidP="008574AE">
      <w:pPr>
        <w:pStyle w:val="Heading1"/>
        <w:rPr>
          <w:color w:val="7030A0"/>
        </w:rPr>
      </w:pPr>
      <w:r w:rsidRPr="008574AE">
        <w:rPr>
          <w:color w:val="7030A0"/>
        </w:rPr>
        <w:t>Conclusion</w:t>
      </w:r>
    </w:p>
    <w:p w14:paraId="594C8400" w14:textId="32C379B8" w:rsidR="00702F2B" w:rsidRDefault="004545AB" w:rsidP="00E21477">
      <w:r>
        <w:t xml:space="preserve">The question asks if </w:t>
      </w:r>
      <w:r w:rsidRPr="004545AB">
        <w:t>all countries are effectively managing their economies in the same way now</w:t>
      </w:r>
      <w:r w:rsidRPr="004545AB">
        <w:t xml:space="preserve"> </w:t>
      </w:r>
      <w:r>
        <w:t>and that neoliberal globalisation has won. A</w:t>
      </w:r>
      <w:r w:rsidR="00566A68" w:rsidRPr="00566A68">
        <w:t xml:space="preserve">fter consideration, the hypothesis should be </w:t>
      </w:r>
      <w:r w:rsidR="00566A68" w:rsidRPr="00566A68">
        <w:t>accepted</w:t>
      </w:r>
      <w:r w:rsidR="00284F4C">
        <w:t xml:space="preserve"> as it is evident that </w:t>
      </w:r>
      <w:r w:rsidR="00151098">
        <w:t>neoliberal globalisation has not ‘won’. Whilst</w:t>
      </w:r>
      <w:r w:rsidR="006B29F4">
        <w:t xml:space="preserve"> some convergence is apparent, it is</w:t>
      </w:r>
      <w:r w:rsidR="00254DC7">
        <w:t xml:space="preserve"> </w:t>
      </w:r>
      <w:r w:rsidR="006B29F4">
        <w:t xml:space="preserve">to a </w:t>
      </w:r>
      <w:r w:rsidR="00284F4C">
        <w:t xml:space="preserve">degree </w:t>
      </w:r>
      <w:r>
        <w:t xml:space="preserve">as </w:t>
      </w:r>
      <w:r w:rsidR="00284F4C">
        <w:t>countries have slowly be</w:t>
      </w:r>
      <w:r w:rsidR="001F2B06">
        <w:t>c</w:t>
      </w:r>
      <w:r w:rsidR="00284F4C">
        <w:t xml:space="preserve">ome closer </w:t>
      </w:r>
      <w:r w:rsidR="001F2B06">
        <w:t xml:space="preserve">in their </w:t>
      </w:r>
      <w:r w:rsidR="001F2B06" w:rsidRPr="00921E4B">
        <w:t>business freedom</w:t>
      </w:r>
      <w:r w:rsidR="001F2B06">
        <w:t xml:space="preserve"> scores</w:t>
      </w:r>
      <w:r w:rsidR="001F2B06" w:rsidRPr="00921E4B">
        <w:t xml:space="preserve"> </w:t>
      </w:r>
      <w:r w:rsidR="001F7A20">
        <w:t xml:space="preserve">and somewhat with economic development/government spending </w:t>
      </w:r>
      <w:r>
        <w:t>b</w:t>
      </w:r>
      <w:r w:rsidR="00284F4C">
        <w:t xml:space="preserve">ut not enough </w:t>
      </w:r>
      <w:r w:rsidR="001F7A20">
        <w:t>for a</w:t>
      </w:r>
      <w:r w:rsidR="00284F4C">
        <w:t xml:space="preserve"> </w:t>
      </w:r>
      <w:r w:rsidR="00B57AAD">
        <w:t>nation</w:t>
      </w:r>
      <w:r w:rsidR="00D6293D">
        <w:t>’s</w:t>
      </w:r>
      <w:r w:rsidR="00B57AAD">
        <w:t xml:space="preserve"> autonomy </w:t>
      </w:r>
      <w:r w:rsidR="001F7A20">
        <w:t>to be</w:t>
      </w:r>
      <w:r w:rsidR="00B57AAD">
        <w:t xml:space="preserve"> erased</w:t>
      </w:r>
      <w:r w:rsidR="00540011">
        <w:t xml:space="preserve">. </w:t>
      </w:r>
      <w:r w:rsidR="001F7A20">
        <w:lastRenderedPageBreak/>
        <w:t>In addition, divergence</w:t>
      </w:r>
      <w:r w:rsidR="00540011">
        <w:t xml:space="preserve"> was witnessed within the</w:t>
      </w:r>
      <w:r w:rsidR="00540011">
        <w:t xml:space="preserve"> state-market balance</w:t>
      </w:r>
      <w:r w:rsidR="00944D11">
        <w:t>, disproving th</w:t>
      </w:r>
      <w:r w:rsidR="001F7A20">
        <w:t>is theory outright. The question is reductionist</w:t>
      </w:r>
      <w:r w:rsidR="00B57AAD">
        <w:t xml:space="preserve">, </w:t>
      </w:r>
      <w:r w:rsidR="001F7A20">
        <w:t xml:space="preserve">as </w:t>
      </w:r>
      <w:r w:rsidR="00B57AAD">
        <w:t>it</w:t>
      </w:r>
      <w:r w:rsidR="00887CF3">
        <w:t xml:space="preserve"> does not reflect the </w:t>
      </w:r>
      <w:r w:rsidR="00D34959">
        <w:t>cultural and structural differences between states that have been witnessed as prominent factors within this research</w:t>
      </w:r>
      <w:r w:rsidR="001F7A20">
        <w:t xml:space="preserve"> and </w:t>
      </w:r>
      <w:r w:rsidR="00D6293D">
        <w:t xml:space="preserve">is </w:t>
      </w:r>
      <w:r w:rsidR="001F7A20">
        <w:t>deterministic due to its assumption that nation</w:t>
      </w:r>
      <w:r w:rsidR="00D6293D">
        <w:t xml:space="preserve">s </w:t>
      </w:r>
      <w:r w:rsidR="001F7A20">
        <w:t xml:space="preserve">have no </w:t>
      </w:r>
      <w:r w:rsidR="00A7146A" w:rsidRPr="00A7146A">
        <w:t xml:space="preserve">control </w:t>
      </w:r>
      <w:r w:rsidR="001F7A20">
        <w:t>over their economic management and policies under neoliberal globalisation.</w:t>
      </w:r>
    </w:p>
    <w:p w14:paraId="45FB8C9B" w14:textId="26341866" w:rsidR="00CF39BB" w:rsidRDefault="00E21477" w:rsidP="008A0743">
      <w:pPr>
        <w:pStyle w:val="Heading1"/>
        <w:rPr>
          <w:color w:val="7030A0"/>
        </w:rPr>
      </w:pPr>
      <w:r w:rsidRPr="00E21477">
        <w:rPr>
          <w:color w:val="7030A0"/>
        </w:rPr>
        <w:t>Bibliograph</w:t>
      </w:r>
      <w:r w:rsidR="008A0743">
        <w:rPr>
          <w:color w:val="7030A0"/>
        </w:rPr>
        <w:t>y</w:t>
      </w:r>
    </w:p>
    <w:p w14:paraId="7AFEB84C" w14:textId="77777777" w:rsidR="008A0743" w:rsidRPr="008A0743" w:rsidRDefault="008A0743" w:rsidP="008A0743"/>
    <w:p w14:paraId="42BEFA91" w14:textId="392B1CC5" w:rsidR="00CF39BB" w:rsidRPr="00CF39BB" w:rsidRDefault="00CF39BB" w:rsidP="00CF39BB">
      <w:r w:rsidRPr="00CF39BB">
        <w:t xml:space="preserve">Anand, N. (2014). An overview of Indian economy (1991-2013). </w:t>
      </w:r>
      <w:r w:rsidRPr="00CF39BB">
        <w:rPr>
          <w:i/>
          <w:iCs/>
        </w:rPr>
        <w:t>IOSR Journal of Economics and Finance, 3</w:t>
      </w:r>
      <w:r w:rsidRPr="00CF39BB">
        <w:t>(3), 19-24.</w:t>
      </w:r>
    </w:p>
    <w:p w14:paraId="339F5F66" w14:textId="347D37E0" w:rsidR="00CF39BB" w:rsidRPr="00CF39BB" w:rsidRDefault="00CF39BB" w:rsidP="00CF39BB">
      <w:proofErr w:type="spellStart"/>
      <w:r w:rsidRPr="00CF39BB">
        <w:t>Copelovitch</w:t>
      </w:r>
      <w:proofErr w:type="spellEnd"/>
      <w:r w:rsidRPr="00CF39BB">
        <w:t>, M., Frieden, J., &amp; Walter, S. (2016). The political economy of the Euro crisis.</w:t>
      </w:r>
    </w:p>
    <w:p w14:paraId="041B93EA" w14:textId="60FC27DF" w:rsidR="00CF39BB" w:rsidRPr="00CF39BB" w:rsidRDefault="00CF39BB" w:rsidP="00CF39BB">
      <w:r w:rsidRPr="00CF39BB">
        <w:t xml:space="preserve">Friedman, M. (2016). </w:t>
      </w:r>
      <w:r w:rsidRPr="00CF39BB">
        <w:rPr>
          <w:i/>
          <w:iCs/>
        </w:rPr>
        <w:t>Capitalism and Freedom</w:t>
      </w:r>
      <w:r w:rsidRPr="00CF39BB">
        <w:t>.</w:t>
      </w:r>
    </w:p>
    <w:p w14:paraId="310632E7" w14:textId="25EBEE11" w:rsidR="00CF39BB" w:rsidRPr="00CF39BB" w:rsidRDefault="00CF39BB" w:rsidP="00CF39BB">
      <w:r w:rsidRPr="00CF39BB">
        <w:t>Frieden, J., &amp; Walter, S. (2017). Understanding the political economy of the Eurozone crisis.</w:t>
      </w:r>
    </w:p>
    <w:p w14:paraId="55DB98EA" w14:textId="3518DC08" w:rsidR="00CF39BB" w:rsidRPr="00CF39BB" w:rsidRDefault="00CF39BB" w:rsidP="00CF39BB">
      <w:r w:rsidRPr="00CF39BB">
        <w:t xml:space="preserve">Heritage Foundation. (2024). </w:t>
      </w:r>
      <w:r w:rsidRPr="00CF39BB">
        <w:rPr>
          <w:i/>
          <w:iCs/>
        </w:rPr>
        <w:t>Index of Economic Freedom</w:t>
      </w:r>
      <w:r w:rsidRPr="00CF39BB">
        <w:t>.</w:t>
      </w:r>
    </w:p>
    <w:p w14:paraId="64863068" w14:textId="1D76ECF4" w:rsidR="00CF39BB" w:rsidRPr="00CF39BB" w:rsidRDefault="00CF39BB" w:rsidP="00CF39BB">
      <w:r w:rsidRPr="00CF39BB">
        <w:t xml:space="preserve">Huang, Y. (2016). Understanding China's Belt &amp; Road Initiative. </w:t>
      </w:r>
      <w:r w:rsidRPr="00CF39BB">
        <w:rPr>
          <w:i/>
          <w:iCs/>
        </w:rPr>
        <w:t>China Economic Review, 40</w:t>
      </w:r>
      <w:r w:rsidRPr="00CF39BB">
        <w:t>, 314–321.</w:t>
      </w:r>
    </w:p>
    <w:p w14:paraId="0AFBF919" w14:textId="62E3F915" w:rsidR="00CF39BB" w:rsidRPr="00CF39BB" w:rsidRDefault="00CF39BB" w:rsidP="00CF39BB">
      <w:r w:rsidRPr="00CF39BB">
        <w:t>Kawakami, T. (2022). Taiwan’s TSMC as a focal point of US-China high-tech conflict.</w:t>
      </w:r>
    </w:p>
    <w:p w14:paraId="7F8FFC76" w14:textId="05418A38" w:rsidR="00CF39BB" w:rsidRPr="00CF39BB" w:rsidRDefault="00CF39BB" w:rsidP="00CF39BB">
      <w:r w:rsidRPr="00CF39BB">
        <w:t xml:space="preserve">Nayyar, D. (2017). Economic liberalisation in India. </w:t>
      </w:r>
      <w:r w:rsidRPr="00CF39BB">
        <w:rPr>
          <w:i/>
          <w:iCs/>
        </w:rPr>
        <w:t>Economic and Political Weekly</w:t>
      </w:r>
      <w:r w:rsidRPr="00CF39BB">
        <w:t>, 41-48.</w:t>
      </w:r>
    </w:p>
    <w:p w14:paraId="51D5268A" w14:textId="3D584741" w:rsidR="00CF39BB" w:rsidRPr="00CF39BB" w:rsidRDefault="00CF39BB" w:rsidP="00CF39BB">
      <w:r w:rsidRPr="00CF39BB">
        <w:t>Nelson, R. M., et al. (2012). The Eurozone crisis: Overview and issues for Congress.</w:t>
      </w:r>
    </w:p>
    <w:p w14:paraId="793456B8" w14:textId="3F4A9D7A" w:rsidR="00CF39BB" w:rsidRPr="00CF39BB" w:rsidRDefault="00CF39BB" w:rsidP="00CF39BB">
      <w:r w:rsidRPr="00CF39BB">
        <w:t xml:space="preserve">Pisani-Ferry, J. (2014). </w:t>
      </w:r>
      <w:r w:rsidRPr="00CF39BB">
        <w:rPr>
          <w:i/>
          <w:iCs/>
        </w:rPr>
        <w:t>The Euro Crisis and Its Aftermath</w:t>
      </w:r>
      <w:r w:rsidRPr="00CF39BB">
        <w:t>.</w:t>
      </w:r>
    </w:p>
    <w:p w14:paraId="67EFC1D5" w14:textId="41D0751B" w:rsidR="00CF39BB" w:rsidRPr="00CF39BB" w:rsidRDefault="00CF39BB" w:rsidP="00CF39BB">
      <w:r w:rsidRPr="00CF39BB">
        <w:t>Rey, S. J., &amp; Le Gallo, J. (2009). Spatial analysis of economic convergence.</w:t>
      </w:r>
    </w:p>
    <w:p w14:paraId="73EC0548" w14:textId="2C12E68D" w:rsidR="00CF39BB" w:rsidRPr="00CF39BB" w:rsidRDefault="00CF39BB" w:rsidP="00CF39BB">
      <w:proofErr w:type="spellStart"/>
      <w:r w:rsidRPr="00CF39BB">
        <w:t>Ripsman</w:t>
      </w:r>
      <w:proofErr w:type="spellEnd"/>
      <w:r w:rsidRPr="00CF39BB">
        <w:t>, N. M. (2021). Globalization, deglobalization, and great power politics.</w:t>
      </w:r>
    </w:p>
    <w:p w14:paraId="2E04D409" w14:textId="1F12050D" w:rsidR="00E21477" w:rsidRPr="00E21477" w:rsidRDefault="00CF39BB" w:rsidP="00CF39BB">
      <w:r w:rsidRPr="00CF39BB">
        <w:t xml:space="preserve">World Bank. </w:t>
      </w:r>
      <w:r w:rsidRPr="00CF39BB">
        <w:rPr>
          <w:i/>
          <w:iCs/>
        </w:rPr>
        <w:t>GDP Growth (Annual %) - Sweden</w:t>
      </w:r>
      <w:r w:rsidRPr="00CF39BB">
        <w:t>.</w:t>
      </w:r>
    </w:p>
    <w:p w14:paraId="6720159A" w14:textId="6664E634" w:rsidR="00E21477" w:rsidRDefault="00E21477" w:rsidP="00E21477">
      <w:pPr>
        <w:rPr>
          <w:rFonts w:asciiTheme="majorHAnsi" w:eastAsiaTheme="majorEastAsia" w:hAnsiTheme="majorHAnsi" w:cstheme="majorBidi"/>
          <w:color w:val="7030A0"/>
          <w:sz w:val="32"/>
          <w:szCs w:val="32"/>
        </w:rPr>
      </w:pPr>
    </w:p>
    <w:p w14:paraId="243C0B76" w14:textId="0972F51C" w:rsidR="00E21477" w:rsidRPr="00E21477" w:rsidRDefault="00E21477" w:rsidP="00E21477">
      <w:pPr>
        <w:tabs>
          <w:tab w:val="left" w:pos="2843"/>
        </w:tabs>
      </w:pPr>
      <w:r>
        <w:tab/>
      </w:r>
    </w:p>
    <w:sectPr w:rsidR="00E21477" w:rsidRPr="00E214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415AD" w14:textId="77777777" w:rsidR="004B24CE" w:rsidRDefault="004B24CE" w:rsidP="00B51860">
      <w:pPr>
        <w:spacing w:after="0" w:line="240" w:lineRule="auto"/>
      </w:pPr>
      <w:r>
        <w:separator/>
      </w:r>
    </w:p>
  </w:endnote>
  <w:endnote w:type="continuationSeparator" w:id="0">
    <w:p w14:paraId="176A13D1" w14:textId="77777777" w:rsidR="004B24CE" w:rsidRDefault="004B24CE" w:rsidP="00B51860">
      <w:pPr>
        <w:spacing w:after="0" w:line="240" w:lineRule="auto"/>
      </w:pPr>
      <w:r>
        <w:continuationSeparator/>
      </w:r>
    </w:p>
  </w:endnote>
  <w:endnote w:type="continuationNotice" w:id="1">
    <w:p w14:paraId="5469501E" w14:textId="77777777" w:rsidR="006937BA" w:rsidRDefault="006937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85379" w14:textId="77777777" w:rsidR="004B24CE" w:rsidRDefault="004B24CE" w:rsidP="00B51860">
      <w:pPr>
        <w:spacing w:after="0" w:line="240" w:lineRule="auto"/>
      </w:pPr>
      <w:r>
        <w:separator/>
      </w:r>
    </w:p>
  </w:footnote>
  <w:footnote w:type="continuationSeparator" w:id="0">
    <w:p w14:paraId="5B6EDEE3" w14:textId="77777777" w:rsidR="004B24CE" w:rsidRDefault="004B24CE" w:rsidP="00B51860">
      <w:pPr>
        <w:spacing w:after="0" w:line="240" w:lineRule="auto"/>
      </w:pPr>
      <w:r>
        <w:continuationSeparator/>
      </w:r>
    </w:p>
  </w:footnote>
  <w:footnote w:type="continuationNotice" w:id="1">
    <w:p w14:paraId="2443B20B" w14:textId="77777777" w:rsidR="006937BA" w:rsidRDefault="006937BA">
      <w:pPr>
        <w:spacing w:after="0" w:line="240" w:lineRule="auto"/>
      </w:pPr>
    </w:p>
  </w:footnote>
  <w:footnote w:id="2">
    <w:p w14:paraId="0EEB6D44" w14:textId="3D0D683D" w:rsidR="00285C12" w:rsidRPr="00E90D47" w:rsidRDefault="00285C12" w:rsidP="00A7146A">
      <w:pPr>
        <w:pStyle w:val="FootnoteText"/>
        <w:rPr>
          <w:rFonts w:cstheme="minorHAnsi"/>
        </w:rPr>
      </w:pPr>
      <w:r w:rsidRPr="00E90D47">
        <w:rPr>
          <w:rStyle w:val="FootnoteReference"/>
          <w:rFonts w:cstheme="minorHAnsi"/>
        </w:rPr>
        <w:footnoteRef/>
      </w:r>
      <w:r w:rsidRPr="00E90D47">
        <w:rPr>
          <w:rFonts w:cstheme="minorHAnsi"/>
        </w:rPr>
        <w:t xml:space="preserve"> </w:t>
      </w:r>
      <w:r w:rsidR="002E22E9" w:rsidRPr="00E90D47">
        <w:rPr>
          <w:rFonts w:cstheme="minorHAnsi"/>
        </w:rPr>
        <w:t xml:space="preserve">Norrin M. </w:t>
      </w:r>
      <w:proofErr w:type="spellStart"/>
      <w:r w:rsidR="002E22E9" w:rsidRPr="00E90D47">
        <w:rPr>
          <w:rFonts w:cstheme="minorHAnsi"/>
        </w:rPr>
        <w:t>Ripsman</w:t>
      </w:r>
      <w:proofErr w:type="spellEnd"/>
      <w:r w:rsidR="002E22E9" w:rsidRPr="00E90D47">
        <w:rPr>
          <w:rFonts w:cstheme="minorHAnsi"/>
        </w:rPr>
        <w:t>, "Globalization, Deglobalization, and Great Power Politics" (2021).</w:t>
      </w:r>
    </w:p>
  </w:footnote>
  <w:footnote w:id="3">
    <w:p w14:paraId="434719B5" w14:textId="5EF4C9A6" w:rsidR="003D7056" w:rsidRPr="00E90D47" w:rsidRDefault="003D7056" w:rsidP="00A7146A">
      <w:pPr>
        <w:pStyle w:val="FootnoteText"/>
        <w:rPr>
          <w:rFonts w:cstheme="minorHAnsi"/>
        </w:rPr>
      </w:pPr>
      <w:r w:rsidRPr="00E90D47">
        <w:rPr>
          <w:rStyle w:val="FootnoteReference"/>
          <w:rFonts w:cstheme="minorHAnsi"/>
        </w:rPr>
        <w:footnoteRef/>
      </w:r>
      <w:r w:rsidR="006B35F0" w:rsidRPr="00E90D47">
        <w:rPr>
          <w:rFonts w:cstheme="minorHAnsi"/>
        </w:rPr>
        <w:t>Milton Friedman, "Capitalism and Freedom" (2016</w:t>
      </w:r>
      <w:r w:rsidR="006B35F0" w:rsidRPr="00E90D47">
        <w:rPr>
          <w:rFonts w:cstheme="minorHAnsi"/>
        </w:rPr>
        <w:t>)</w:t>
      </w:r>
    </w:p>
  </w:footnote>
  <w:footnote w:id="4">
    <w:p w14:paraId="45211834" w14:textId="4C254CA9" w:rsidR="006C161B" w:rsidRPr="00E90D47" w:rsidRDefault="006C161B" w:rsidP="00A7146A">
      <w:pPr>
        <w:spacing w:line="240" w:lineRule="auto"/>
        <w:rPr>
          <w:rFonts w:cstheme="minorHAnsi"/>
          <w:sz w:val="20"/>
          <w:szCs w:val="20"/>
        </w:rPr>
      </w:pPr>
      <w:r w:rsidRPr="00E90D47">
        <w:rPr>
          <w:rStyle w:val="FootnoteReference"/>
          <w:rFonts w:cstheme="minorHAnsi"/>
          <w:sz w:val="20"/>
          <w:szCs w:val="20"/>
        </w:rPr>
        <w:footnoteRef/>
      </w:r>
      <w:r w:rsidRPr="00E90D47">
        <w:rPr>
          <w:rFonts w:cstheme="minorHAnsi"/>
          <w:sz w:val="20"/>
          <w:szCs w:val="20"/>
        </w:rPr>
        <w:t xml:space="preserve"> </w:t>
      </w:r>
      <w:r w:rsidR="006B35F0" w:rsidRPr="00E90D47">
        <w:rPr>
          <w:rFonts w:cstheme="minorHAnsi"/>
          <w:sz w:val="20"/>
          <w:szCs w:val="20"/>
        </w:rPr>
        <w:t>S. J. Rey and J. Le Gallo, "Spatial Analysis of Economic Convergence" (2009)</w:t>
      </w:r>
    </w:p>
  </w:footnote>
  <w:footnote w:id="5">
    <w:p w14:paraId="361F6B25" w14:textId="4ADD7B7C" w:rsidR="008841AD" w:rsidRDefault="008841AD">
      <w:pPr>
        <w:pStyle w:val="FootnoteText"/>
      </w:pPr>
      <w:r w:rsidRPr="00E90D47">
        <w:rPr>
          <w:rStyle w:val="FootnoteReference"/>
          <w:rFonts w:cstheme="minorHAnsi"/>
        </w:rPr>
        <w:footnoteRef/>
      </w:r>
      <w:r w:rsidRPr="00E90D47">
        <w:rPr>
          <w:rFonts w:cstheme="minorHAnsi"/>
        </w:rPr>
        <w:t xml:space="preserve"> </w:t>
      </w:r>
      <w:r w:rsidRPr="00E90D47">
        <w:rPr>
          <w:rFonts w:cstheme="minorHAnsi"/>
        </w:rPr>
        <w:t>Heritage Foundation. (2024). Index of Economic Freedom</w:t>
      </w:r>
    </w:p>
  </w:footnote>
  <w:footnote w:id="6">
    <w:p w14:paraId="3C4E4CA3" w14:textId="4C793C86" w:rsidR="009D6334" w:rsidRPr="00A92CF3" w:rsidRDefault="009D6334">
      <w:pPr>
        <w:pStyle w:val="FootnoteText"/>
      </w:pPr>
      <w:r w:rsidRPr="00A92CF3">
        <w:rPr>
          <w:rStyle w:val="FootnoteReference"/>
        </w:rPr>
        <w:footnoteRef/>
      </w:r>
      <w:r w:rsidRPr="00A92CF3">
        <w:t xml:space="preserve"> </w:t>
      </w:r>
      <w:r w:rsidR="00252116" w:rsidRPr="00A92CF3">
        <w:t>Jeffry Frieden and Stefanie Walter, "Understanding the Political Economy of the Eurozone Crisis" (2017).</w:t>
      </w:r>
    </w:p>
  </w:footnote>
  <w:footnote w:id="7">
    <w:p w14:paraId="5ACD0F57" w14:textId="408CA754" w:rsidR="009A197F" w:rsidRDefault="009A197F">
      <w:pPr>
        <w:pStyle w:val="FootnoteText"/>
      </w:pPr>
      <w:r w:rsidRPr="00A92CF3">
        <w:rPr>
          <w:rStyle w:val="FootnoteReference"/>
        </w:rPr>
        <w:footnoteRef/>
      </w:r>
      <w:r w:rsidRPr="00A92CF3">
        <w:t xml:space="preserve"> </w:t>
      </w:r>
      <w:r w:rsidR="00A92CF3" w:rsidRPr="00A92CF3">
        <w:t>Rebecca M. Nelson et al., "The Eurozone Crisis: Overview and Issues for Congress" (2012).</w:t>
      </w:r>
    </w:p>
  </w:footnote>
  <w:footnote w:id="8">
    <w:p w14:paraId="4A808EC9" w14:textId="53FA7C77" w:rsidR="00B452B8" w:rsidRDefault="00B452B8">
      <w:pPr>
        <w:pStyle w:val="FootnoteText"/>
      </w:pPr>
      <w:r>
        <w:rPr>
          <w:rStyle w:val="FootnoteReference"/>
        </w:rPr>
        <w:footnoteRef/>
      </w:r>
      <w:r>
        <w:t xml:space="preserve"> </w:t>
      </w:r>
      <w:r w:rsidR="005B17D5" w:rsidRPr="005B17D5">
        <w:t>Pisani-Ferry, The Euro Crisis and Its Aftermath (2014).</w:t>
      </w:r>
    </w:p>
  </w:footnote>
  <w:footnote w:id="9">
    <w:p w14:paraId="19FA1210" w14:textId="5CA30495" w:rsidR="001E455B" w:rsidRDefault="001E455B">
      <w:pPr>
        <w:pStyle w:val="FootnoteText"/>
      </w:pPr>
      <w:r>
        <w:rPr>
          <w:rStyle w:val="FootnoteReference"/>
        </w:rPr>
        <w:footnoteRef/>
      </w:r>
      <w:r>
        <w:t xml:space="preserve"> </w:t>
      </w:r>
      <w:proofErr w:type="spellStart"/>
      <w:r w:rsidR="002D7C38" w:rsidRPr="002D7C38">
        <w:t>Copelovitch</w:t>
      </w:r>
      <w:proofErr w:type="spellEnd"/>
      <w:r w:rsidR="002D7C38" w:rsidRPr="002D7C38">
        <w:t>, Frieden, and Walter, "The Political Economy of the Euro Crisis" (2016).</w:t>
      </w:r>
    </w:p>
  </w:footnote>
  <w:footnote w:id="10">
    <w:p w14:paraId="08278429" w14:textId="262207DB" w:rsidR="009D6334" w:rsidRDefault="009D6334">
      <w:pPr>
        <w:pStyle w:val="FootnoteText"/>
      </w:pPr>
      <w:r>
        <w:rPr>
          <w:rStyle w:val="FootnoteReference"/>
        </w:rPr>
        <w:footnoteRef/>
      </w:r>
      <w:r>
        <w:t xml:space="preserve"> </w:t>
      </w:r>
      <w:r w:rsidR="00EA70A6" w:rsidRPr="00EA70A6">
        <w:t>World Bank. "GDP Growth (Annual %) - Sweden."</w:t>
      </w:r>
    </w:p>
  </w:footnote>
  <w:footnote w:id="11">
    <w:p w14:paraId="479430A4" w14:textId="5273CA7F" w:rsidR="009F1884" w:rsidRDefault="009F1884">
      <w:pPr>
        <w:pStyle w:val="FootnoteText"/>
      </w:pPr>
      <w:r>
        <w:rPr>
          <w:rStyle w:val="FootnoteReference"/>
        </w:rPr>
        <w:footnoteRef/>
      </w:r>
      <w:r>
        <w:t xml:space="preserve"> </w:t>
      </w:r>
      <w:r w:rsidR="002D7C38" w:rsidRPr="002D7C38">
        <w:t>Kawakami, "Taiwan’s TSMC as a Focal Point of US-China High-Tech Conflict" (2022)</w:t>
      </w:r>
    </w:p>
  </w:footnote>
  <w:footnote w:id="12">
    <w:p w14:paraId="7E718A00" w14:textId="2CBFDC50" w:rsidR="001425BE" w:rsidRDefault="001425BE" w:rsidP="00797325">
      <w:pPr>
        <w:pStyle w:val="FootnoteText"/>
        <w:tabs>
          <w:tab w:val="left" w:pos="904"/>
        </w:tabs>
      </w:pPr>
      <w:r>
        <w:rPr>
          <w:rStyle w:val="FootnoteReference"/>
        </w:rPr>
        <w:footnoteRef/>
      </w:r>
      <w:r>
        <w:t xml:space="preserve"> </w:t>
      </w:r>
      <w:r w:rsidR="00797325" w:rsidRPr="00797325">
        <w:t>Yiping Huang, "Understanding China's Belt &amp; Road Initiative," China Economic Review 40 (2016): 314–321</w:t>
      </w:r>
    </w:p>
  </w:footnote>
  <w:footnote w:id="13">
    <w:p w14:paraId="6E91015D" w14:textId="6E770A7B" w:rsidR="008B1229" w:rsidRDefault="008B1229">
      <w:pPr>
        <w:pStyle w:val="FootnoteText"/>
      </w:pPr>
      <w:r>
        <w:rPr>
          <w:rStyle w:val="FootnoteReference"/>
        </w:rPr>
        <w:footnoteRef/>
      </w:r>
      <w:r>
        <w:t xml:space="preserve"> </w:t>
      </w:r>
      <w:r w:rsidR="001D72B3" w:rsidRPr="001D72B3">
        <w:t>Anand, N. (2014). An overview of Indian economy (1991-2013). IOSR Journal of Economics and Finance, 3(3), 19-24.</w:t>
      </w:r>
    </w:p>
  </w:footnote>
  <w:footnote w:id="14">
    <w:p w14:paraId="1F2D585E" w14:textId="00308E6F" w:rsidR="0042465E" w:rsidRDefault="0042465E">
      <w:pPr>
        <w:pStyle w:val="FootnoteText"/>
      </w:pPr>
      <w:r>
        <w:rPr>
          <w:rStyle w:val="FootnoteReference"/>
        </w:rPr>
        <w:footnoteRef/>
      </w:r>
      <w:r>
        <w:t xml:space="preserve"> </w:t>
      </w:r>
      <w:r w:rsidR="00473940" w:rsidRPr="00473940">
        <w:t>Nayyar, D. (2017). Economic liberalisation in India. Economic and Political Weekly, 41-48.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4839"/>
    <w:multiLevelType w:val="hybridMultilevel"/>
    <w:tmpl w:val="8856D766"/>
    <w:lvl w:ilvl="0" w:tplc="C9345A0A">
      <w:start w:val="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64ED3"/>
    <w:multiLevelType w:val="hybridMultilevel"/>
    <w:tmpl w:val="D540949C"/>
    <w:lvl w:ilvl="0" w:tplc="4FF6200C">
      <w:start w:val="3"/>
      <w:numFmt w:val="bullet"/>
      <w:lvlText w:val="-"/>
      <w:lvlJc w:val="left"/>
      <w:pPr>
        <w:ind w:left="720" w:hanging="360"/>
      </w:pPr>
      <w:rPr>
        <w:rFonts w:ascii="Calibri" w:eastAsiaTheme="minorEastAsia"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5F2480"/>
    <w:multiLevelType w:val="multilevel"/>
    <w:tmpl w:val="19E837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25070"/>
    <w:multiLevelType w:val="hybridMultilevel"/>
    <w:tmpl w:val="48765520"/>
    <w:lvl w:ilvl="0" w:tplc="2B42D8F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B16DD0"/>
    <w:multiLevelType w:val="hybridMultilevel"/>
    <w:tmpl w:val="52F2897A"/>
    <w:lvl w:ilvl="0" w:tplc="CFE893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9224E8"/>
    <w:multiLevelType w:val="hybridMultilevel"/>
    <w:tmpl w:val="B720CAC4"/>
    <w:lvl w:ilvl="0" w:tplc="B6EC20D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DF1B9C"/>
    <w:multiLevelType w:val="hybridMultilevel"/>
    <w:tmpl w:val="7382B0B8"/>
    <w:lvl w:ilvl="0" w:tplc="BC3CC9A6">
      <w:start w:val="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6F7460"/>
    <w:multiLevelType w:val="hybridMultilevel"/>
    <w:tmpl w:val="25F821A6"/>
    <w:lvl w:ilvl="0" w:tplc="97FC1E48">
      <w:start w:val="9"/>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3654438">
    <w:abstractNumId w:val="5"/>
  </w:num>
  <w:num w:numId="2" w16cid:durableId="460540538">
    <w:abstractNumId w:val="6"/>
  </w:num>
  <w:num w:numId="3" w16cid:durableId="608783737">
    <w:abstractNumId w:val="0"/>
  </w:num>
  <w:num w:numId="4" w16cid:durableId="1951082967">
    <w:abstractNumId w:val="4"/>
  </w:num>
  <w:num w:numId="5" w16cid:durableId="1122115508">
    <w:abstractNumId w:val="2"/>
  </w:num>
  <w:num w:numId="6" w16cid:durableId="1863010205">
    <w:abstractNumId w:val="3"/>
  </w:num>
  <w:num w:numId="7" w16cid:durableId="2135172780">
    <w:abstractNumId w:val="7"/>
  </w:num>
  <w:num w:numId="8" w16cid:durableId="1879118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860"/>
    <w:rsid w:val="00002BDE"/>
    <w:rsid w:val="00002C6E"/>
    <w:rsid w:val="00014A23"/>
    <w:rsid w:val="000153AC"/>
    <w:rsid w:val="00022CB4"/>
    <w:rsid w:val="00044FC0"/>
    <w:rsid w:val="00045EB5"/>
    <w:rsid w:val="0005404F"/>
    <w:rsid w:val="00067937"/>
    <w:rsid w:val="00067DD5"/>
    <w:rsid w:val="00070893"/>
    <w:rsid w:val="00085DFC"/>
    <w:rsid w:val="0009073A"/>
    <w:rsid w:val="000A05AB"/>
    <w:rsid w:val="000B5440"/>
    <w:rsid w:val="000C11FF"/>
    <w:rsid w:val="000C562E"/>
    <w:rsid w:val="000D271F"/>
    <w:rsid w:val="000D352B"/>
    <w:rsid w:val="000D595E"/>
    <w:rsid w:val="000D67F5"/>
    <w:rsid w:val="000E127F"/>
    <w:rsid w:val="000E6BB3"/>
    <w:rsid w:val="000F4E17"/>
    <w:rsid w:val="00101414"/>
    <w:rsid w:val="001039C5"/>
    <w:rsid w:val="00103B1A"/>
    <w:rsid w:val="00120BA5"/>
    <w:rsid w:val="00122698"/>
    <w:rsid w:val="00123FBC"/>
    <w:rsid w:val="00141C60"/>
    <w:rsid w:val="001425BE"/>
    <w:rsid w:val="00147DA6"/>
    <w:rsid w:val="00151098"/>
    <w:rsid w:val="00162986"/>
    <w:rsid w:val="0016553A"/>
    <w:rsid w:val="00172C94"/>
    <w:rsid w:val="001738B2"/>
    <w:rsid w:val="00180C7B"/>
    <w:rsid w:val="00180F37"/>
    <w:rsid w:val="00183CD7"/>
    <w:rsid w:val="00194273"/>
    <w:rsid w:val="001A6096"/>
    <w:rsid w:val="001A65C7"/>
    <w:rsid w:val="001B0B97"/>
    <w:rsid w:val="001B17E8"/>
    <w:rsid w:val="001B30FC"/>
    <w:rsid w:val="001B686D"/>
    <w:rsid w:val="001C29E7"/>
    <w:rsid w:val="001C55A6"/>
    <w:rsid w:val="001C5D22"/>
    <w:rsid w:val="001C69CA"/>
    <w:rsid w:val="001D3FF4"/>
    <w:rsid w:val="001D72B3"/>
    <w:rsid w:val="001D7D53"/>
    <w:rsid w:val="001E12E6"/>
    <w:rsid w:val="001E455B"/>
    <w:rsid w:val="001F2A45"/>
    <w:rsid w:val="001F2B06"/>
    <w:rsid w:val="001F7A20"/>
    <w:rsid w:val="00203B5D"/>
    <w:rsid w:val="0020646E"/>
    <w:rsid w:val="002163DE"/>
    <w:rsid w:val="00227BF2"/>
    <w:rsid w:val="00236B40"/>
    <w:rsid w:val="00241371"/>
    <w:rsid w:val="0025170F"/>
    <w:rsid w:val="00252116"/>
    <w:rsid w:val="00254DC7"/>
    <w:rsid w:val="0025582E"/>
    <w:rsid w:val="00257C2B"/>
    <w:rsid w:val="00262FC7"/>
    <w:rsid w:val="0027205C"/>
    <w:rsid w:val="00273803"/>
    <w:rsid w:val="00284F4C"/>
    <w:rsid w:val="00285543"/>
    <w:rsid w:val="00285C12"/>
    <w:rsid w:val="0029306D"/>
    <w:rsid w:val="00294A78"/>
    <w:rsid w:val="002A1527"/>
    <w:rsid w:val="002B3EB2"/>
    <w:rsid w:val="002B6CB9"/>
    <w:rsid w:val="002D0A3E"/>
    <w:rsid w:val="002D7C38"/>
    <w:rsid w:val="002E22E9"/>
    <w:rsid w:val="002E2E74"/>
    <w:rsid w:val="002E3717"/>
    <w:rsid w:val="002E64AE"/>
    <w:rsid w:val="002E7FA3"/>
    <w:rsid w:val="002F2B94"/>
    <w:rsid w:val="0030280E"/>
    <w:rsid w:val="0031250B"/>
    <w:rsid w:val="00316696"/>
    <w:rsid w:val="003179E0"/>
    <w:rsid w:val="00321968"/>
    <w:rsid w:val="00323B74"/>
    <w:rsid w:val="00326E4F"/>
    <w:rsid w:val="00332BEF"/>
    <w:rsid w:val="00332D3B"/>
    <w:rsid w:val="003338B0"/>
    <w:rsid w:val="00334004"/>
    <w:rsid w:val="003437A2"/>
    <w:rsid w:val="0034386C"/>
    <w:rsid w:val="00346A94"/>
    <w:rsid w:val="00347E3F"/>
    <w:rsid w:val="00347F63"/>
    <w:rsid w:val="00351A88"/>
    <w:rsid w:val="003547CA"/>
    <w:rsid w:val="00370C64"/>
    <w:rsid w:val="00371722"/>
    <w:rsid w:val="0037293B"/>
    <w:rsid w:val="0037437C"/>
    <w:rsid w:val="003820AB"/>
    <w:rsid w:val="00382D9F"/>
    <w:rsid w:val="003854CE"/>
    <w:rsid w:val="003A0DD0"/>
    <w:rsid w:val="003A2ED4"/>
    <w:rsid w:val="003A79DD"/>
    <w:rsid w:val="003C09C6"/>
    <w:rsid w:val="003C7A5E"/>
    <w:rsid w:val="003D7056"/>
    <w:rsid w:val="003F56E4"/>
    <w:rsid w:val="00405A23"/>
    <w:rsid w:val="00406D53"/>
    <w:rsid w:val="00412988"/>
    <w:rsid w:val="00414409"/>
    <w:rsid w:val="0042465E"/>
    <w:rsid w:val="004272C4"/>
    <w:rsid w:val="004353AA"/>
    <w:rsid w:val="0044080D"/>
    <w:rsid w:val="004441AE"/>
    <w:rsid w:val="004448E0"/>
    <w:rsid w:val="00445715"/>
    <w:rsid w:val="00446608"/>
    <w:rsid w:val="004531BF"/>
    <w:rsid w:val="0045347A"/>
    <w:rsid w:val="004545AB"/>
    <w:rsid w:val="00473940"/>
    <w:rsid w:val="00474B3C"/>
    <w:rsid w:val="00482BB0"/>
    <w:rsid w:val="004830C7"/>
    <w:rsid w:val="004841A2"/>
    <w:rsid w:val="00485CCA"/>
    <w:rsid w:val="00490D43"/>
    <w:rsid w:val="00497147"/>
    <w:rsid w:val="004976F0"/>
    <w:rsid w:val="004A0A12"/>
    <w:rsid w:val="004A132C"/>
    <w:rsid w:val="004A7B87"/>
    <w:rsid w:val="004B24CE"/>
    <w:rsid w:val="004C15CF"/>
    <w:rsid w:val="004C799A"/>
    <w:rsid w:val="004D09D4"/>
    <w:rsid w:val="004D39E7"/>
    <w:rsid w:val="004D6DA6"/>
    <w:rsid w:val="004E3591"/>
    <w:rsid w:val="004E67FC"/>
    <w:rsid w:val="0050295C"/>
    <w:rsid w:val="00516C1A"/>
    <w:rsid w:val="005272E7"/>
    <w:rsid w:val="00527BD0"/>
    <w:rsid w:val="0053507D"/>
    <w:rsid w:val="0053676D"/>
    <w:rsid w:val="00540011"/>
    <w:rsid w:val="00545F83"/>
    <w:rsid w:val="00555FAB"/>
    <w:rsid w:val="005600E3"/>
    <w:rsid w:val="00566A68"/>
    <w:rsid w:val="00570BDA"/>
    <w:rsid w:val="00574C2F"/>
    <w:rsid w:val="005760CD"/>
    <w:rsid w:val="00592610"/>
    <w:rsid w:val="00595F28"/>
    <w:rsid w:val="005A04B5"/>
    <w:rsid w:val="005A0C52"/>
    <w:rsid w:val="005A0E54"/>
    <w:rsid w:val="005A1B35"/>
    <w:rsid w:val="005A32C8"/>
    <w:rsid w:val="005A408B"/>
    <w:rsid w:val="005B17D5"/>
    <w:rsid w:val="005B2F2D"/>
    <w:rsid w:val="005B47DA"/>
    <w:rsid w:val="005B5669"/>
    <w:rsid w:val="005C7B30"/>
    <w:rsid w:val="005D6937"/>
    <w:rsid w:val="005E1339"/>
    <w:rsid w:val="005F2279"/>
    <w:rsid w:val="005F2F6D"/>
    <w:rsid w:val="00610F59"/>
    <w:rsid w:val="00614780"/>
    <w:rsid w:val="00616537"/>
    <w:rsid w:val="00636E45"/>
    <w:rsid w:val="00637B20"/>
    <w:rsid w:val="0064071A"/>
    <w:rsid w:val="00640731"/>
    <w:rsid w:val="006426A9"/>
    <w:rsid w:val="006523DB"/>
    <w:rsid w:val="0065334D"/>
    <w:rsid w:val="00653503"/>
    <w:rsid w:val="00654BFB"/>
    <w:rsid w:val="00654C30"/>
    <w:rsid w:val="00662AFF"/>
    <w:rsid w:val="0067708B"/>
    <w:rsid w:val="0068268F"/>
    <w:rsid w:val="0068469A"/>
    <w:rsid w:val="00687002"/>
    <w:rsid w:val="006937BA"/>
    <w:rsid w:val="00696DBC"/>
    <w:rsid w:val="006A39B7"/>
    <w:rsid w:val="006B015E"/>
    <w:rsid w:val="006B29F4"/>
    <w:rsid w:val="006B35F0"/>
    <w:rsid w:val="006C0C79"/>
    <w:rsid w:val="006C161B"/>
    <w:rsid w:val="006C5C7C"/>
    <w:rsid w:val="006D7D66"/>
    <w:rsid w:val="006E2610"/>
    <w:rsid w:val="006E5250"/>
    <w:rsid w:val="006E617D"/>
    <w:rsid w:val="006F63DD"/>
    <w:rsid w:val="006F7CFF"/>
    <w:rsid w:val="00702F2B"/>
    <w:rsid w:val="00711499"/>
    <w:rsid w:val="0071342B"/>
    <w:rsid w:val="00714797"/>
    <w:rsid w:val="00716928"/>
    <w:rsid w:val="0072027A"/>
    <w:rsid w:val="0073388D"/>
    <w:rsid w:val="00735041"/>
    <w:rsid w:val="007375DB"/>
    <w:rsid w:val="00744384"/>
    <w:rsid w:val="007450E5"/>
    <w:rsid w:val="0076742B"/>
    <w:rsid w:val="007679BB"/>
    <w:rsid w:val="00770159"/>
    <w:rsid w:val="00772DD0"/>
    <w:rsid w:val="00776370"/>
    <w:rsid w:val="00776A6E"/>
    <w:rsid w:val="00777785"/>
    <w:rsid w:val="00780C87"/>
    <w:rsid w:val="0078400E"/>
    <w:rsid w:val="007869BB"/>
    <w:rsid w:val="00787B71"/>
    <w:rsid w:val="0079216D"/>
    <w:rsid w:val="00797325"/>
    <w:rsid w:val="007A1690"/>
    <w:rsid w:val="007A24F0"/>
    <w:rsid w:val="007A7884"/>
    <w:rsid w:val="007B0FE1"/>
    <w:rsid w:val="007B41F9"/>
    <w:rsid w:val="007C2AEF"/>
    <w:rsid w:val="007C7BA0"/>
    <w:rsid w:val="007E40E9"/>
    <w:rsid w:val="007F3163"/>
    <w:rsid w:val="00800EDB"/>
    <w:rsid w:val="008041E8"/>
    <w:rsid w:val="00806573"/>
    <w:rsid w:val="008074A8"/>
    <w:rsid w:val="00820692"/>
    <w:rsid w:val="00821316"/>
    <w:rsid w:val="00822F85"/>
    <w:rsid w:val="00825C08"/>
    <w:rsid w:val="00830FF8"/>
    <w:rsid w:val="00840E92"/>
    <w:rsid w:val="00841435"/>
    <w:rsid w:val="00853ED9"/>
    <w:rsid w:val="00854942"/>
    <w:rsid w:val="008574AE"/>
    <w:rsid w:val="008841AD"/>
    <w:rsid w:val="00884B10"/>
    <w:rsid w:val="00887CF3"/>
    <w:rsid w:val="008A0743"/>
    <w:rsid w:val="008B1229"/>
    <w:rsid w:val="008C792C"/>
    <w:rsid w:val="008D01E5"/>
    <w:rsid w:val="008D0B75"/>
    <w:rsid w:val="008E4F72"/>
    <w:rsid w:val="008F76F9"/>
    <w:rsid w:val="00902FA9"/>
    <w:rsid w:val="009107A9"/>
    <w:rsid w:val="0091495B"/>
    <w:rsid w:val="00921E4B"/>
    <w:rsid w:val="009263C4"/>
    <w:rsid w:val="00927222"/>
    <w:rsid w:val="00930677"/>
    <w:rsid w:val="0093247F"/>
    <w:rsid w:val="00932DDC"/>
    <w:rsid w:val="00935053"/>
    <w:rsid w:val="00944D11"/>
    <w:rsid w:val="009512E3"/>
    <w:rsid w:val="009513EB"/>
    <w:rsid w:val="00953B69"/>
    <w:rsid w:val="009573C1"/>
    <w:rsid w:val="009578F5"/>
    <w:rsid w:val="00965053"/>
    <w:rsid w:val="009655FA"/>
    <w:rsid w:val="00970419"/>
    <w:rsid w:val="00983506"/>
    <w:rsid w:val="00994C2C"/>
    <w:rsid w:val="009A197F"/>
    <w:rsid w:val="009A19C8"/>
    <w:rsid w:val="009A480D"/>
    <w:rsid w:val="009A6FE8"/>
    <w:rsid w:val="009B1ACF"/>
    <w:rsid w:val="009C2124"/>
    <w:rsid w:val="009C3281"/>
    <w:rsid w:val="009D42D0"/>
    <w:rsid w:val="009D5A48"/>
    <w:rsid w:val="009D6334"/>
    <w:rsid w:val="009E0EFC"/>
    <w:rsid w:val="009E2F0C"/>
    <w:rsid w:val="009E331C"/>
    <w:rsid w:val="009E59AF"/>
    <w:rsid w:val="009F1884"/>
    <w:rsid w:val="009F4796"/>
    <w:rsid w:val="00A166F7"/>
    <w:rsid w:val="00A17195"/>
    <w:rsid w:val="00A221AC"/>
    <w:rsid w:val="00A229EC"/>
    <w:rsid w:val="00A23EF0"/>
    <w:rsid w:val="00A23FA9"/>
    <w:rsid w:val="00A25958"/>
    <w:rsid w:val="00A3656D"/>
    <w:rsid w:val="00A402CE"/>
    <w:rsid w:val="00A40BF4"/>
    <w:rsid w:val="00A541EE"/>
    <w:rsid w:val="00A60BD4"/>
    <w:rsid w:val="00A64570"/>
    <w:rsid w:val="00A7146A"/>
    <w:rsid w:val="00A71C24"/>
    <w:rsid w:val="00A75E6C"/>
    <w:rsid w:val="00A87EB8"/>
    <w:rsid w:val="00A90AE5"/>
    <w:rsid w:val="00A90B80"/>
    <w:rsid w:val="00A9230A"/>
    <w:rsid w:val="00A92CF3"/>
    <w:rsid w:val="00A9313E"/>
    <w:rsid w:val="00A94900"/>
    <w:rsid w:val="00A97102"/>
    <w:rsid w:val="00A975C3"/>
    <w:rsid w:val="00AA024F"/>
    <w:rsid w:val="00AA41D1"/>
    <w:rsid w:val="00AA765C"/>
    <w:rsid w:val="00AB0AB5"/>
    <w:rsid w:val="00AB3799"/>
    <w:rsid w:val="00AC3EB4"/>
    <w:rsid w:val="00AC40AA"/>
    <w:rsid w:val="00AC446E"/>
    <w:rsid w:val="00AC756C"/>
    <w:rsid w:val="00AE2956"/>
    <w:rsid w:val="00AE6380"/>
    <w:rsid w:val="00AE64DA"/>
    <w:rsid w:val="00AE6CB0"/>
    <w:rsid w:val="00AF1437"/>
    <w:rsid w:val="00AF3C2C"/>
    <w:rsid w:val="00AF5515"/>
    <w:rsid w:val="00AF673A"/>
    <w:rsid w:val="00AF6C1C"/>
    <w:rsid w:val="00B0667F"/>
    <w:rsid w:val="00B14060"/>
    <w:rsid w:val="00B1756E"/>
    <w:rsid w:val="00B22A71"/>
    <w:rsid w:val="00B3501E"/>
    <w:rsid w:val="00B40613"/>
    <w:rsid w:val="00B41C7A"/>
    <w:rsid w:val="00B452B8"/>
    <w:rsid w:val="00B51860"/>
    <w:rsid w:val="00B57095"/>
    <w:rsid w:val="00B57AAD"/>
    <w:rsid w:val="00B57C52"/>
    <w:rsid w:val="00B6485C"/>
    <w:rsid w:val="00B715A6"/>
    <w:rsid w:val="00B86D1C"/>
    <w:rsid w:val="00B87830"/>
    <w:rsid w:val="00B90E62"/>
    <w:rsid w:val="00B9441F"/>
    <w:rsid w:val="00B96DA7"/>
    <w:rsid w:val="00BA2773"/>
    <w:rsid w:val="00BA70D2"/>
    <w:rsid w:val="00BB6395"/>
    <w:rsid w:val="00BB7CD6"/>
    <w:rsid w:val="00BD0DA7"/>
    <w:rsid w:val="00BE12C2"/>
    <w:rsid w:val="00BE3E5F"/>
    <w:rsid w:val="00BE4013"/>
    <w:rsid w:val="00BF32FA"/>
    <w:rsid w:val="00BF3BF0"/>
    <w:rsid w:val="00BF65A4"/>
    <w:rsid w:val="00C06C14"/>
    <w:rsid w:val="00C221E9"/>
    <w:rsid w:val="00C27C0C"/>
    <w:rsid w:val="00C310A2"/>
    <w:rsid w:val="00C33E3C"/>
    <w:rsid w:val="00C350F3"/>
    <w:rsid w:val="00C366EB"/>
    <w:rsid w:val="00C51C49"/>
    <w:rsid w:val="00C55946"/>
    <w:rsid w:val="00C57363"/>
    <w:rsid w:val="00C62789"/>
    <w:rsid w:val="00C76EF3"/>
    <w:rsid w:val="00C92B1C"/>
    <w:rsid w:val="00C93849"/>
    <w:rsid w:val="00C94855"/>
    <w:rsid w:val="00CB1F75"/>
    <w:rsid w:val="00CB3575"/>
    <w:rsid w:val="00CB367D"/>
    <w:rsid w:val="00CC0E26"/>
    <w:rsid w:val="00CC7136"/>
    <w:rsid w:val="00CD3090"/>
    <w:rsid w:val="00CD7515"/>
    <w:rsid w:val="00CE4974"/>
    <w:rsid w:val="00CF39BB"/>
    <w:rsid w:val="00D01B89"/>
    <w:rsid w:val="00D02C7A"/>
    <w:rsid w:val="00D1726A"/>
    <w:rsid w:val="00D1785D"/>
    <w:rsid w:val="00D17B78"/>
    <w:rsid w:val="00D2106A"/>
    <w:rsid w:val="00D31536"/>
    <w:rsid w:val="00D34959"/>
    <w:rsid w:val="00D34DC2"/>
    <w:rsid w:val="00D36975"/>
    <w:rsid w:val="00D369B0"/>
    <w:rsid w:val="00D440A9"/>
    <w:rsid w:val="00D47CD3"/>
    <w:rsid w:val="00D5189D"/>
    <w:rsid w:val="00D54956"/>
    <w:rsid w:val="00D6293D"/>
    <w:rsid w:val="00D63CAB"/>
    <w:rsid w:val="00D67DE5"/>
    <w:rsid w:val="00D71CFF"/>
    <w:rsid w:val="00D85D25"/>
    <w:rsid w:val="00D875F8"/>
    <w:rsid w:val="00D9471A"/>
    <w:rsid w:val="00DB0C34"/>
    <w:rsid w:val="00DB35F7"/>
    <w:rsid w:val="00DB41B2"/>
    <w:rsid w:val="00DB43CE"/>
    <w:rsid w:val="00DC13B0"/>
    <w:rsid w:val="00DE2927"/>
    <w:rsid w:val="00E07688"/>
    <w:rsid w:val="00E1650F"/>
    <w:rsid w:val="00E16902"/>
    <w:rsid w:val="00E203C1"/>
    <w:rsid w:val="00E21477"/>
    <w:rsid w:val="00E26E8D"/>
    <w:rsid w:val="00E2718C"/>
    <w:rsid w:val="00E31795"/>
    <w:rsid w:val="00E42000"/>
    <w:rsid w:val="00E57211"/>
    <w:rsid w:val="00E73D71"/>
    <w:rsid w:val="00E7412C"/>
    <w:rsid w:val="00E775E2"/>
    <w:rsid w:val="00E90D47"/>
    <w:rsid w:val="00E95FB7"/>
    <w:rsid w:val="00E963C3"/>
    <w:rsid w:val="00EA068D"/>
    <w:rsid w:val="00EA2462"/>
    <w:rsid w:val="00EA25DD"/>
    <w:rsid w:val="00EA549D"/>
    <w:rsid w:val="00EA70A6"/>
    <w:rsid w:val="00EA7938"/>
    <w:rsid w:val="00EB2A36"/>
    <w:rsid w:val="00EB5F2F"/>
    <w:rsid w:val="00EC398E"/>
    <w:rsid w:val="00EC5909"/>
    <w:rsid w:val="00EC7E88"/>
    <w:rsid w:val="00ED1D93"/>
    <w:rsid w:val="00EE47C7"/>
    <w:rsid w:val="00F075F5"/>
    <w:rsid w:val="00F23109"/>
    <w:rsid w:val="00F303E0"/>
    <w:rsid w:val="00F35B5F"/>
    <w:rsid w:val="00F35DA0"/>
    <w:rsid w:val="00F36681"/>
    <w:rsid w:val="00F402B8"/>
    <w:rsid w:val="00F41715"/>
    <w:rsid w:val="00F43FD4"/>
    <w:rsid w:val="00F508EE"/>
    <w:rsid w:val="00F50CA0"/>
    <w:rsid w:val="00F51F31"/>
    <w:rsid w:val="00F53120"/>
    <w:rsid w:val="00F6035D"/>
    <w:rsid w:val="00F641F9"/>
    <w:rsid w:val="00F77021"/>
    <w:rsid w:val="00F91914"/>
    <w:rsid w:val="00FB16F1"/>
    <w:rsid w:val="00FB3BD9"/>
    <w:rsid w:val="00FC4BEC"/>
    <w:rsid w:val="00FC55C5"/>
    <w:rsid w:val="00FD38E1"/>
    <w:rsid w:val="00FE1CE1"/>
    <w:rsid w:val="00FE2523"/>
    <w:rsid w:val="00FE4AC4"/>
    <w:rsid w:val="00FE4BAE"/>
    <w:rsid w:val="00FF1352"/>
    <w:rsid w:val="00FF6C0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d03b"/>
    </o:shapedefaults>
    <o:shapelayout v:ext="edit">
      <o:idmap v:ext="edit" data="1"/>
    </o:shapelayout>
  </w:shapeDefaults>
  <w:decimalSymbol w:val="."/>
  <w:listSeparator w:val=","/>
  <w14:docId w14:val="4C2B30B6"/>
  <w15:chartTrackingRefBased/>
  <w15:docId w15:val="{0B706ECA-E442-49FC-BC99-EC7C0581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8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18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86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51860"/>
    <w:rPr>
      <w:b/>
      <w:bCs/>
    </w:rPr>
  </w:style>
  <w:style w:type="paragraph" w:styleId="Quote">
    <w:name w:val="Quote"/>
    <w:basedOn w:val="Normal"/>
    <w:next w:val="Normal"/>
    <w:link w:val="QuoteChar"/>
    <w:uiPriority w:val="29"/>
    <w:qFormat/>
    <w:rsid w:val="00B5186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51860"/>
    <w:rPr>
      <w:i/>
      <w:iCs/>
      <w:color w:val="404040" w:themeColor="text1" w:themeTint="BF"/>
    </w:rPr>
  </w:style>
  <w:style w:type="character" w:customStyle="1" w:styleId="Heading1Char">
    <w:name w:val="Heading 1 Char"/>
    <w:basedOn w:val="DefaultParagraphFont"/>
    <w:link w:val="Heading1"/>
    <w:uiPriority w:val="9"/>
    <w:rsid w:val="00B5186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518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860"/>
  </w:style>
  <w:style w:type="paragraph" w:styleId="Footer">
    <w:name w:val="footer"/>
    <w:basedOn w:val="Normal"/>
    <w:link w:val="FooterChar"/>
    <w:uiPriority w:val="99"/>
    <w:unhideWhenUsed/>
    <w:rsid w:val="00B518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860"/>
  </w:style>
  <w:style w:type="paragraph" w:styleId="ListParagraph">
    <w:name w:val="List Paragraph"/>
    <w:basedOn w:val="Normal"/>
    <w:uiPriority w:val="34"/>
    <w:qFormat/>
    <w:rsid w:val="000D352B"/>
    <w:pPr>
      <w:ind w:left="720"/>
      <w:contextualSpacing/>
    </w:pPr>
  </w:style>
  <w:style w:type="paragraph" w:styleId="NormalWeb">
    <w:name w:val="Normal (Web)"/>
    <w:basedOn w:val="Normal"/>
    <w:uiPriority w:val="99"/>
    <w:semiHidden/>
    <w:unhideWhenUsed/>
    <w:rsid w:val="004841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41A2"/>
    <w:rPr>
      <w:i/>
      <w:iCs/>
    </w:rPr>
  </w:style>
  <w:style w:type="paragraph" w:styleId="FootnoteText">
    <w:name w:val="footnote text"/>
    <w:basedOn w:val="Normal"/>
    <w:link w:val="FootnoteTextChar"/>
    <w:uiPriority w:val="99"/>
    <w:semiHidden/>
    <w:unhideWhenUsed/>
    <w:rsid w:val="006C16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161B"/>
    <w:rPr>
      <w:sz w:val="20"/>
      <w:szCs w:val="20"/>
    </w:rPr>
  </w:style>
  <w:style w:type="character" w:styleId="FootnoteReference">
    <w:name w:val="footnote reference"/>
    <w:basedOn w:val="DefaultParagraphFont"/>
    <w:uiPriority w:val="99"/>
    <w:semiHidden/>
    <w:unhideWhenUsed/>
    <w:rsid w:val="006C161B"/>
    <w:rPr>
      <w:vertAlign w:val="superscript"/>
    </w:rPr>
  </w:style>
  <w:style w:type="character" w:styleId="Hyperlink">
    <w:name w:val="Hyperlink"/>
    <w:basedOn w:val="DefaultParagraphFont"/>
    <w:uiPriority w:val="99"/>
    <w:unhideWhenUsed/>
    <w:rsid w:val="0079216D"/>
    <w:rPr>
      <w:color w:val="0563C1" w:themeColor="hyperlink"/>
      <w:u w:val="single"/>
    </w:rPr>
  </w:style>
  <w:style w:type="character" w:styleId="UnresolvedMention">
    <w:name w:val="Unresolved Mention"/>
    <w:basedOn w:val="DefaultParagraphFont"/>
    <w:uiPriority w:val="99"/>
    <w:semiHidden/>
    <w:unhideWhenUsed/>
    <w:rsid w:val="0079216D"/>
    <w:rPr>
      <w:color w:val="605E5C"/>
      <w:shd w:val="clear" w:color="auto" w:fill="E1DFDD"/>
    </w:rPr>
  </w:style>
  <w:style w:type="paragraph" w:styleId="Revision">
    <w:name w:val="Revision"/>
    <w:hidden/>
    <w:uiPriority w:val="99"/>
    <w:semiHidden/>
    <w:rsid w:val="009D42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791">
      <w:bodyDiv w:val="1"/>
      <w:marLeft w:val="0"/>
      <w:marRight w:val="0"/>
      <w:marTop w:val="0"/>
      <w:marBottom w:val="0"/>
      <w:divBdr>
        <w:top w:val="none" w:sz="0" w:space="0" w:color="auto"/>
        <w:left w:val="none" w:sz="0" w:space="0" w:color="auto"/>
        <w:bottom w:val="none" w:sz="0" w:space="0" w:color="auto"/>
        <w:right w:val="none" w:sz="0" w:space="0" w:color="auto"/>
      </w:divBdr>
    </w:div>
    <w:div w:id="96409715">
      <w:bodyDiv w:val="1"/>
      <w:marLeft w:val="0"/>
      <w:marRight w:val="0"/>
      <w:marTop w:val="0"/>
      <w:marBottom w:val="0"/>
      <w:divBdr>
        <w:top w:val="none" w:sz="0" w:space="0" w:color="auto"/>
        <w:left w:val="none" w:sz="0" w:space="0" w:color="auto"/>
        <w:bottom w:val="none" w:sz="0" w:space="0" w:color="auto"/>
        <w:right w:val="none" w:sz="0" w:space="0" w:color="auto"/>
      </w:divBdr>
    </w:div>
    <w:div w:id="297878979">
      <w:bodyDiv w:val="1"/>
      <w:marLeft w:val="0"/>
      <w:marRight w:val="0"/>
      <w:marTop w:val="0"/>
      <w:marBottom w:val="0"/>
      <w:divBdr>
        <w:top w:val="none" w:sz="0" w:space="0" w:color="auto"/>
        <w:left w:val="none" w:sz="0" w:space="0" w:color="auto"/>
        <w:bottom w:val="none" w:sz="0" w:space="0" w:color="auto"/>
        <w:right w:val="none" w:sz="0" w:space="0" w:color="auto"/>
      </w:divBdr>
    </w:div>
    <w:div w:id="485050874">
      <w:bodyDiv w:val="1"/>
      <w:marLeft w:val="0"/>
      <w:marRight w:val="0"/>
      <w:marTop w:val="0"/>
      <w:marBottom w:val="0"/>
      <w:divBdr>
        <w:top w:val="none" w:sz="0" w:space="0" w:color="auto"/>
        <w:left w:val="none" w:sz="0" w:space="0" w:color="auto"/>
        <w:bottom w:val="none" w:sz="0" w:space="0" w:color="auto"/>
        <w:right w:val="none" w:sz="0" w:space="0" w:color="auto"/>
      </w:divBdr>
    </w:div>
    <w:div w:id="615914036">
      <w:bodyDiv w:val="1"/>
      <w:marLeft w:val="0"/>
      <w:marRight w:val="0"/>
      <w:marTop w:val="0"/>
      <w:marBottom w:val="0"/>
      <w:divBdr>
        <w:top w:val="none" w:sz="0" w:space="0" w:color="auto"/>
        <w:left w:val="none" w:sz="0" w:space="0" w:color="auto"/>
        <w:bottom w:val="none" w:sz="0" w:space="0" w:color="auto"/>
        <w:right w:val="none" w:sz="0" w:space="0" w:color="auto"/>
      </w:divBdr>
    </w:div>
    <w:div w:id="691568537">
      <w:bodyDiv w:val="1"/>
      <w:marLeft w:val="0"/>
      <w:marRight w:val="0"/>
      <w:marTop w:val="0"/>
      <w:marBottom w:val="0"/>
      <w:divBdr>
        <w:top w:val="none" w:sz="0" w:space="0" w:color="auto"/>
        <w:left w:val="none" w:sz="0" w:space="0" w:color="auto"/>
        <w:bottom w:val="none" w:sz="0" w:space="0" w:color="auto"/>
        <w:right w:val="none" w:sz="0" w:space="0" w:color="auto"/>
      </w:divBdr>
    </w:div>
    <w:div w:id="910892140">
      <w:bodyDiv w:val="1"/>
      <w:marLeft w:val="0"/>
      <w:marRight w:val="0"/>
      <w:marTop w:val="0"/>
      <w:marBottom w:val="0"/>
      <w:divBdr>
        <w:top w:val="none" w:sz="0" w:space="0" w:color="auto"/>
        <w:left w:val="none" w:sz="0" w:space="0" w:color="auto"/>
        <w:bottom w:val="none" w:sz="0" w:space="0" w:color="auto"/>
        <w:right w:val="none" w:sz="0" w:space="0" w:color="auto"/>
      </w:divBdr>
    </w:div>
    <w:div w:id="1211379640">
      <w:bodyDiv w:val="1"/>
      <w:marLeft w:val="0"/>
      <w:marRight w:val="0"/>
      <w:marTop w:val="0"/>
      <w:marBottom w:val="0"/>
      <w:divBdr>
        <w:top w:val="none" w:sz="0" w:space="0" w:color="auto"/>
        <w:left w:val="none" w:sz="0" w:space="0" w:color="auto"/>
        <w:bottom w:val="none" w:sz="0" w:space="0" w:color="auto"/>
        <w:right w:val="none" w:sz="0" w:space="0" w:color="auto"/>
      </w:divBdr>
    </w:div>
    <w:div w:id="1301036632">
      <w:bodyDiv w:val="1"/>
      <w:marLeft w:val="0"/>
      <w:marRight w:val="0"/>
      <w:marTop w:val="0"/>
      <w:marBottom w:val="0"/>
      <w:divBdr>
        <w:top w:val="none" w:sz="0" w:space="0" w:color="auto"/>
        <w:left w:val="none" w:sz="0" w:space="0" w:color="auto"/>
        <w:bottom w:val="none" w:sz="0" w:space="0" w:color="auto"/>
        <w:right w:val="none" w:sz="0" w:space="0" w:color="auto"/>
      </w:divBdr>
    </w:div>
    <w:div w:id="1498153256">
      <w:bodyDiv w:val="1"/>
      <w:marLeft w:val="0"/>
      <w:marRight w:val="0"/>
      <w:marTop w:val="0"/>
      <w:marBottom w:val="0"/>
      <w:divBdr>
        <w:top w:val="none" w:sz="0" w:space="0" w:color="auto"/>
        <w:left w:val="none" w:sz="0" w:space="0" w:color="auto"/>
        <w:bottom w:val="none" w:sz="0" w:space="0" w:color="auto"/>
        <w:right w:val="none" w:sz="0" w:space="0" w:color="auto"/>
      </w:divBdr>
    </w:div>
    <w:div w:id="1670593771">
      <w:bodyDiv w:val="1"/>
      <w:marLeft w:val="0"/>
      <w:marRight w:val="0"/>
      <w:marTop w:val="0"/>
      <w:marBottom w:val="0"/>
      <w:divBdr>
        <w:top w:val="none" w:sz="0" w:space="0" w:color="auto"/>
        <w:left w:val="none" w:sz="0" w:space="0" w:color="auto"/>
        <w:bottom w:val="none" w:sz="0" w:space="0" w:color="auto"/>
        <w:right w:val="none" w:sz="0" w:space="0" w:color="auto"/>
      </w:divBdr>
    </w:div>
    <w:div w:id="1754889304">
      <w:bodyDiv w:val="1"/>
      <w:marLeft w:val="0"/>
      <w:marRight w:val="0"/>
      <w:marTop w:val="0"/>
      <w:marBottom w:val="0"/>
      <w:divBdr>
        <w:top w:val="none" w:sz="0" w:space="0" w:color="auto"/>
        <w:left w:val="none" w:sz="0" w:space="0" w:color="auto"/>
        <w:bottom w:val="none" w:sz="0" w:space="0" w:color="auto"/>
        <w:right w:val="none" w:sz="0" w:space="0" w:color="auto"/>
      </w:divBdr>
    </w:div>
    <w:div w:id="203163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ps.ed.ac.uk/students/undergraduate/current/assessment-regulations/coursewor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290D3E4049A14883B46D29002CC42D" ma:contentTypeVersion="13" ma:contentTypeDescription="Create a new document." ma:contentTypeScope="" ma:versionID="6b2fd76f1663c2dbb82ea04480ea4e97">
  <xsd:schema xmlns:xsd="http://www.w3.org/2001/XMLSchema" xmlns:xs="http://www.w3.org/2001/XMLSchema" xmlns:p="http://schemas.microsoft.com/office/2006/metadata/properties" xmlns:ns3="f4f2ead0-fef8-4851-9f2c-0fe4a8a8fa01" xmlns:ns4="2c0bc506-25b3-4fd6-80f3-6df4f0cc4363" targetNamespace="http://schemas.microsoft.com/office/2006/metadata/properties" ma:root="true" ma:fieldsID="a71271600ec015c89745e4dc855aa288" ns3:_="" ns4:_="">
    <xsd:import namespace="f4f2ead0-fef8-4851-9f2c-0fe4a8a8fa01"/>
    <xsd:import namespace="2c0bc506-25b3-4fd6-80f3-6df4f0cc4363"/>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2ead0-fef8-4851-9f2c-0fe4a8a8fa0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0bc506-25b3-4fd6-80f3-6df4f0cc4363"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4f2ead0-fef8-4851-9f2c-0fe4a8a8fa0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B2A7D-A811-4689-803C-A57741FFB9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f2ead0-fef8-4851-9f2c-0fe4a8a8fa01"/>
    <ds:schemaRef ds:uri="2c0bc506-25b3-4fd6-80f3-6df4f0cc43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617FB5-0C5E-4F20-94E2-BFA9F20CF55C}">
  <ds:schemaRefs>
    <ds:schemaRef ds:uri="http://schemas.microsoft.com/sharepoint/v3/contenttype/forms"/>
  </ds:schemaRefs>
</ds:datastoreItem>
</file>

<file path=customXml/itemProps3.xml><?xml version="1.0" encoding="utf-8"?>
<ds:datastoreItem xmlns:ds="http://schemas.openxmlformats.org/officeDocument/2006/customXml" ds:itemID="{DB91D6E9-82BF-43BB-87A1-EDAABC1BC1D3}">
  <ds:schemaRefs>
    <ds:schemaRef ds:uri="http://schemas.microsoft.com/office/2006/documentManagement/types"/>
    <ds:schemaRef ds:uri="http://schemas.openxmlformats.org/package/2006/metadata/core-properties"/>
    <ds:schemaRef ds:uri="http://schemas.microsoft.com/office/infopath/2007/PartnerControls"/>
    <ds:schemaRef ds:uri="http://purl.org/dc/terms/"/>
    <ds:schemaRef ds:uri="http://schemas.microsoft.com/office/2006/metadata/properties"/>
    <ds:schemaRef ds:uri="http://purl.org/dc/elements/1.1/"/>
    <ds:schemaRef ds:uri="2c0bc506-25b3-4fd6-80f3-6df4f0cc4363"/>
    <ds:schemaRef ds:uri="f4f2ead0-fef8-4851-9f2c-0fe4a8a8fa01"/>
    <ds:schemaRef ds:uri="http://www.w3.org/XML/1998/namespace"/>
    <ds:schemaRef ds:uri="http://purl.org/dc/dcmitype/"/>
  </ds:schemaRefs>
</ds:datastoreItem>
</file>

<file path=customXml/itemProps4.xml><?xml version="1.0" encoding="utf-8"?>
<ds:datastoreItem xmlns:ds="http://schemas.openxmlformats.org/officeDocument/2006/customXml" ds:itemID="{DFE24FCE-A3C5-4503-BF4C-2D9775EC5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Barker-Smith</dc:creator>
  <cp:keywords/>
  <dc:description/>
  <cp:lastModifiedBy>Cameron Barker-Smith</cp:lastModifiedBy>
  <cp:revision>2</cp:revision>
  <dcterms:created xsi:type="dcterms:W3CDTF">2024-12-05T18:12:00Z</dcterms:created>
  <dcterms:modified xsi:type="dcterms:W3CDTF">2024-12-05T18:12:00Z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0x010100C6290D3E4049A14883B46D29002CC42D</vt:lpwstr>
  </property>
</Properties>
</file>