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Analyse d’incident</w:t>
      </w:r>
    </w:p>
    <w:p>
      <w:pPr>
        <w:jc w:val="center"/>
      </w:pPr>
      <w:r>
        <w:rPr>
          <w:i/>
          <w:sz w:val="22"/>
        </w:rPr>
        <w:t>Étude de cas : attaque DoS/DDoS par inondation ICMP</w:t>
      </w:r>
    </w:p>
    <w:p>
      <w:pPr>
        <w:pStyle w:val="Heading1"/>
      </w:pPr>
      <w:r>
        <w:t>Résumé</w:t>
      </w:r>
    </w:p>
    <w:p>
      <w:r>
        <w:t>L’entreprise a subi un incident de sécurité lorsque l’ensemble des services réseau a cessé de répondre. L’équipe cybersécurité a déterminé que la perturbation avait été causée par une attaque DDoS via un flot de paquets ICMP entrants.</w:t>
      </w:r>
    </w:p>
    <w:p>
      <w:r>
        <w:t>Pour contenir l’incident, l’équipe a bloqué le trafic malveillant, arrêté les services non critiques et restauré les opérations réseau essentielles.</w:t>
      </w:r>
    </w:p>
    <w:p>
      <w:pPr>
        <w:pStyle w:val="Heading1"/>
      </w:pPr>
      <w:r>
        <w:t>Identifier</w:t>
      </w:r>
    </w:p>
    <w:p>
      <w:r>
        <w:t>Un acteur malveillant a ciblé l’entreprise avec une attaque par inondation ICMP. L’ensemble du réseau interne a été affecté, rendant plusieurs services indisponibles. L’enquête a montré qu’un pare-feu mal configuré avait permis à l’attaquant de saturer le réseau avec du trafic ICMP.</w:t>
      </w:r>
    </w:p>
    <w:p>
      <w:pPr>
        <w:pStyle w:val="Heading1"/>
      </w:pPr>
      <w:r>
        <w:t>Protéger</w:t>
      </w:r>
    </w:p>
    <w:p>
      <w:r>
        <w:t>Pour renforcer la protection contre ce type d’attaque, l’entreprise a mis en place une nouvelle règle de pare-feu limitant le nombre de paquets ICMP entrants ainsi qu’une solution IDS/IPS chargée de filtrer le trafic ICMP suspect. Ces mesures réduisent l’exposition aux attaques par déni de service et améliorent la défense périmétrique.</w:t>
      </w:r>
    </w:p>
    <w:p>
      <w:pPr>
        <w:pStyle w:val="Heading1"/>
      </w:pPr>
      <w:r>
        <w:t>Détecter</w:t>
      </w:r>
    </w:p>
    <w:p>
      <w:r>
        <w:t>Pour améliorer les capacités de détection, l’entreprise a ajouté une vérification de l’adresse IP source sur le pare-feu et un logiciel de surveillance du réseau pour détecter les schémas de trafic anormaux. Ces contrôles permettent de mieux repérer le trafic usurpé et de détecter plus rapidement une activité réseau suspecte.</w:t>
      </w:r>
    </w:p>
    <w:p>
      <w:pPr>
        <w:pStyle w:val="Heading1"/>
      </w:pPr>
      <w:r>
        <w:t>Réagir</w:t>
      </w:r>
    </w:p>
    <w:p>
      <w:r>
        <w:t>Pour les futurs incidents, le processus de réponse doit inclure l’isolement des systèmes affectés si nécessaire, la restauration prioritaire des services critiques, l’analyse des journaux réseau, l’escalade vers la direction et la notification des autorités compétentes si besoin. Une procédure documentée permet de réduire le temps de réaction et d’améliorer la coordination.</w:t>
      </w:r>
    </w:p>
    <w:p>
      <w:pPr>
        <w:pStyle w:val="Heading1"/>
      </w:pPr>
      <w:r>
        <w:t>Rétablir</w:t>
      </w:r>
    </w:p>
    <w:p>
      <w:r>
        <w:t>Pour rétablir le fonctionnement après ce type d’attaque, l’entreprise doit restaurer les services réseau jusqu’à un état normal, maintenir hors ligne les services non critiques jusqu’à stabilisation, remettre en service d’abord les systèmes critiques et revoir les procédures de reprise après incident.</w:t>
      </w:r>
    </w:p>
    <w:p>
      <w:pPr>
        <w:pStyle w:val="Heading1"/>
      </w:pPr>
      <w:r>
        <w:t>Points clés à retenir</w:t>
      </w:r>
    </w:p>
    <w:p>
      <w:pPr>
        <w:pStyle w:val="ListBullet"/>
        <w:spacing w:after="60"/>
      </w:pPr>
      <w:r>
        <w:t>Une mauvaise configuration de sécurité peut exposer le réseau à une interruption de service.</w:t>
      </w:r>
    </w:p>
    <w:p>
      <w:pPr>
        <w:pStyle w:val="ListBullet"/>
        <w:spacing w:after="60"/>
      </w:pPr>
      <w:r>
        <w:t>Une attaque par inondation ICMP peut rapidement affecter la disponibilité du réseau interne.</w:t>
      </w:r>
    </w:p>
    <w:p>
      <w:pPr>
        <w:pStyle w:val="ListBullet"/>
        <w:spacing w:after="60"/>
      </w:pPr>
      <w:r>
        <w:t>Le durcissement du pare-feu, l’IDS/IPS et la surveillance réseau sont essentiels.</w:t>
      </w:r>
    </w:p>
    <w:p>
      <w:pPr>
        <w:pStyle w:val="ListBullet"/>
        <w:spacing w:after="60"/>
      </w:pPr>
      <w:r>
        <w:t>Le NIST CSF fournit une structure claire pour analyser l’incident et améliorer la posture de sécurité.</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