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20"/>
      </w:pPr>
      <w:r>
        <w:t xml:space="preserve">PLANEJAMENTO DA ANÁLISE DE DADOS</w:t>
      </w:r>
    </w:p>
    <w:p>
      <w:pPr>
        <w:spacing w:after="200" w:line="360"/>
        <w:jc w:val="both"/>
      </w:pPr>
      <w:r>
        <w:t xml:space="preserve">Este documento descreve o planejamento da análise dos dados coletados durante a execução do protótipo, detalhando a abordagem analítica, os procedimentos de avaliação por dimensão, os critérios de julgamento e as limitações reconhecidas da análise.</w:t>
      </w:r>
    </w:p>
    <w:p>
      <w:pPr>
        <w:pStyle w:val="Heading2"/>
        <w:spacing w:after="180" w:before="320"/>
      </w:pPr>
      <w:r>
        <w:t xml:space="preserve">1. Abordagem Analítica</w:t>
      </w:r>
    </w:p>
    <w:p>
      <w:pPr>
        <w:spacing w:after="200" w:line="360"/>
        <w:jc w:val="both"/>
      </w:pPr>
      <w:r>
        <w:t xml:space="preserve">A análise de dados neste trabalho é qualitativa e orientada a artefato, em conformidade com o paradigma da Design Science Research (DSR). Não há tratamento estatístico de variáveis, análise de distribuições ou inferência probabilística sobre amostras — abordagens adequadas a pesquisas empíricas com populações, não a avaliações de artefatos únicos com critérios verificáveis.</w:t>
      </w:r>
    </w:p>
    <w:p>
      <w:pPr>
        <w:spacing w:after="200" w:line="360"/>
        <w:jc w:val="both"/>
      </w:pPr>
      <w:r>
        <w:t xml:space="preserve">A abordagem analítica adotada é a avaliação por demonstração, reconhecida por Hevner et al. (2004) como forma legítima de avaliação de artefatos em DSR quando o objetivo é demonstrar que o artefato funciona conforme especificado em ambiente controlado. A análise opera em duas dimensões complementares:</w:t>
      </w:r>
    </w:p>
    <w:p>
      <w:pPr>
        <w:spacing w:after="200" w:line="360"/>
        <w:jc w:val="both"/>
      </w:pPr>
      <w:r>
        <w:rPr>
          <w:b/>
          <w:bCs/>
        </w:rPr>
        <w:t xml:space="preserve">Dimensão técnico-funcional: </w:t>
      </w:r>
      <w:r>
        <w:t xml:space="preserve">verificação de que os componentes da arquitetura operam corretamente e produzem as propriedades criptográficas e funcionais declaradas nos objetivos do trabalho, avaliada pelos critérios C1 a C5.</w:t>
      </w:r>
    </w:p>
    <w:p>
      <w:pPr>
        <w:spacing w:after="200" w:line="360"/>
        <w:jc w:val="both"/>
      </w:pPr>
      <w:r>
        <w:rPr>
          <w:b/>
          <w:bCs/>
        </w:rPr>
        <w:t xml:space="preserve">Dimensão normativa: </w:t>
      </w:r>
      <w:r>
        <w:t xml:space="preserve">avaliação da aderência da arquitetura aos princípios da Lei Geral de Proteção de Dados Pessoais (Lei nº 13.709/2018), operacionalizada pelo critério C6 via checklist estruturado.</w:t>
      </w:r>
    </w:p>
    <w:p>
      <w:pPr>
        <w:spacing w:after="200" w:line="360"/>
        <w:jc w:val="both"/>
      </w:pPr>
      <w:r>
        <w:t xml:space="preserve">As conclusões resultantes da análise são de natureza demonstrativa e analítica, válidas no contexto experimental descrito, sem extrapolação para outros contextos ou generalização estatística.</w:t>
      </w:r>
    </w:p>
    <w:p>
      <w:pPr>
        <w:pStyle w:val="Heading2"/>
        <w:spacing w:after="180" w:before="320"/>
      </w:pPr>
      <w:r>
        <w:t xml:space="preserve">2. Análise da Dimensão Técnico-Funcional (C1–C5)</w:t>
      </w:r>
    </w:p>
    <w:p>
      <w:pPr>
        <w:pStyle w:val="Heading3"/>
        <w:spacing w:after="180" w:before="320"/>
      </w:pPr>
      <w:r>
        <w:t xml:space="preserve">2.1 Procedimento geral</w:t>
      </w:r>
    </w:p>
    <w:p>
      <w:pPr>
        <w:spacing w:after="200" w:line="360"/>
        <w:jc w:val="both"/>
      </w:pPr>
      <w:r>
        <w:t xml:space="preserve">Para cada critério técnico-funcional (C1 a C5), o procedimento de análise segue quatro etapas: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Registro do valor observado durante a execução do cenário correspondente, conforme métricas definidas no Planejamento de Métodos e Métricas da Coleta de Dados.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Comparação do valor observado com o resultado esperado definido na Tabela 1 da seção 3.4 da Metodologia.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Julgamento do critério: atendido (o artefato se comportou conforme especificado), não atendido (comportamento divergiu do especificado) ou atendido parcialmente (comportamento parcialmente conforme, com registro da divergência específica).</w:t>
      </w:r>
    </w:p>
    <w:p>
      <w:pPr>
        <w:pStyle w:val="ListParagraph"/>
        <w:numPr>
          <w:ilvl w:val="0"/>
          <w:numId w:val="2"/>
        </w:numPr>
        <w:spacing w:after="120" w:line="340"/>
        <w:jc w:val="both"/>
      </w:pPr>
      <w:r>
        <w:t xml:space="preserve">Registro da evidência verificável que sustenta o julgamento (hash de transação, trecho de log, payload inspecionado).</w:t>
      </w:r>
    </w:p>
    <w:p>
      <w:pPr>
        <w:pStyle w:val="Heading3"/>
        <w:spacing w:after="180" w:before="320"/>
      </w:pPr>
      <w:r>
        <w:t xml:space="preserve">2.2 Análise por critério</w:t>
      </w:r>
    </w:p>
    <w:p>
      <w:pPr>
        <w:spacing w:after="200" w:line="360"/>
        <w:jc w:val="both"/>
      </w:pPr>
      <w:r>
        <w:rPr>
          <w:b/>
          <w:bCs/>
        </w:rPr>
        <w:t xml:space="preserve">C1 — Completude funcional: </w:t>
      </w:r>
      <w:r>
        <w:t xml:space="preserve">a análise verifica se cada um dos três cenários (emissão, apresentação, verificação) executa de ponta a ponta sem erros não tratados e produz a saída esperada. O julgamento é realizado cenário a cenário, e o critério C1 é considerado atendido somente se todos os três cenários forem bem-sucedidos. A análise registra, para cada cenário, o ponto de execução atingido e qualquer erro encontrado.</w:t>
      </w:r>
    </w:p>
    <w:p>
      <w:pPr>
        <w:spacing w:after="200" w:line="360"/>
        <w:jc w:val="both"/>
      </w:pPr>
      <w:r>
        <w:rPr>
          <w:b/>
          <w:bCs/>
        </w:rPr>
        <w:t xml:space="preserve">C2 — Correção criptográfica: </w:t>
      </w:r>
      <w:r>
        <w:t xml:space="preserve">a análise compara bit a bit o hash SHA-256 da VC registrado no SBT on-chain com o hash recalculado pelo componente verificador a partir da credencial recebida na apresentação. A igualdade exata demonstra que a ancoragem on-chain é íntegra e que a VC não foi manipulada entre emissão e verificação. Qualquer divergência é investigada para identificar se origina de erro de implementação, diferença de serialização ou adulteração.</w:t>
      </w:r>
    </w:p>
    <w:p>
      <w:pPr>
        <w:spacing w:after="200" w:line="360"/>
        <w:jc w:val="both"/>
      </w:pPr>
      <w:r>
        <w:rPr>
          <w:b/>
          <w:bCs/>
        </w:rPr>
        <w:t xml:space="preserve">C3 — Divulgação seletiva: </w:t>
      </w:r>
      <w:r>
        <w:t xml:space="preserve">a análise examina o payload da apresentação SD-JWT para verificar que apenas os atributos selecionados pelo titular estão presentes nos disclosures incluídos. Em seguida, tenta-se recuperar os atributos não divulgados a partir apenas do que está contido na apresentação, sem acesso aos disclosures omitidos. O critério é atendido se a recuperação for impossível — comportamento esperado do mecanismo de hashing com salt aleatório do SD-JWT.</w:t>
      </w:r>
    </w:p>
    <w:p>
      <w:pPr>
        <w:spacing w:after="200" w:line="360"/>
        <w:jc w:val="both"/>
      </w:pPr>
      <w:r>
        <w:rPr>
          <w:b/>
          <w:bCs/>
        </w:rPr>
        <w:t xml:space="preserve">C4 — Key Binding: </w:t>
      </w:r>
      <w:r>
        <w:t xml:space="preserve">a análise submete ao verificador duas apresentações manipuladas: uma sem KB-JWT e outra com KB-JWT de assinatura inválida. O critério é atendido se ambas forem rejeitadas com mensagem de erro explícita referenciando Key Binding. Uma apresentação válida (com KB-JWT correto) é submetida como controle para confirmar que o verificador aceita apresentações legítimas.</w:t>
      </w:r>
    </w:p>
    <w:p>
      <w:pPr>
        <w:spacing w:after="200" w:line="360"/>
        <w:jc w:val="both"/>
      </w:pPr>
      <w:r>
        <w:rPr>
          <w:b/>
          <w:bCs/>
        </w:rPr>
        <w:t xml:space="preserve">C5 — Template visual: </w:t>
      </w:r>
      <w:r>
        <w:t xml:space="preserve">a análise inspeciona o cartão visual renderizado localmente a partir do template institucional, verificando se os atributos divulgados estão exibidos no campo correto, com formatação adequada e sem distorções de layout. O julgamento é qualitativo, por inspeção visual comparativa entre o cartão renderizado e o layout especificado no template.</w:t>
      </w:r>
    </w:p>
    <w:p>
      <w:pPr>
        <w:pStyle w:val="Heading2"/>
        <w:spacing w:after="180" w:before="320"/>
      </w:pPr>
      <w:r>
        <w:t xml:space="preserve">3. Análise da Dimensão Normativa (C6 — Aderência à LGPD)</w:t>
      </w:r>
    </w:p>
    <w:p>
      <w:pPr>
        <w:pStyle w:val="Heading3"/>
        <w:spacing w:after="180" w:before="320"/>
      </w:pPr>
      <w:r>
        <w:t xml:space="preserve">3.1 Instrumento de análise</w:t>
      </w:r>
    </w:p>
    <w:p>
      <w:pPr>
        <w:spacing w:after="200" w:line="360"/>
        <w:jc w:val="both"/>
      </w:pPr>
      <w:r>
        <w:t xml:space="preserve">A análise normativa é operacionalizada por um checklist estruturado, construído a partir dos dez princípios do Art. 6° da Lei nº 13.709/2018 (LGPD). Para cada princípio, o checklist registra quatro elementos: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Enunciado do princípio conforme o texto legal.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Mecanismo da arquitetura proposta que atende (ou busca atender) ao princípio, quando identificável.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Avaliação: atendido, atendido parcialmente, não atendido ou não aplicável ao contexto da arquitetura.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Ressalvas e limitações: tensões estruturais entre a arquitetura e o princípio que não podem ser plenamente resolvidas no escopo desta pesquisa.</w:t>
      </w:r>
    </w:p>
    <w:p>
      <w:pPr>
        <w:pStyle w:val="Heading3"/>
        <w:spacing w:after="180" w:before="320"/>
      </w:pPr>
      <w:r>
        <w:t xml:space="preserve">3.2 Princípios analisados</w:t>
      </w:r>
    </w:p>
    <w:p>
      <w:pPr>
        <w:spacing w:after="200" w:line="360"/>
        <w:jc w:val="both"/>
      </w:pPr>
      <w:r>
        <w:t xml:space="preserve">A Tabela 1 apresenta os dez princípios do Art. 6° da LGPD e os aspectos da arquitetura diretamente relacionados a cada um, que serão objeto de análise.</w:t>
      </w:r>
    </w:p>
    <w:p>
      <w:pPr>
        <w:spacing w:after="100" w:before="160"/>
        <w:jc w:val="center"/>
      </w:pPr>
      <w:r>
        <w:rPr>
          <w:b/>
          <w:bCs/>
          <w:sz w:val="22"/>
          <w:szCs w:val="22"/>
        </w:rPr>
        <w:t xml:space="preserve">Tabela 1 — Princípios da LGPD e aspectos arquiteturais relacionados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3204"/>
        <w:gridCol w:w="320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Inc.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Princípio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Aspecto arquitetural relacionado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Tensão ou limitação potencial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Finalidade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 credencial é emitida para finalidade específica (comprovação de grau acadêmico); dados pessoais são limitados às claims da VC.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Usos futuros da credencial pelo titular podem extrapolar a finalidade original da IES.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Adequação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Atributos da credencial são definidos pela IES em conformidade com os dados do diploma acadêmico formal.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Avaliação depende do conjunto de claims escolhido pela IES no template.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III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Necessidade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SD-JWT com divulgação seletiva permite ao titular revelar apenas os atributos necessários para cada contexto de verificação — princípio de minimização by design.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 VC completa contém todos os atributos; a minimização depende da seleção ativa pelo titular no momento da apresentação.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IV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Livre acesso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Titular possui a VC completa em sua carteira e pode consultá-la a qualquer momento sem depender da IES.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Perda de acesso à carteira Ethereum implica perda de acesso à credencial off-chain.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V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Qualidade dos dados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Hash on-chain âncora os dados da VC à versão original emitida pela IES, garantindo integridade. Correção de dados exige reemissão.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Tensão com a imutabilidade da blockchain: correção de erro exige nova emissão e revogação da credencial anterior.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VI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Verificador pode auditar a ancoragem on-chain e confirmar a autoria da IES via did:web resolvível publicamente.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Transparência do processo de emissão para o titular depende de implementação de interface de usuário pela IES.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VII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Assinatura criptográfica da IES, Key Binding do titular e hash on-chain fornecem garantias de integridade, autenticidade e prova de posse.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Segurança da chave privada do titular é responsabilidade do próprio titular; perda ou comprometimento da chave é risco residual.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VIII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Prevenção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Arquitetura híbrida (dados pessoais off-chain, apenas hash on-chain) mitiga riscos de exposição pública de dados sensíveis na blockchain, alinhada à Recomendação 2 do EDPB (2025).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Endereço Ethereum do titular é público e potencialmente vinculável à identidade real se outras transações forem correlacionadas.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IX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Não discriminação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Divulgação seletiva permite ao titular omitir atributos potencialmente sensíveis (ex.: data de nascimento) em contextos onde não sejam necessários.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 análise de risco discriminatório de atributos específicos depende do conjunto de claims definido pela IES.</w:t>
            </w:r>
          </w:p>
        </w:tc>
      </w:tr>
      <w:t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Responsabilização e prestação de contas</w:t>
            </w:r>
          </w:p>
        </w:tc>
        <w:tc>
          <w:tcPr>
            <w:tcW w:type="dxa" w:w="3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Ancoragem on-chain cria trilha de auditoria imutável da emissão, atribuindo responsabilidade verificável à IES emissora via did:web.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  <w:jc w:val="left"/>
            </w:pPr>
            <w:r>
              <w:rPr>
                <w:sz w:val="20"/>
                <w:szCs w:val="20"/>
              </w:rPr>
              <w:t xml:space="preserve">Responsabilidade pelo tratamento off-chain (armazenamento da VC na carteira do titular) recai sobre o próprio titular.</w:t>
            </w:r>
          </w:p>
        </w:tc>
      </w:tr>
    </w:tbl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Fonte: elaborada pelo autor (2025) com base na Lei nº 13.709/2018 (LGPD) e nas diretrizes EDPB (2025).</w:t>
      </w:r>
    </w:p>
    <w:p>
      <w:pPr>
        <w:pStyle w:val="Heading3"/>
        <w:spacing w:after="180" w:before="320"/>
      </w:pPr>
      <w:r>
        <w:t xml:space="preserve">3.3 Nota sobre o escopo da análise normativa</w:t>
      </w:r>
    </w:p>
    <w:p>
      <w:pPr>
        <w:spacing w:after="200" w:line="360"/>
        <w:jc w:val="both"/>
      </w:pPr>
      <w:r>
        <w:t xml:space="preserve">A análise de aderência à LGPD conduzida neste trabalho constitui discussão acadêmica fundamentada nos princípios da norma e na literatura de proteção de dados, e não substitui parecer jurídico formal. O objetivo é avaliar, do ponto de vista arquitetural e técnico, como os mecanismos propostos se relacionam com cada princípio legal, identificando tanto os pontos de aderência quanto as tensões estruturais que não podem ser completamente resolvidas pela tecnologia. Conforme a matriz comparativa da seção 2.N.3 da Fundamentação Teórica, nenhum dos trabalhos relacionados identificados no levantamento bibliográfico conduz análise equivalente, o que caracteriza esta dimensão como contribuição específica do presente trabalho.</w:t>
      </w:r>
    </w:p>
    <w:p>
      <w:pPr>
        <w:pStyle w:val="Heading2"/>
        <w:spacing w:after="180" w:before="320"/>
      </w:pPr>
      <w:r>
        <w:t xml:space="preserve">4. Análise Comparativa: Modelo Proposto versus Modelo Centralizado Vigente</w:t>
      </w:r>
    </w:p>
    <w:p>
      <w:pPr>
        <w:spacing w:after="200" w:line="360"/>
        <w:jc w:val="both"/>
      </w:pPr>
      <w:r>
        <w:t xml:space="preserve">Complementarmente à avaliação por critérios, a análise inclui uma comparação estruturada entre o modelo proposto neste trabalho e o modelo centralizado vigente de certificação acadêmica no Brasil (diploma digital em formato XML assinado, conforme regulamentação MEC). A comparação é organizada em torno das três limitações identificadas na fase de identificação do problema (DSR Fase 1): autenticidade verificável, oversharing de dados pessoais e portabilidade pelo titular.</w:t>
      </w:r>
    </w:p>
    <w:p>
      <w:pPr>
        <w:spacing w:after="200" w:line="360"/>
        <w:jc w:val="both"/>
      </w:pPr>
      <w:r>
        <w:t xml:space="preserve">Para cada dimensão, a análise registra: como o modelo centralizado vigente endereça (ou não) o problema; como o modelo proposto endereça o mesmo problema; e qual é o ganho ou limitação residual da proposta em relação ao modelo atual. Esta análise comparativa é conduzida de forma qualitativa, com base nas evidências coletadas nos cenários e na caracterização do modelo vigente realizada na fundamentação teórica.</w:t>
      </w:r>
    </w:p>
    <w:p>
      <w:pPr>
        <w:pStyle w:val="Heading2"/>
        <w:spacing w:after="180" w:before="320"/>
      </w:pPr>
      <w:r>
        <w:t xml:space="preserve">5. Síntese e Discussão de Limitações</w:t>
      </w:r>
    </w:p>
    <w:p>
      <w:pPr>
        <w:spacing w:after="200" w:line="360"/>
        <w:jc w:val="both"/>
      </w:pPr>
      <w:r>
        <w:t xml:space="preserve">Após a análise individual de cada critério e a comparação entre modelos, a análise converge para uma síntese que responde à questão central da pesquisa: o artefato proposto endereça as limitações identificadas do modelo atual, com as propriedades arquiteturais declaradas, no contexto da prova de conceito descrita?</w:t>
      </w:r>
    </w:p>
    <w:p>
      <w:pPr>
        <w:spacing w:after="200" w:line="360"/>
        <w:jc w:val="both"/>
      </w:pPr>
      <w:r>
        <w:t xml:space="preserve">A síntese é seguida por uma discussão crítica das limitações da abordagem, organizada em torno das ameaças à validade reconhecidas na seção 3.6 da Metodologia:</w:t>
      </w:r>
    </w:p>
    <w:p>
      <w:pPr>
        <w:spacing w:after="200" w:line="360"/>
        <w:jc w:val="both"/>
      </w:pPr>
      <w:r>
        <w:rPr>
          <w:b/>
          <w:bCs/>
        </w:rPr>
        <w:t xml:space="preserve">Limitações de validade interna: </w:t>
      </w:r>
      <w:r>
        <w:t xml:space="preserve">aspectos da análise que dependem de julgamento do autor, potencialmente enviesados pelo design do próprio artefato.</w:t>
      </w:r>
    </w:p>
    <w:p>
      <w:pPr>
        <w:spacing w:after="200" w:line="360"/>
        <w:jc w:val="both"/>
      </w:pPr>
      <w:r>
        <w:rPr>
          <w:b/>
          <w:bCs/>
        </w:rPr>
        <w:t xml:space="preserve">Limitações de validade de construto: </w:t>
      </w:r>
      <w:r>
        <w:t xml:space="preserve">aspectos em que os critérios de avaliação podem não capturar completamente as propriedades desejadas.</w:t>
      </w:r>
    </w:p>
    <w:p>
      <w:pPr>
        <w:spacing w:after="200" w:line="360"/>
        <w:jc w:val="both"/>
      </w:pPr>
      <w:r>
        <w:rPr>
          <w:b/>
          <w:bCs/>
        </w:rPr>
        <w:t xml:space="preserve">Limitações de validade externa: </w:t>
      </w:r>
      <w:r>
        <w:t xml:space="preserve">aspectos em que os resultados não são generalizáveis além do contexto experimental descrito.</w:t>
      </w:r>
    </w:p>
    <w:p>
      <w:pPr>
        <w:spacing w:after="200" w:line="360"/>
        <w:jc w:val="both"/>
      </w:pPr>
      <w:r>
        <w:t xml:space="preserve">Esta discussão não invalida os resultados, mas delimita explicitamente o alcance das conclusões e aponta direções específicas para investigações futuras que ampliem a base empírica da pesquisa.</w:t>
      </w:r>
    </w:p>
    <w:p>
      <w:pPr>
        <w:pStyle w:val="Heading2"/>
        <w:spacing w:after="180" w:before="320"/>
      </w:pPr>
      <w:r>
        <w:t xml:space="preserve">6. Ferramentas de Apoio à Análise</w:t>
      </w:r>
    </w:p>
    <w:p>
      <w:pPr>
        <w:spacing w:after="200" w:line="360"/>
        <w:jc w:val="both"/>
      </w:pPr>
      <w:r>
        <w:t xml:space="preserve">As ferramentas utilizadas para apoiar a análise de dados são: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Planilha de avaliação por critério: documento estruturado com as colunas valor esperado, valor observado, evidência verificável e julgamento, preenchido para cada critério C1-C6.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Checklist de aderência LGPD: instrumento tabular com os dez princípios do Art. 6°, mecanismo arquitetural identificado, avaliação e ressalvas.</w:t>
      </w:r>
    </w:p>
    <w:p>
      <w:pPr>
        <w:pStyle w:val="ListParagraph"/>
        <w:numPr>
          <w:ilvl w:val="0"/>
          <w:numId w:val="3"/>
        </w:numPr>
        <w:spacing w:after="120" w:line="340"/>
        <w:jc w:val="both"/>
      </w:pPr>
      <w:r>
        <w:t xml:space="preserve">Tabela comparativa de modelos: instrumento de síntese comparativa entre modelo proposto e modelo centralizado vigente, por dimensão de análise.</w:t>
      </w:r>
    </w:p>
    <w:p>
      <w:pPr>
        <w:spacing w:after="200" w:line="360"/>
        <w:jc w:val="both"/>
      </w:pPr>
      <w:r>
        <w:t xml:space="preserve">Estes instrumentos são disponibilizados como apêndices do trabalho, garantindo a transparência e a auditabilidade do processo analítico.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2026-05-20T02:27:00.686Z</dcterms:created>
  <dcterms:modified xsi:type="dcterms:W3CDTF">2026-05-20T02:27:00.686Z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