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20"/>
      </w:pPr>
      <w:r>
        <w:t xml:space="preserve">PLANEJAMENTO DE MÉTODOS E MÉTRICAS DA COLETA DE DADOS</w:t>
      </w:r>
    </w:p>
    <w:p>
      <w:pPr>
        <w:spacing w:after="200" w:line="360"/>
        <w:jc w:val="both"/>
      </w:pPr>
      <w:r>
        <w:t xml:space="preserve">Este documento descreve o planejamento dos métodos e métricas utilizados na coleta de dados da pesquisa, adaptando os conceitos tradicionais de coleta ao paradigma da Design Science Research (DSR), estratégia metodológica adotada neste trabalho de conclusão de curso.</w:t>
      </w:r>
    </w:p>
    <w:p>
      <w:pPr>
        <w:pStyle w:val="Heading2"/>
        <w:spacing w:after="180" w:before="320"/>
      </w:pPr>
      <w:r>
        <w:t xml:space="preserve">1. Contextualização: Coleta de Dados em Pesquisa DSR</w:t>
      </w:r>
    </w:p>
    <w:p>
      <w:pPr>
        <w:spacing w:after="200" w:line="360"/>
        <w:jc w:val="both"/>
      </w:pPr>
      <w:r>
        <w:t xml:space="preserve">Na Design Science Research, o objeto de investigação central é um artefato — neste caso, uma arquitetura de certificação acadêmica digital composta por Soulbound Token (SBT), Verifiable Credential em formato SD-JWT e mecanismo de Key Binding. Diferentemente de pesquisas empíricas com participantes humanos, em que a coleta de dados envolve instrumentos como questionários, entrevistas ou observações, a coleta de dados em DSR é orientada pela execução controlada do artefato e pelo registro sistemático das evidências produzidas durante essa execução.</w:t>
      </w:r>
    </w:p>
    <w:p>
      <w:pPr>
        <w:spacing w:after="200" w:line="360"/>
        <w:jc w:val="both"/>
      </w:pPr>
      <w:r>
        <w:t xml:space="preserve">Neste trabalho, os dados coletados são as evidências geradas pela execução dos três cenários de uso do protótipo — emissão, apresentação seletiva e verificação — em ambiente de testnet pública Ethereum Sepolia. Tais evidências permitem verificar se o artefato apresenta as propriedades funcionais e criptográficas declaradas nos objetivos da pesquisa, constituindo a base empírica para avaliação dos critérios definidos na seção 3.4 da Metodologia.</w:t>
      </w:r>
    </w:p>
    <w:p>
      <w:pPr>
        <w:pStyle w:val="Heading2"/>
        <w:spacing w:after="180" w:before="320"/>
      </w:pPr>
      <w:r>
        <w:t xml:space="preserve">2. Fontes de Dados</w:t>
      </w:r>
    </w:p>
    <w:p>
      <w:pPr>
        <w:spacing w:after="200" w:line="360"/>
        <w:jc w:val="both"/>
      </w:pPr>
      <w:r>
        <w:t xml:space="preserve">As fontes de dados desta pesquisa são exclusivamente provenientes do artefato em execução, organizadas em quatro categorias: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Registros on-chain: transações confirmadas na testnet Ethereum Sepolia, acessíveis via explorador de blocos público (Sepolia Etherscan). Cada transação produz um hash de transação, número de bloco, timestamp e status de confirmação verificáveis publicamente.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Artefatos criptográficos off-chain: payloads JWT gerados durante a execução dos cenários, incluindo o SD-JWT emitido, os disclosures selecionados pelo titular, o KB-JWT (Key Binding JWT) produzido na apresentação e o hash SHA-256 da VC calculado em diferentes etapas do fluxo.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Logs de execução: registros produzidos pelos componentes do protótipo durante a execução de cada cenário, documentando entradas, saídas, erros tratados e estados intermediários.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Registros de verificação: saídas do componente verificador para cada apresentação submetida, incluindo resultado (aceita/rejeitada), motivo em caso de rejeição e detalhes da validação criptográfica realizada.</w:t>
      </w:r>
    </w:p>
    <w:p>
      <w:pPr>
        <w:pStyle w:val="Heading2"/>
        <w:spacing w:after="180" w:before="320"/>
      </w:pPr>
      <w:r>
        <w:t xml:space="preserve">3. Instrumentos de Coleta</w:t>
      </w:r>
    </w:p>
    <w:p>
      <w:pPr>
        <w:spacing w:after="200" w:line="360"/>
        <w:jc w:val="both"/>
      </w:pPr>
      <w:r>
        <w:t xml:space="preserve">Os instrumentos utilizados para coleta das evidências são:</w:t>
      </w:r>
    </w:p>
    <w:p>
      <w:pPr>
        <w:spacing w:after="200" w:line="360"/>
        <w:jc w:val="both"/>
      </w:pPr>
      <w:r>
        <w:rPr>
          <w:b/>
          <w:bCs/>
        </w:rPr>
        <w:t xml:space="preserve">Ambiente de testnet Sepolia: </w:t>
      </w:r>
      <w:r>
        <w:t xml:space="preserve">rede pública Ethereum de testes, sem valor econômico real, utilizada para implantação do smart contract do SBT e registro das transações de emissão e revogação. O acesso ao estado da rede é realizado via provedor RPC (ex.: Infura ou Alchemy com endpoint Sepolia).</w:t>
      </w:r>
    </w:p>
    <w:p>
      <w:pPr>
        <w:spacing w:after="200" w:line="360"/>
        <w:jc w:val="both"/>
      </w:pPr>
      <w:r>
        <w:rPr>
          <w:b/>
          <w:bCs/>
        </w:rPr>
        <w:t xml:space="preserve">Explorador de blocos (Sepolia Etherscan): </w:t>
      </w:r>
      <w:r>
        <w:t xml:space="preserve">ferramenta pública de auditoria de transações, utilizada para verificar e capturar os dados on-chain (hash de transação, bloco, timestamp, dados do evento emitido pelo smart contract).</w:t>
      </w:r>
    </w:p>
    <w:p>
      <w:pPr>
        <w:spacing w:after="200" w:line="360"/>
        <w:jc w:val="both"/>
      </w:pPr>
      <w:r>
        <w:rPr>
          <w:b/>
          <w:bCs/>
        </w:rPr>
        <w:t xml:space="preserve">Scripts de execução dos cenários: </w:t>
      </w:r>
      <w:r>
        <w:t xml:space="preserve">implementações dos três fluxos (emissão, apresentação, verificação) executados localmente, que produzem os artefatos criptográficos e os logs de execução.</w:t>
      </w:r>
    </w:p>
    <w:p>
      <w:pPr>
        <w:spacing w:after="200" w:line="360"/>
        <w:jc w:val="both"/>
      </w:pPr>
      <w:r>
        <w:rPr>
          <w:b/>
          <w:bCs/>
        </w:rPr>
        <w:t xml:space="preserve">Ferramentas de inspeção de JWT: </w:t>
      </w:r>
      <w:r>
        <w:t xml:space="preserve">utilitários para decodificar e inspecionar payloads JWT (ex.: jwt.io ou equivalente de linha de comando), utilizados para verificar a estrutura interna dos tokens produzidos e confirmar a presença ou ausência de atributos nos disclosures.</w:t>
      </w:r>
    </w:p>
    <w:p>
      <w:pPr>
        <w:spacing w:after="200" w:line="360"/>
        <w:jc w:val="both"/>
      </w:pPr>
      <w:r>
        <w:rPr>
          <w:b/>
          <w:bCs/>
        </w:rPr>
        <w:t xml:space="preserve">Planilha de registro de evidências: </w:t>
      </w:r>
      <w:r>
        <w:t xml:space="preserve">instrumento de documentação estruturada, preenchido manualmente durante a execução de cada cenário, registrando os valores observados para cada métrica definida na seção 4 deste documento.</w:t>
      </w:r>
    </w:p>
    <w:p>
      <w:pPr>
        <w:pStyle w:val="Heading2"/>
        <w:spacing w:after="180" w:before="320"/>
      </w:pPr>
      <w:r>
        <w:t xml:space="preserve">4. Procedimento de Coleta por Cenário</w:t>
      </w:r>
    </w:p>
    <w:p>
      <w:pPr>
        <w:spacing w:after="200" w:line="360"/>
        <w:jc w:val="both"/>
      </w:pPr>
      <w:r>
        <w:t xml:space="preserve">A coleta de dados é organizada em três cenários de uso, executados sequencialmente. Cada cenário corresponde a uma fase do ciclo de vida da credencial e produz um conjunto específico de evidências.</w:t>
      </w:r>
    </w:p>
    <w:p>
      <w:pPr>
        <w:pStyle w:val="Heading3"/>
        <w:spacing w:after="180" w:before="320"/>
      </w:pPr>
      <w:r>
        <w:t xml:space="preserve">4.1 Cenário 1 — Emissão da Credencial pela Instituição</w:t>
      </w:r>
    </w:p>
    <w:p>
      <w:pPr>
        <w:spacing w:after="200" w:line="360"/>
        <w:jc w:val="both"/>
      </w:pPr>
      <w:r>
        <w:t xml:space="preserve">Descrição: a instituição emissora (IES), identificada por did:web, assina e emite a Verifiable Credential em formato SD-JWT para o titular (aluno), identificado por did:ethr. Simultaneamente, o hash SHA-256 da VC é registrado on-chain via smart contract ERC-5192, gerando o Soulbound Token vinculado ao endereço Ethereum do titular.</w:t>
      </w:r>
    </w:p>
    <w:p>
      <w:pPr>
        <w:spacing w:after="200" w:line="360"/>
        <w:jc w:val="both"/>
      </w:pPr>
      <w:r>
        <w:t xml:space="preserve">Dados coletados: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Hash da transação de mintagem do SBT na testnet Sepolia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Número do bloco e timestamp de confirmação da transação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Endereço do contrato e token ID do SBT emitido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Hash SHA-256 da VC registrado no evento on-chain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Payload completo do SD-JWT emitido (header, body com _sd, assinatura do issuer)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Lista completa de disclosures gerados (um por atributo sensível)</w:t>
      </w:r>
    </w:p>
    <w:p>
      <w:pPr>
        <w:pStyle w:val="Heading3"/>
        <w:spacing w:after="180" w:before="320"/>
      </w:pPr>
      <w:r>
        <w:t xml:space="preserve">4.2 Cenário 2 — Apresentação Seletiva pelo Titular</w:t>
      </w:r>
    </w:p>
    <w:p>
      <w:pPr>
        <w:spacing w:after="200" w:line="360"/>
        <w:jc w:val="both"/>
      </w:pPr>
      <w:r>
        <w:t xml:space="preserve">Descrição: o titular seleciona um subconjunto de atributos da credencial para revelar ao verificador, gera um KB-JWT assinado com sua chave privada (did:ethr) e produz a apresentação SD-JWT composta pelo token base, pelos disclosures selecionados e pelo KB-JWT.</w:t>
      </w:r>
    </w:p>
    <w:p>
      <w:pPr>
        <w:spacing w:after="200" w:line="360"/>
        <w:jc w:val="both"/>
      </w:pPr>
      <w:r>
        <w:t xml:space="preserve">Dados coletados: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Payload da apresentação SD-JWT gerada (token base + disclosures selecionados + KB-JWT)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Lista de atributos efetivamente revelados na apresentação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Lista de atributos retidos (não incluídos nos disclosures da apresentação)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Payload do KB-JWT: nonce utilizado, hash do SD-JWT original e assinatura do titular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Tentativa de recuperação de atributos não divulgados a partir dos disclosures presentes: resultado (recuperável/não recuperável)</w:t>
      </w:r>
    </w:p>
    <w:p>
      <w:pPr>
        <w:pStyle w:val="Heading3"/>
        <w:spacing w:after="180" w:before="320"/>
      </w:pPr>
      <w:r>
        <w:t xml:space="preserve">4.3 Cenário 3 — Verificação por Terceiro</w:t>
      </w:r>
    </w:p>
    <w:p>
      <w:pPr>
        <w:spacing w:after="200" w:line="360"/>
        <w:jc w:val="both"/>
      </w:pPr>
      <w:r>
        <w:t xml:space="preserve">Descrição: o verificador recebe a apresentação, valida a assinatura do emissor sobre o SD-JWT, verifica os hashes dos disclosures recebidos, valida o Key Binding JWT contra a chave pública do titular registrada no campo cnf, e compara o hash da VC on-chain com o hash recalculado a partir da apresentação recebida.</w:t>
      </w:r>
    </w:p>
    <w:p>
      <w:pPr>
        <w:spacing w:after="200" w:line="360"/>
        <w:jc w:val="both"/>
      </w:pPr>
      <w:r>
        <w:t xml:space="preserve">Dados coletados: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Resultado da validação da assinatura do emissor (válida/inválida)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Hash SHA-256 da VC recalculado pelo verificador a partir da apresentação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Hash SHA-256 recuperado do SBT on-chain via consulta ao smart contract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Resultado da comparação entre hash on-chain e hash recalculado (iguais/divergentes)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Resultado da validação do KB-JWT (válido/inválido)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Resultado da submissão de apresentação manipulada sem KB-JWT ou com assinatura inválida (aceita/rejeitada + motivo)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Resultado da renderização do cartão visual a partir do template institucional (conforme/não conforme)</w:t>
      </w:r>
    </w:p>
    <w:p>
      <w:pPr>
        <w:pStyle w:val="Heading2"/>
        <w:spacing w:after="180" w:before="320"/>
      </w:pPr>
      <w:r>
        <w:t xml:space="preserve">5. Métricas por Critério de Avaliação</w:t>
      </w:r>
    </w:p>
    <w:p>
      <w:pPr>
        <w:spacing w:after="200" w:line="360"/>
        <w:jc w:val="both"/>
      </w:pPr>
      <w:r>
        <w:t xml:space="preserve">A Tabela 1 apresenta, para cada critério de avaliação definido na Metodologia (seção 3.4), o tipo de dado coletado, a métrica específica registrada e o instrumento utilizado na coleta.</w:t>
      </w:r>
    </w:p>
    <w:p>
      <w:pPr>
        <w:spacing w:after="100" w:before="160"/>
        <w:jc w:val="center"/>
      </w:pPr>
      <w:r>
        <w:rPr>
          <w:b/>
          <w:bCs/>
          <w:sz w:val="22"/>
          <w:szCs w:val="22"/>
        </w:rPr>
        <w:t xml:space="preserve">Tabela 1 — Métricas de coleta por critério de avaliação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1904"/>
        <w:gridCol w:w="17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Métrica registrada</w:t>
            </w:r>
          </w:p>
        </w:tc>
        <w:tc>
          <w:tcPr>
            <w:tcW w:type="dxa" w:w="1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Escala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C1 — Completude funcional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Log de execução dos três cenários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Execução sem erros não tratados; saída esperada produzida em cada etapa</w:t>
            </w:r>
          </w:p>
        </w:tc>
        <w:tc>
          <w:tcPr>
            <w:tcW w:type="dxa" w:w="1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Binária: atendido / não atendido por cenário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Scripts + inspeção de logs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C2 — Correção criptográfica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Hashes SHA-256 (on-chain e recalculado)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Igualdade bit a bit entre hash on-chain e hash recalculado pelo verificador</w:t>
            </w:r>
          </w:p>
        </w:tc>
        <w:tc>
          <w:tcPr>
            <w:tcW w:type="dxa" w:w="1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Binária: iguais / divergentes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Etherscan + script de recálculo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C3 — Divulgação seletiva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Payload da apresentação SD-JWT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Atributos não selecionados ausentes da apresentação; não recuperáveis sem disclosures correspondentes</w:t>
            </w:r>
          </w:p>
        </w:tc>
        <w:tc>
          <w:tcPr>
            <w:tcW w:type="dxa" w:w="1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Binária: oculto / recuperável por atributo não divulgado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Inspeção de JWT + tentativa de recuperação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C4 — Key Binding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Resultado do verificador para apresentação manipulada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Rejeição com erro explícito de Key Binding ao submeter apresentação sem KB-JWT ou com assinatura inválida</w:t>
            </w:r>
          </w:p>
        </w:tc>
        <w:tc>
          <w:tcPr>
            <w:tcW w:type="dxa" w:w="1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Binária: rejeitada com erro KB / aceita indevidamente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Script verificador + log de saída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C5 — Template visual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Saída visual do componente de renderização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Cartão renderizado exibe atributos divulgados conforme layout do template sem distorções</w:t>
            </w:r>
          </w:p>
        </w:tc>
        <w:tc>
          <w:tcPr>
            <w:tcW w:type="dxa" w:w="1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Qualitativa: conforme / não conforme por elemento visual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Inspeção visual do cartão renderizado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C6 — Aderência LGPD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Análise documental da arquitetura versus princípios do Art. 6° LGPD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Para cada um dos 10 princípios: mecanismo arquitetural de atendimento identificado ou limitação registrada</w:t>
            </w:r>
          </w:p>
        </w:tc>
        <w:tc>
          <w:tcPr>
            <w:tcW w:type="dxa" w:w="1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Qualitativa: atendido / atendido parcialmente / não atendido / não aplicável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Análise documental + checklist</w:t>
            </w:r>
          </w:p>
        </w:tc>
      </w:tr>
    </w:tbl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Fonte: elaborada pelo autor (2025).</w:t>
      </w:r>
    </w:p>
    <w:p>
      <w:pPr>
        <w:pStyle w:val="Heading2"/>
        <w:spacing w:after="180" w:before="320"/>
      </w:pPr>
      <w:r>
        <w:t xml:space="preserve">6. Forma de Registro e Rastreabilidade</w:t>
      </w:r>
    </w:p>
    <w:p>
      <w:pPr>
        <w:spacing w:after="200" w:line="360"/>
        <w:jc w:val="both"/>
      </w:pPr>
      <w:r>
        <w:t xml:space="preserve">Todas as evidências coletadas durante a execução dos cenários são registradas em planilha estruturada, organizada por critério e por cenário, preenchida no momento da execução. Para cada registro, são documentados: o valor observado, o valor esperado, o resultado da comparação e a referência à evidência verificável (hash de transação, trecho de log ou captura do payload). Esta abordagem garante a rastreabilidade das conclusões às evidências primárias e permite auditoria independente por terceiros, em conformidade com o guideline de avaliação da DSR (HEVNER et al., 2004).</w:t>
      </w:r>
    </w:p>
    <w:p>
      <w:pPr>
        <w:spacing w:after="200" w:line="360"/>
        <w:jc w:val="both"/>
      </w:pPr>
      <w:r>
        <w:t xml:space="preserve">As evidências on-chain (transações na testnet Sepolia) são públicas e permanentemente acessíveis via Sepolia Etherscan, de forma que qualquer parte pode verificar independentemente os hashes e estados registrados. As evidências off-chain (payloads JWT, logs) são disponibilizadas como apêndice do trabalho ou repositório vinculado, conforme diretrizes institucionais de entrega.</w:t>
      </w:r>
    </w:p>
    <w:p>
      <w:pPr>
        <w:pStyle w:val="Heading2"/>
        <w:spacing w:after="180" w:before="320"/>
      </w:pPr>
      <w:r>
        <w:t xml:space="preserve">7. Limitações do Processo de Coleta</w:t>
      </w:r>
    </w:p>
    <w:p>
      <w:pPr>
        <w:spacing w:after="200" w:line="360"/>
        <w:jc w:val="both"/>
      </w:pPr>
      <w:r>
        <w:t xml:space="preserve">Três limitações do processo de coleta merecem registro explícito, em alinhamento com as ameaças à validade descritas na seção 3.6 da Metodologia:</w:t>
      </w:r>
    </w:p>
    <w:p>
      <w:pPr>
        <w:spacing w:after="200" w:line="360"/>
        <w:jc w:val="both"/>
      </w:pPr>
      <w:r>
        <w:rPr>
          <w:b/>
          <w:bCs/>
        </w:rPr>
        <w:t xml:space="preserve">Execução pelo próprio autor: </w:t>
      </w:r>
      <w:r>
        <w:t xml:space="preserve">os cenários são executados e observados pelo mesmo pesquisador que projetou o artefato, o que pode introduzir viés de confirmação na interpretação dos resultados. Esta limitação é mitigada pela natureza objetiva das métricas (igualdade de hashes, rejeição ou aceitação de apresentação), que dependem do comportamento do sistema e não de julgamento subjetivo.</w:t>
      </w:r>
    </w:p>
    <w:p>
      <w:pPr>
        <w:spacing w:after="200" w:line="360"/>
        <w:jc w:val="both"/>
      </w:pPr>
      <w:r>
        <w:rPr>
          <w:b/>
          <w:bCs/>
        </w:rPr>
        <w:t xml:space="preserve">Ausência de múltiplas execuções: </w:t>
      </w:r>
      <w:r>
        <w:t xml:space="preserve">cada cenário é executado uma vez no ambiente de demonstração, sem repetição para verificação de estabilidade. Em contextos de prova de conceito de DSR, isso é metodologicamente adequado; contudo, implica que variações decorrentes de condições transientes da testnet (latência, congestionamento) não são capturadas.</w:t>
      </w:r>
    </w:p>
    <w:p>
      <w:pPr>
        <w:spacing w:after="200" w:line="360"/>
        <w:jc w:val="both"/>
      </w:pPr>
      <w:r>
        <w:rPr>
          <w:b/>
          <w:bCs/>
        </w:rPr>
        <w:t xml:space="preserve">Ambiente de testnet versus produção: </w:t>
      </w:r>
      <w:r>
        <w:t xml:space="preserve">as evidências coletadas são válidas para o contexto da testnet Sepolia e não refletem necessariamente o comportamento em mainnet Ethereum, especialmente no que diz respeito a custos de gas e tempo de confirmação de transações.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2026-05-20T02:27:00.644Z</dcterms:created>
  <dcterms:modified xsi:type="dcterms:W3CDTF">2026-05-20T02:27:00.660Z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