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t xml:space="preserve">2.N Estado da Arte e Identificação da Lacuna de Pesquisa</w:t>
      </w:r>
    </w:p>
    <w:p>
      <w:pPr>
        <w:spacing w:after="200" w:line="360"/>
        <w:jc w:val="both"/>
      </w:pPr>
      <w:r>
        <w:t xml:space="preserve">Esta seção apresenta o levantamento sistemático realizado para mapear o estado da arte sobre o uso combinado de Soulbound Tokens (SBT), Verifiable Credentials com SD-JWT e mecanismos de divulgação seletiva no domínio da certificação acadêmica, com particular atenção ao contexto brasileiro e à aderência a normas de proteção de dados. O objetivo da revisão é triplo: (i) demonstrar que o problema abordado neste trabalho possui relevância documentada na literatura científica recente; (ii) caracterizar com precisão o estágio atual das soluções propostas e suas limitações; e (iii) identificar, de forma fundamentada, a lacuna específica que o presente trabalho busca endereçar. A estruturação desta seção segue o método: descrição do procedimento de busca (2.N.1), apresentação dos trabalhos relacionados encontrados (2.N.2), análise comparativa por meio de matriz de propriedades (2.N.3) e síntese da lacuna identificada (2.N.4).</w:t>
      </w:r>
    </w:p>
    <w:p>
      <w:pPr>
        <w:pStyle w:val="Heading2"/>
        <w:spacing w:after="180" w:before="320"/>
      </w:pPr>
      <w:r>
        <w:t xml:space="preserve">2.N.1 Procedimento de Busca Sistemática</w:t>
      </w:r>
    </w:p>
    <w:p>
      <w:pPr>
        <w:spacing w:after="200" w:line="360"/>
        <w:jc w:val="both"/>
      </w:pPr>
      <w:r>
        <w:t xml:space="preserve">O levantamento bibliográfico foi conduzido segundo um protocolo de busca estruturado, inspirado em diretrizes de revisões sistemáticas adaptadas ao escopo de um trabalho de conclusão de curso. A escolha por uma abordagem sistemática, e não por revisão narrativa, fundamenta-se na necessidade metodológica de evidenciar com rigor a existência (ou ausência) de trabalhos anteriores que abordem o arranjo arquitetural específico investigado, requisito necessário para a justificativa da pesquisa exploratória adotada na metodologia (ver Capítulo 3).</w:t>
      </w:r>
    </w:p>
    <w:p>
      <w:pPr>
        <w:pStyle w:val="Heading3"/>
        <w:spacing w:after="180" w:before="320"/>
      </w:pPr>
      <w:r>
        <w:t xml:space="preserve">2.N.1.1 Bases de dados consultadas</w:t>
      </w:r>
    </w:p>
    <w:p>
      <w:pPr>
        <w:spacing w:after="200" w:line="360"/>
        <w:jc w:val="both"/>
      </w:pPr>
      <w:r>
        <w:t xml:space="preserve">Foram consultadas seis bases de dados, selecionadas por critérios de cobertura, relevância para a área de Ciência da Computação e representatividade nacional e internacional:</w:t>
      </w:r>
    </w:p>
    <w:p>
      <w:pPr>
        <w:spacing w:after="140" w:line="340"/>
        <w:ind w:left="360"/>
        <w:jc w:val="both"/>
      </w:pPr>
      <w:r>
        <w:rPr>
          <w:b/>
          <w:bCs/>
        </w:rPr>
        <w:t xml:space="preserve">Scopus: </w:t>
      </w:r>
      <w:r>
        <w:t xml:space="preserve">principal base internacional consultada, em razão de sua ampla cobertura multidisciplinar, da possibilidade de uso de operadores booleanos sofisticados via Advanced Search e de sua aceitação como referência em revisões sistemáticas em Engenharia de Software e Ciência da Computação.</w:t>
      </w:r>
    </w:p>
    <w:p>
      <w:pPr>
        <w:spacing w:after="140" w:line="340"/>
        <w:ind w:left="360"/>
        <w:jc w:val="both"/>
      </w:pPr>
      <w:r>
        <w:rPr>
          <w:b/>
          <w:bCs/>
        </w:rPr>
        <w:t xml:space="preserve">IEEE Xplore: </w:t>
      </w:r>
      <w:r>
        <w:t xml:space="preserve">base especializada em publicações de engenharia elétrica, eletrônica, computação e tecnologia da informação, fonte primária de conferências relevantes na área de blockchain e identidade digital.</w:t>
      </w:r>
    </w:p>
    <w:p>
      <w:pPr>
        <w:spacing w:after="140" w:line="340"/>
        <w:ind w:left="360"/>
        <w:jc w:val="both"/>
      </w:pPr>
      <w:r>
        <w:rPr>
          <w:b/>
          <w:bCs/>
        </w:rPr>
        <w:t xml:space="preserve">ACM Digital Library: </w:t>
      </w:r>
      <w:r>
        <w:t xml:space="preserve">base da Association for Computing Machinery, com cobertura de conferências e periódicos centrais para Ciência da Computação.</w:t>
      </w:r>
    </w:p>
    <w:p>
      <w:pPr>
        <w:spacing w:after="140" w:line="340"/>
        <w:ind w:left="360"/>
        <w:jc w:val="both"/>
      </w:pPr>
      <w:r>
        <w:rPr>
          <w:b/>
          <w:bCs/>
        </w:rPr>
        <w:t xml:space="preserve">Google Scholar: </w:t>
      </w:r>
      <w:r>
        <w:t xml:space="preserve">utilizado em caráter complementar, para garimpagem de trabalhos não indexados nas bases anteriores e mapeamento de literatura cinzenta acadêmica (dissertações, teses e working papers).</w:t>
      </w:r>
    </w:p>
    <w:p>
      <w:pPr>
        <w:spacing w:after="140" w:line="340"/>
        <w:ind w:left="360"/>
        <w:jc w:val="both"/>
      </w:pPr>
      <w:r>
        <w:rPr>
          <w:b/>
          <w:bCs/>
        </w:rPr>
        <w:t xml:space="preserve">SciELO: </w:t>
      </w:r>
      <w:r>
        <w:t xml:space="preserve">base latino-americana, consultada para identificação de produção científica em português.</w:t>
      </w:r>
    </w:p>
    <w:p>
      <w:pPr>
        <w:spacing w:after="140" w:line="340"/>
        <w:ind w:left="360"/>
        <w:jc w:val="both"/>
      </w:pPr>
      <w:r>
        <w:rPr>
          <w:b/>
          <w:bCs/>
        </w:rPr>
        <w:t xml:space="preserve">BDTD/CAPES: </w:t>
      </w:r>
      <w:r>
        <w:t xml:space="preserve">Biblioteca Digital de Teses e Dissertações e Catálogo de Teses da CAPES, consultados para identificação de trabalhos brasileiros de pós-graduação no domínio investigado.</w:t>
      </w:r>
    </w:p>
    <w:p>
      <w:pPr>
        <w:pStyle w:val="Heading3"/>
        <w:spacing w:after="180" w:before="320"/>
      </w:pPr>
      <w:r>
        <w:t xml:space="preserve">2.N.1.2 Estratégia de busca em camadas</w:t>
      </w:r>
    </w:p>
    <w:p>
      <w:pPr>
        <w:spacing w:after="200" w:line="360"/>
        <w:jc w:val="both"/>
      </w:pPr>
      <w:r>
        <w:t xml:space="preserve">A estratégia de busca foi estruturada em três camadas conceituais cumulativas, organizadas pelo grau de especificidade do recorte. Esta abordagem em funil tem como objetivo metodológico permitir tanto a quantificação progressiva da redução de trabalhos relevantes — evidência empírica da especificidade do recorte — quanto a identificação de trabalhos correlatos em níveis intermediários de proximidade temática.</w:t>
      </w:r>
    </w:p>
    <w:p>
      <w:pPr>
        <w:spacing w:after="200" w:line="360"/>
        <w:jc w:val="both"/>
      </w:pPr>
      <w:r>
        <w:t xml:space="preserve">As três camadas conceituais são:</w:t>
      </w:r>
    </w:p>
    <w:p>
      <w:pPr>
        <w:spacing w:after="200" w:line="360"/>
        <w:jc w:val="both"/>
      </w:pPr>
      <w:r>
        <w:rPr>
          <w:b/>
          <w:bCs/>
        </w:rPr>
        <w:t xml:space="preserve">Camada 1 — Mapeamento da arquitetura: </w:t>
      </w:r>
      <w:r>
        <w:t xml:space="preserve">intersecção entre o conceito de Soulbound Token (e variantes terminológicas) e o conceito de Verifiable Credential com divulgação seletiva. O objetivo é identificar trabalhos que combinem âncora on-chain não-transferível com formato de credencial portátil que permita revelação seletiva de atributos.</w:t>
      </w:r>
    </w:p>
    <w:p>
      <w:pPr>
        <w:spacing w:after="200" w:line="360"/>
        <w:jc w:val="both"/>
      </w:pPr>
      <w:r>
        <w:rPr>
          <w:b/>
          <w:bCs/>
        </w:rPr>
        <w:t xml:space="preserve">Camada 2 — Domínio acadêmico: </w:t>
      </w:r>
      <w:r>
        <w:t xml:space="preserve">à intersecção da Camada 1, adiciona-se o filtro de domínio de credenciais acadêmicas (diploma, certificado educacional, credenciamento). O objetivo é identificar trabalhos que apliquem a arquitetura ao problema específico investigado neste trabalho.</w:t>
      </w:r>
    </w:p>
    <w:p>
      <w:pPr>
        <w:spacing w:after="200" w:line="360"/>
        <w:jc w:val="both"/>
      </w:pPr>
      <w:r>
        <w:rPr>
          <w:b/>
          <w:bCs/>
        </w:rPr>
        <w:t xml:space="preserve">Camada 3 — Contexto regulatório: </w:t>
      </w:r>
      <w:r>
        <w:t xml:space="preserve">à intersecção da Camada 2, adiciona-se o filtro de proteção de dados (LGPD, GDPR, regulação de privacidade). O objetivo é verificar se há trabalhos que avaliem a arquitetura sob ótica regulatória.</w:t>
      </w:r>
    </w:p>
    <w:p>
      <w:pPr>
        <w:spacing w:after="200" w:line="360"/>
        <w:jc w:val="both"/>
      </w:pPr>
      <w:r>
        <w:t xml:space="preserve">Em paralelo às três camadas, foi conduzida uma busca específica para o contexto brasileiro, combinando termos amplos sobre tecnologia de registro distribuído com termos sobre certificação acadêmica e referências geográficas/normativas ao Brasil.</w:t>
      </w:r>
    </w:p>
    <w:p>
      <w:pPr>
        <w:pStyle w:val="Heading3"/>
        <w:spacing w:after="180" w:before="320"/>
      </w:pPr>
      <w:r>
        <w:t xml:space="preserve">2.N.1.3 Strings de busca utilizadas</w:t>
      </w:r>
    </w:p>
    <w:p>
      <w:pPr>
        <w:spacing w:after="200" w:line="360"/>
        <w:jc w:val="both"/>
      </w:pPr>
      <w:r>
        <w:t xml:space="preserve">As strings de busca foram construídas com base em três blocos terminológicos, conectados por operador AND, com sinônimos e variantes ortográficas conectados por OR dentro de cada bloco. A escolha dos termos partiu de revisão exploratória inicial e foi calibrada para equilibrar precisão e cobertura.</w:t>
      </w:r>
    </w:p>
    <w:p>
      <w:pPr>
        <w:spacing w:after="200" w:line="360"/>
        <w:jc w:val="both"/>
      </w:pPr>
      <w:r>
        <w:rPr>
          <w:b/>
          <w:bCs/>
        </w:rPr>
        <w:t xml:space="preserve">Bloco A (arquitetura — token): </w:t>
      </w:r>
      <w:r>
        <w:t xml:space="preserve">"soulbound token", "soulbound tokens", "soulbound", "SBT", "non-transferable token", "non-transferable NFT", "identity-bound NFT", "identity-bound token".</w:t>
      </w:r>
    </w:p>
    <w:p>
      <w:pPr>
        <w:spacing w:after="200" w:line="360"/>
        <w:jc w:val="both"/>
      </w:pPr>
      <w:r>
        <w:rPr>
          <w:b/>
          <w:bCs/>
        </w:rPr>
        <w:t xml:space="preserve">Bloco B (arquitetura — credencial): </w:t>
      </w:r>
      <w:r>
        <w:t xml:space="preserve">"verifiable credential", "verifiable credentials", "SD-JWT", "selective disclosure JWT", "selective disclosure", "BBS+ signature".</w:t>
      </w:r>
    </w:p>
    <w:p>
      <w:pPr>
        <w:spacing w:after="200" w:line="360"/>
        <w:jc w:val="both"/>
      </w:pPr>
      <w:r>
        <w:rPr>
          <w:b/>
          <w:bCs/>
        </w:rPr>
        <w:t xml:space="preserve">Bloco C (domínio): </w:t>
      </w:r>
      <w:r>
        <w:t xml:space="preserve">"academic credential", "academic certificate", "diploma", "educational certificate", "digital diploma", "academic degree", "credentialing".</w:t>
      </w:r>
    </w:p>
    <w:p>
      <w:pPr>
        <w:spacing w:after="200" w:line="360"/>
        <w:jc w:val="both"/>
      </w:pPr>
      <w:r>
        <w:rPr>
          <w:b/>
          <w:bCs/>
        </w:rPr>
        <w:t xml:space="preserve">Bloco D (regulação): </w:t>
      </w:r>
      <w:r>
        <w:t xml:space="preserve">"LGPD", "GDPR", "data protection", "privacy regulation", "personal data protection".</w:t>
      </w:r>
    </w:p>
    <w:p>
      <w:pPr>
        <w:spacing w:after="200" w:line="360"/>
        <w:jc w:val="both"/>
      </w:pPr>
      <w:r>
        <w:rPr>
          <w:b/>
          <w:bCs/>
        </w:rPr>
        <w:t xml:space="preserve">Bloco E (contexto brasileiro): </w:t>
      </w:r>
      <w:r>
        <w:t xml:space="preserve">"Brazil", "Brasil", "LGPD", "MEC", "diploma digital", "credencial acadêmica", "certificação acadêmica".</w:t>
      </w:r>
    </w:p>
    <w:p>
      <w:pPr>
        <w:spacing w:after="200" w:line="360"/>
        <w:jc w:val="both"/>
      </w:pPr>
      <w:r>
        <w:t xml:space="preserve">As camadas de busca correspondem às seguintes intersecções:</w:t>
      </w:r>
    </w:p>
    <w:p>
      <w:pPr>
        <w:pStyle w:val="ListParagraph"/>
        <w:numPr>
          <w:ilvl w:val="0"/>
          <w:numId w:val="2"/>
        </w:numPr>
        <w:spacing w:after="140" w:line="340"/>
        <w:jc w:val="both"/>
      </w:pPr>
      <w:r>
        <w:t xml:space="preserve">Camada 1: A AND B</w:t>
      </w:r>
    </w:p>
    <w:p>
      <w:pPr>
        <w:pStyle w:val="ListParagraph"/>
        <w:numPr>
          <w:ilvl w:val="0"/>
          <w:numId w:val="2"/>
        </w:numPr>
        <w:spacing w:after="140" w:line="340"/>
        <w:jc w:val="both"/>
      </w:pPr>
      <w:r>
        <w:t xml:space="preserve">Camada 2: A AND B AND C</w:t>
      </w:r>
    </w:p>
    <w:p>
      <w:pPr>
        <w:pStyle w:val="ListParagraph"/>
        <w:numPr>
          <w:ilvl w:val="0"/>
          <w:numId w:val="2"/>
        </w:numPr>
        <w:spacing w:after="140" w:line="340"/>
        <w:jc w:val="both"/>
      </w:pPr>
      <w:r>
        <w:t xml:space="preserve">Camada 3: A AND B AND C AND D</w:t>
      </w:r>
    </w:p>
    <w:p>
      <w:pPr>
        <w:pStyle w:val="ListParagraph"/>
        <w:numPr>
          <w:ilvl w:val="0"/>
          <w:numId w:val="2"/>
        </w:numPr>
        <w:spacing w:after="140" w:line="340"/>
        <w:jc w:val="both"/>
      </w:pPr>
      <w:r>
        <w:t xml:space="preserve">Busca Brasileira: (blockchain OR verifiable credential OR soulbound) AND C AND E</w:t>
      </w:r>
    </w:p>
    <w:p>
      <w:pPr>
        <w:pStyle w:val="Heading3"/>
        <w:spacing w:after="180" w:before="320"/>
      </w:pPr>
      <w:r>
        <w:t xml:space="preserve">2.N.1.4 Critérios de inclusão e exclusão</w:t>
      </w:r>
    </w:p>
    <w:p>
      <w:pPr>
        <w:spacing w:after="200" w:line="360"/>
        <w:jc w:val="both"/>
      </w:pPr>
      <w:r>
        <w:t xml:space="preserve">Para garantir a relevância e qualidade do corpus analisado, foram aplicados os seguintes critérios:</w:t>
      </w:r>
    </w:p>
    <w:p>
      <w:pPr>
        <w:spacing w:after="200" w:line="360"/>
        <w:jc w:val="both"/>
      </w:pPr>
      <w:r>
        <w:rPr>
          <w:b/>
          <w:bCs/>
        </w:rPr>
        <w:t xml:space="preserve">Critérios de inclusão:</w:t>
      </w:r>
    </w:p>
    <w:p>
      <w:pPr>
        <w:spacing w:after="140" w:line="340"/>
        <w:ind w:left="360"/>
        <w:jc w:val="both"/>
      </w:pPr>
      <w:r>
        <w:rPr>
          <w:b/>
          <w:bCs/>
        </w:rPr>
        <w:t xml:space="preserve">(I1) </w:t>
      </w:r>
      <w:r>
        <w:t xml:space="preserve">publicações no período de janeiro de 2022 a dezembro de 2025. O corte temporal de 2022 acompanha a consolidação conceitual do termo Soulbound Token na literatura, marcada pela publicação do artigo seminal de Weyl, Ohlhaver e Buterin (2022) intitulado "Decentralized Society: Finding Web3's Soul";</w:t>
      </w:r>
    </w:p>
    <w:p>
      <w:pPr>
        <w:spacing w:after="140" w:line="340"/>
        <w:ind w:left="360"/>
        <w:jc w:val="both"/>
      </w:pPr>
      <w:r>
        <w:rPr>
          <w:b/>
          <w:bCs/>
        </w:rPr>
        <w:t xml:space="preserve">(I2) </w:t>
      </w:r>
      <w:r>
        <w:t xml:space="preserve">publicações em inglês ou português;</w:t>
      </w:r>
    </w:p>
    <w:p>
      <w:pPr>
        <w:spacing w:after="140" w:line="340"/>
        <w:ind w:left="360"/>
        <w:jc w:val="both"/>
      </w:pPr>
      <w:r>
        <w:rPr>
          <w:b/>
          <w:bCs/>
        </w:rPr>
        <w:t xml:space="preserve">(I3) </w:t>
      </w:r>
      <w:r>
        <w:t xml:space="preserve">artigos em periódicos com revisão por pares, artigos em anais de conferências indexadas, dissertações e teses defendidas em programas de pós-graduação;</w:t>
      </w:r>
    </w:p>
    <w:p>
      <w:pPr>
        <w:spacing w:after="140" w:line="340"/>
        <w:ind w:left="360"/>
        <w:jc w:val="both"/>
      </w:pPr>
      <w:r>
        <w:rPr>
          <w:b/>
          <w:bCs/>
        </w:rPr>
        <w:t xml:space="preserve">(I4) </w:t>
      </w:r>
      <w:r>
        <w:t xml:space="preserve">trabalhos que abordam explicitamente, no mínimo, dois dos blocos terminológicos definidos.</w:t>
      </w:r>
    </w:p>
    <w:p>
      <w:pPr>
        <w:spacing w:after="200" w:line="360"/>
        <w:jc w:val="both"/>
      </w:pPr>
      <w:r>
        <w:rPr>
          <w:b/>
          <w:bCs/>
        </w:rPr>
        <w:t xml:space="preserve">Critérios de exclusão:</w:t>
      </w:r>
    </w:p>
    <w:p>
      <w:pPr>
        <w:spacing w:after="140" w:line="340"/>
        <w:ind w:left="360"/>
        <w:jc w:val="both"/>
      </w:pPr>
      <w:r>
        <w:rPr>
          <w:b/>
          <w:bCs/>
        </w:rPr>
        <w:t xml:space="preserve">(E1) </w:t>
      </w:r>
      <w:r>
        <w:t xml:space="preserve">publicações fora do período de corte temporal;</w:t>
      </w:r>
    </w:p>
    <w:p>
      <w:pPr>
        <w:spacing w:after="140" w:line="340"/>
        <w:ind w:left="360"/>
        <w:jc w:val="both"/>
      </w:pPr>
      <w:r>
        <w:rPr>
          <w:b/>
          <w:bCs/>
        </w:rPr>
        <w:t xml:space="preserve">(E2) </w:t>
      </w:r>
      <w:r>
        <w:t xml:space="preserve">trabalhos puramente especulativos, sem proposta técnica concreta;</w:t>
      </w:r>
    </w:p>
    <w:p>
      <w:pPr>
        <w:spacing w:after="140" w:line="340"/>
        <w:ind w:left="360"/>
        <w:jc w:val="both"/>
      </w:pPr>
      <w:r>
        <w:rPr>
          <w:b/>
          <w:bCs/>
        </w:rPr>
        <w:t xml:space="preserve">(E3) </w:t>
      </w:r>
      <w:r>
        <w:t xml:space="preserve">white papers comerciais sem revisão por pares (excetuam-se RFCs do IETF e specifications do W3C, que possuem caráter normativo reconhecido);</w:t>
      </w:r>
    </w:p>
    <w:p>
      <w:pPr>
        <w:spacing w:after="140" w:line="340"/>
        <w:ind w:left="360"/>
        <w:jc w:val="both"/>
      </w:pPr>
      <w:r>
        <w:rPr>
          <w:b/>
          <w:bCs/>
        </w:rPr>
        <w:t xml:space="preserve">(E4) </w:t>
      </w:r>
      <w:r>
        <w:t xml:space="preserve">trabalhos que mencionam os termos dos blocos apenas de forma tangencial, sem desenvolvimento substantivo;</w:t>
      </w:r>
    </w:p>
    <w:p>
      <w:pPr>
        <w:spacing w:after="140" w:line="340"/>
        <w:ind w:left="360"/>
        <w:jc w:val="both"/>
      </w:pPr>
      <w:r>
        <w:rPr>
          <w:b/>
          <w:bCs/>
        </w:rPr>
        <w:t xml:space="preserve">(E5) </w:t>
      </w:r>
      <w:r>
        <w:t xml:space="preserve">trabalhos sobre Soulbound Tokens em domínios não relacionados a credenciais (por exemplo, governança de DAOs ou tokens de reputação puramente).</w:t>
      </w:r>
    </w:p>
    <w:p>
      <w:pPr>
        <w:pStyle w:val="Heading3"/>
        <w:spacing w:after="180" w:before="320"/>
      </w:pPr>
      <w:r>
        <w:t xml:space="preserve">2.N.1.5 Resultados quantitativos da busca</w:t>
      </w:r>
    </w:p>
    <w:p>
      <w:pPr>
        <w:spacing w:after="200" w:line="360"/>
        <w:jc w:val="both"/>
      </w:pPr>
      <w:r>
        <w:t xml:space="preserve">A Tabela 1 sintetiza os resultados quantitativos obtidos em cada base e camada de busca, registrando os retornos brutos, os trabalhos remanescentes após aplicação dos filtros temporais e os trabalhos efetivamente incluídos no corpus de análise após triagem por título, resumo e leitura completa.</w:t>
      </w:r>
    </w:p>
    <w:p>
      <w:pPr>
        <w:spacing w:after="100" w:before="160"/>
        <w:jc w:val="center"/>
      </w:pPr>
      <w:r>
        <w:rPr>
          <w:b/>
          <w:bCs/>
          <w:sz w:val="22"/>
          <w:szCs w:val="22"/>
        </w:rPr>
        <w:t xml:space="preserve">Tabela 1 — Resultados quantitativos do procedimento de busca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1500"/>
        <w:gridCol w:w="1300"/>
        <w:gridCol w:w="1304"/>
      </w:tblGrid>
      <w:tr>
        <w:trPr>
          <w:tblHeader/>
        </w:trPr>
        <w:tc>
          <w:tcPr>
            <w:tcW w:type="dxa" w:w="1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18"/>
                <w:szCs w:val="18"/>
              </w:rPr>
              <w:t xml:space="preserve">Base</w:t>
            </w:r>
          </w:p>
        </w:tc>
        <w:tc>
          <w:tcPr>
            <w:tcW w:type="dxa" w:w="17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18"/>
                <w:szCs w:val="18"/>
              </w:rPr>
              <w:t xml:space="preserve">Estratégia</w:t>
            </w:r>
          </w:p>
        </w:tc>
        <w:tc>
          <w:tcPr>
            <w:tcW w:type="dxa" w:w="13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Retornos brutos</w:t>
            </w:r>
          </w:p>
        </w:tc>
        <w:tc>
          <w:tcPr>
            <w:tcW w:type="dxa" w:w="15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Após filtro temporal (2022-2025)</w:t>
            </w:r>
          </w:p>
        </w:tc>
        <w:tc>
          <w:tcPr>
            <w:tcW w:type="dxa" w:w="13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Após triagem</w:t>
            </w:r>
          </w:p>
        </w:tc>
        <w:tc>
          <w:tcPr>
            <w:tcW w:type="dxa" w:w="1304"/>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Incluídos para análise</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Scopus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Camada 1 (A AND B)</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Scopus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Camada 2 (A AND B AND C)</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0 (já em C1)</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Scopus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Camada 3 (A AND B AND C AND D)</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0 (já em C1)</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IEEE Xplore</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Camada 2 adaptada</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2</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0 (já em C1)</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ACM DL</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Camada 2 adaptada</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 (já em C1)</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0 novos</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Google Scholar</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Combinada (A AND B AND C)</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16</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14</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0 novos</w:t>
            </w:r>
          </w:p>
        </w:tc>
      </w:tr>
      <w:tr>
        <w:tc>
          <w:tcPr>
            <w:tcW w:type="dxa" w:w="1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Google Scholar</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Busca Brasileira (BR)</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22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22</w:t>
            </w:r>
          </w:p>
        </w:tc>
        <w:tc>
          <w:tcPr>
            <w:tcW w:type="dxa" w:w="13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5</w:t>
            </w:r>
          </w:p>
        </w:tc>
        <w:tc>
          <w:tcPr>
            <w:tcW w:type="dxa" w:w="13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3</w:t>
            </w:r>
          </w:p>
        </w:tc>
      </w:tr>
      <w:tr>
        <w:tc>
          <w:tcPr>
            <w:tcW w:type="dxa" w:w="14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left"/>
            </w:pPr>
            <w:r>
              <w:rPr>
                <w:b/>
                <w:bCs/>
                <w:sz w:val="18"/>
                <w:szCs w:val="18"/>
              </w:rPr>
              <w:t xml:space="preserve">TOTAL</w:t>
            </w:r>
          </w:p>
        </w:tc>
        <w:tc>
          <w:tcPr>
            <w:tcW w:type="dxa" w:w="17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left"/>
            </w:pPr>
            <w:r>
              <w:rPr>
                <w:b/>
                <w:bCs/>
                <w:sz w:val="18"/>
                <w:szCs w:val="18"/>
              </w:rPr>
              <w:t xml:space="preserve">Corpus consolidado</w:t>
            </w:r>
          </w:p>
        </w:tc>
        <w:tc>
          <w:tcPr>
            <w:tcW w:type="dxa" w:w="13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center"/>
            </w:pPr>
            <w:r>
              <w:rPr>
                <w:b/>
                <w:bCs/>
                <w:sz w:val="18"/>
                <w:szCs w:val="18"/>
              </w:rPr>
              <w:t xml:space="preserve">—</w:t>
            </w:r>
          </w:p>
        </w:tc>
        <w:tc>
          <w:tcPr>
            <w:tcW w:type="dxa" w:w="15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center"/>
            </w:pPr>
            <w:r>
              <w:rPr>
                <w:b/>
                <w:bCs/>
                <w:sz w:val="18"/>
                <w:szCs w:val="18"/>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center"/>
            </w:pPr>
            <w:r>
              <w:rPr>
                <w:b/>
                <w:bCs/>
                <w:sz w:val="18"/>
                <w:szCs w:val="18"/>
              </w:rPr>
              <w:t xml:space="preserve">—</w:t>
            </w:r>
          </w:p>
        </w:tc>
        <w:tc>
          <w:tcPr>
            <w:tcW w:type="dxa" w:w="1304"/>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tcPr>
          <w:p>
            <w:pPr>
              <w:spacing w:after="60"/>
              <w:jc w:val="center"/>
            </w:pPr>
            <w:r>
              <w:rPr>
                <w:b/>
                <w:bCs/>
                <w:sz w:val="18"/>
                <w:szCs w:val="18"/>
              </w:rPr>
              <w:t xml:space="preserve">6</w:t>
            </w:r>
          </w:p>
        </w:tc>
      </w:tr>
    </w:tbl>
    <w:p>
      <w:pPr>
        <w:spacing w:after="240"/>
        <w:jc w:val="center"/>
      </w:pPr>
      <w:r>
        <w:rPr>
          <w:i/>
          <w:iCs/>
          <w:sz w:val="20"/>
          <w:szCs w:val="20"/>
        </w:rPr>
        <w:t xml:space="preserve">Fonte: elaborada pelo autor (2025).</w:t>
      </w:r>
    </w:p>
    <w:p>
      <w:pPr>
        <w:spacing w:after="200" w:line="360"/>
        <w:jc w:val="both"/>
      </w:pPr>
      <w:r>
        <w:t xml:space="preserve">Cabe registrar uma limitação operacional do procedimento: a consulta à Scopus com a string brasileira retornou erro de sintaxe persistente, motivo pelo qual a busca brasileira foi conduzida no Google Scholar com query adaptada. Esta limitação é mitigada pelo fato de que o Google Scholar indexa amplamente a produção acadêmica brasileira, incluindo repositórios institucionais (UFSC, PUC-SP, IADIS), anais da Sociedade Brasileira de Computação e teses e dissertações catalogadas. A consulta à ACM Digital Library, inicialmente prejudicada por restrições de filtro temporal, foi posteriormente refeita com acesso premium obtido via Portal de Periódicos da CAPES, retornando três proceedings, dos quais apenas o PCI '24 contém trabalho relevante (M.U.St) — já identificado também via Scopus.</w:t>
      </w:r>
    </w:p>
    <w:p>
      <w:pPr>
        <w:spacing w:after="200" w:line="360"/>
        <w:jc w:val="both"/>
      </w:pPr>
      <w:r>
        <w:t xml:space="preserve">Foram excluídos do corpus quatro trabalhos identificados durante a triagem por critérios distintos. Dois pelo critério E1 (período): Ilechukwu, Hong e Nag (2026), publicação de 2026 sobre tokenização hierárquica em blockchain permissionada para documentos financeiros; e o trabalho de Rehtaliani e Alamsyah (2026) sobre micro-credenciais em educação vocacional na Indonésia. Dois pelo critério E5 (domínio fora do escopo): Pasini et al. (2022), publicado no ICBTA '22, sobre Self-Sovereign Identity para verificação de envios em e-commerce e cadeia de suprimentos; e Hou et al. (2025), publicado na WWW '25, propondo o esquema zkBID para vinculação anônima entre contas blockchain e identidades pessoais via zero-knowledge proofs, no contexto genérico de identidade Web 3.0 e combate a sybil attacks. Todos os trabalhos excluídos foram registrados em planilha à parte para fins de transparência metodológica e auditabilidade do protocolo.</w:t>
      </w:r>
    </w:p>
    <w:p>
      <w:pPr>
        <w:pStyle w:val="Heading3"/>
        <w:spacing w:after="180" w:before="320"/>
      </w:pPr>
      <w:r>
        <w:t xml:space="preserve">2.N.1.6 Saturação convergente entre bases</w:t>
      </w:r>
    </w:p>
    <w:p>
      <w:pPr>
        <w:spacing w:after="200" w:line="360"/>
        <w:jc w:val="both"/>
      </w:pPr>
      <w:r>
        <w:t xml:space="preserve">A análise dos resultados quantitativos da Tabela 1 revela um padrão de saturação convergente entre as bases consultadas, caracterizado pela identificação repetida do mesmo conjunto de trabalhos relevantes em bases independentes. O Scopus, o IEEE Xplore, a ACM Digital Library e o Google Scholar — bases com indexação independente, sintaxes de busca distintas e cobertura editorial parcialmente sobreposta — convergiram para o mesmo conjunto de três trabalhos internacionais relevantes (M.U.St, Blockchain-Based Credential Models e Block.Ed). Nenhuma base trouxe trabalho internacional novo que não estivesse presente em outra. Tal saturação constitui evidência empírica de que o levantamento atingiu cobertura suficiente para os fins desta pesquisa, alinhando-se a princípios de revisões sistemáticas em Engenharia de Software, segundo os quais a convergência entre fontes independentes é um indicador de completude do mapeamento. A complementaridade do Google Scholar para a busca brasileira, por sua vez, identificou três trabalhos nacionais não cobertos pelas bases internacionais, fechando a dimensão contextual do levantamento.</w:t>
      </w:r>
    </w:p>
    <w:p>
      <w:pPr>
        <w:pStyle w:val="Heading2"/>
        <w:spacing w:after="180" w:before="320"/>
      </w:pPr>
      <w:r>
        <w:t xml:space="preserve">2.N.2 Trabalhos Relacionados</w:t>
      </w:r>
    </w:p>
    <w:p>
      <w:pPr>
        <w:spacing w:after="200" w:line="360"/>
        <w:jc w:val="both"/>
      </w:pPr>
      <w:r>
        <w:t xml:space="preserve">O corpus consolidado de seis trabalhos é apresentado a seguir, organizado em duas categorias temáticas: (i) trabalhos internacionais com arquitetura próxima à proposta deste TCC, que combinam SBT com credenciais verificáveis no domínio acadêmico; e (ii) trabalhos brasileiros sobre certificação acadêmica baseada em blockchain, com arquitetura distinta mas contexto regulatório e institucional similar ao deste trabalho. A organização em duas categorias permite analisar separadamente a proximidade arquitetural (categoria i) e a proximidade contextual (categoria ii), evidenciando dimensões distintas da lacuna a ser identificada.</w:t>
      </w:r>
    </w:p>
    <w:p>
      <w:pPr>
        <w:pStyle w:val="Heading3"/>
        <w:spacing w:after="180" w:before="320"/>
      </w:pPr>
      <w:r>
        <w:t xml:space="preserve">2.N.2.1 Trabalhos internacionais com arquitetura SBT + Verifiable Credentials no domínio acadêmico</w:t>
      </w:r>
    </w:p>
    <w:p>
      <w:pPr>
        <w:pStyle w:val="Heading4"/>
        <w:spacing w:after="180" w:before="320"/>
      </w:pPr>
      <w:r>
        <w:t xml:space="preserve">T1. M.U.St — My University Studies (Polychronaki et al., 2024)</w:t>
      </w:r>
    </w:p>
    <w:p>
      <w:pPr>
        <w:spacing w:after="200" w:line="360"/>
        <w:jc w:val="both"/>
      </w:pPr>
      <w:r>
        <w:t xml:space="preserve">Polychronaki et al. (2024) apresentam o M.U.St (My University Studies), uma prova de conceito de aplicação descentralizada (DApp) destinada ao gerenciamento de identidade e ativos acadêmicos digitais em ambiente Web 3.0. O trabalho, conduzido por pesquisadores da University of West Attica (Grécia), é estruturalmente o mais próximo da proposta do presente TCC, na medida em que combina três elementos arquiteturais centrais: Decentralized Identifiers (DIDs), Soulbound Tokens (SBTs) e Verifiable Credentials (VCs).</w:t>
      </w:r>
    </w:p>
    <w:p>
      <w:pPr>
        <w:spacing w:after="200" w:line="360"/>
        <w:jc w:val="both"/>
      </w:pPr>
      <w:r>
        <w:t xml:space="preserve">A arquitetura proposta organiza-se em três camadas — Infrastructure Layer, Interaction Layer e Interoperability Layer — e introduz um protocolo próprio denominado Proof of Identity Ownership (PoIO), no qual o material criptográfico do estudante (endereço de carteira, chave privada, DID) é gerado localmente em dispositivo móvel. A geração do SBT pessoal do estudante na rede Ethereum privada do M.U.St ocorre após verificação por dois fatores via servidor de email institucional. As Verifiable Credentials são autocriadas para três tipos predefinidos — Student Pass, Library Pass e Restaurant Pass — e armazenadas em base de dados MongoDB privada hospedada pelo próprio sistema.</w:t>
      </w:r>
    </w:p>
    <w:p>
      <w:pPr>
        <w:spacing w:after="200" w:line="360"/>
        <w:jc w:val="both"/>
      </w:pPr>
      <w:r>
        <w:t xml:space="preserve">O mecanismo de privacidade adotado pelo M.U.St é arquitetural, não criptográfico. Na verificação, o estudante apresenta o DID da VC na forma de QR code, e o verificador consulta o blockchain para checar o vínculo entre o DID apresentado e um SBT válido, sem que os dados completos da credencial transitem pela rede. Como afirmam os próprios autores, este mecanismo permite ao estudante "demonstrar o DID de sua VC na forma de um QR Code e ser verificado, sem comprometer qualquer outra informação ao sistema ou ao verificador" (POLYCHRONAKI et al., 2024, p. 152, tradução nossa).</w:t>
      </w:r>
    </w:p>
    <w:p>
      <w:pPr>
        <w:spacing w:after="200" w:line="360"/>
        <w:jc w:val="both"/>
      </w:pPr>
      <w:r>
        <w:t xml:space="preserve">Cabe destacar uma constatação dos próprios autores na seção de revisão de literatura, particularmente relevante para a fundamentação da lacuna deste TCC:</w:t>
      </w:r>
    </w:p>
    <w:p>
      <w:pPr>
        <w:spacing w:after="200" w:before="160" w:line="280"/>
        <w:ind w:left="720" w:right="360"/>
        <w:jc w:val="both"/>
      </w:pPr>
      <w:r>
        <w:rPr>
          <w:i/>
          <w:iCs/>
          <w:sz w:val="22"/>
          <w:szCs w:val="22"/>
        </w:rPr>
        <w:t xml:space="preserve">To the best of our knowledge, no existing work proposes a blockchain-based solution for secure digital identity and asset management for the educational sector using the SSI model and Tokens.</w:t>
      </w:r>
      <w:r>
        <w:rPr>
          <w:sz w:val="22"/>
          <w:szCs w:val="22"/>
        </w:rPr>
        <w:t xml:space="preserve"> (POLYCHRONAKI et al., 2024, p. 150)</w:t>
      </w:r>
    </w:p>
    <w:p>
      <w:pPr>
        <w:spacing w:after="200" w:line="360"/>
        <w:jc w:val="both"/>
      </w:pPr>
      <w:r>
        <w:t xml:space="preserve">Esta declaração, publicada em conferência indexada (ACM/PCI 2024), constitui evidência adicional, externa ao presente trabalho, da existência de lacuna no domínio investigado. Reforça-se que a publicação do M.U.St em si não fecha a lacuna no que diz respeito ao arranjo específico proposto neste TCC, conforme detalhado nas seções subsequentes.</w:t>
      </w:r>
    </w:p>
    <w:p>
      <w:pPr>
        <w:spacing w:after="200" w:line="360"/>
        <w:jc w:val="both"/>
      </w:pPr>
      <w:r>
        <w:rPr>
          <w:b/>
          <w:bCs/>
        </w:rPr>
        <w:t xml:space="preserve">Limitações identificadas em relação à proposta deste trabalho:</w:t>
      </w:r>
      <w:r>
        <w:t xml:space="preserve"> (i) ausência de SD-JWT como formato da credencial — o M.U.St adota representação proprietária no MongoDB; (ii) ausência de Key Binding criptográfico no momento da apresentação — qualquer agente que obtenha o QR code do DID poderia, em princípio, apresentá-lo, sem que o verificador consiga distinguir o titular legítimo do portador acidental; (iii) operação em rede Ethereum privada com dependência de servidor web próprio, MongoDB próprio e servidor de email, comprometendo a portabilidade independente de infraestrutura; (iv) ausência de qualquer análise de aderência a marco regulatório de proteção de dados pessoais (LGPD ou GDPR); (v) contexto institucional europeu, alinhado ao eIDAS 2.0, sem aderência ao quadro normativo brasileiro.</w:t>
      </w:r>
    </w:p>
    <w:p>
      <w:pPr>
        <w:pStyle w:val="Heading4"/>
        <w:spacing w:after="180" w:before="320"/>
      </w:pPr>
      <w:r>
        <w:t xml:space="preserve">T2. Blockchain-Based Credential Models: Enhancing Verification with Soulbound Tokens (Rehtaliani; Alamsyah, 2024)</w:t>
      </w:r>
    </w:p>
    <w:p>
      <w:pPr>
        <w:spacing w:after="200" w:line="360"/>
        <w:jc w:val="both"/>
      </w:pPr>
      <w:r>
        <w:t xml:space="preserve">Rehtaliani e Alamsyah (2024), pesquisadores da Telkom University (Indonésia), propõem um modelo de verificação descentralizada de credenciais acadêmicas e profissionais baseado em Soulbound Tokens, alinhado ao rascunho do Ethereum EIP-4973. O trabalho parte de diagnóstico sobre vulnerabilidades de sistemas centralizados de verificação — escalabilidade limitada entre jurisdições, pontos únicos de falha e suscetibilidade a adulteração — e formaliza uma arquitetura conceitual com diagrama de casos de uso, fluxo de papéis dos atores e pseudocódigo modular para registro, mintagem e revogação automática baseada em tempo.</w:t>
      </w:r>
    </w:p>
    <w:p>
      <w:pPr>
        <w:spacing w:after="200" w:line="360"/>
        <w:jc w:val="both"/>
      </w:pPr>
      <w:r>
        <w:t xml:space="preserve">Os autores propõem armazenamento de dados sensíveis off-chain via IPFS, com a lógica de verificação executando inteiramente on-chain. Mencionam expressamente a divulgação seletiva como propriedade desejável, atribuída ao uso de Verifiable Credentials, sem contudo detalhar mecanismo criptográfico específico ou implementar protótipo funcional. Os próprios autores explicitam, ao final do trabalho, que "a contribuição limita-se ao modelo conceitual; implantação de protótipo e testes empíricos de desempenho são reservados para pesquisa futura" (REHTALIANI; ALAMSYAH, 2024, tradução nossa).</w:t>
      </w:r>
    </w:p>
    <w:p>
      <w:pPr>
        <w:spacing w:after="200" w:line="360"/>
        <w:jc w:val="both"/>
      </w:pPr>
      <w:r>
        <w:rPr>
          <w:b/>
          <w:bCs/>
        </w:rPr>
        <w:t xml:space="preserve">Limitações identificadas em relação à proposta deste trabalho:</w:t>
      </w:r>
      <w:r>
        <w:t xml:space="preserve"> (i) trabalho exclusivamente conceitual, sem implementação ou protótipo; (ii) ausência de SD-JWT — a divulgação seletiva é mencionada como propriedade desejável das VCs, sem mecanismo criptográfico definido; (iii) ausência de Key Binding; (iv) ausência de análise regulatória específica (LGPD ou GDPR); (v) contexto institucional asiático, sem aderência ao quadro normativo brasileiro.</w:t>
      </w:r>
    </w:p>
    <w:p>
      <w:pPr>
        <w:pStyle w:val="Heading4"/>
        <w:spacing w:after="180" w:before="320"/>
      </w:pPr>
      <w:r>
        <w:t xml:space="preserve">T3. Block.Ed — Secure Microcredential Management Through Blockchain (2024)</w:t>
      </w:r>
    </w:p>
    <w:p>
      <w:pPr>
        <w:spacing w:after="200" w:line="360"/>
        <w:jc w:val="both"/>
      </w:pPr>
      <w:r>
        <w:t xml:space="preserve">O projeto Block.Ed propõe a integração de tecnologia blockchain ao processo de design, emissão e verificação de microcredenciais no contexto de educação de adultos. Os autores justificam a iniciativa pela crescente demanda por habilidades flexíveis, verificáveis e amplamente reconhecidas, identificando como desafios principais as questões de autenticidade, interoperabilidade e privacidade nos sistemas atuais.</w:t>
      </w:r>
    </w:p>
    <w:p>
      <w:pPr>
        <w:spacing w:after="200" w:line="360"/>
        <w:jc w:val="both"/>
      </w:pPr>
      <w:r>
        <w:t xml:space="preserve">Tecnicamente, o Block.Ed apoia-se na tríade DIDs + SBTs + VCs, integrada ao Learning Management System Moodle, de forma a embarcar credenciais à prova de adulteração e preservadoras de privacidade no ambiente educacional. O trabalho explicitamente alinha-se com padrões europeus de reconhecimento transfronteiriço e garantia de qualidade.</w:t>
      </w:r>
    </w:p>
    <w:p>
      <w:pPr>
        <w:spacing w:after="200" w:line="360"/>
        <w:jc w:val="both"/>
      </w:pPr>
      <w:r>
        <w:rPr>
          <w:b/>
          <w:bCs/>
        </w:rPr>
        <w:t xml:space="preserve">Limitações identificadas em relação à proposta deste trabalho:</w:t>
      </w:r>
      <w:r>
        <w:t xml:space="preserve"> (i) foco em microcredenciais e educação de adultos, domínio distinto da certificação acadêmica formal de graduação investigada neste TCC; (ii) ausência de detalhamento do mecanismo de apresentação portátil — não há menção a SD-JWT, Key Binding ou divulgação seletiva criptográfica; (iii) ausência de avaliação publicada sob ótica regulatória; (iv) integração com Moodle como dependência arquitetural, distinta do paradigma de credencial portátil independente de plataforma; (v) contexto europeu, sem aderência à LGPD.</w:t>
      </w:r>
    </w:p>
    <w:p>
      <w:pPr>
        <w:pStyle w:val="Heading3"/>
        <w:spacing w:after="180" w:before="320"/>
      </w:pPr>
      <w:r>
        <w:t xml:space="preserve">2.N.2.2 Trabalhos brasileiros sobre certificação acadêmica baseada em blockchain</w:t>
      </w:r>
    </w:p>
    <w:p>
      <w:pPr>
        <w:pStyle w:val="Heading4"/>
        <w:spacing w:after="180" w:before="320"/>
      </w:pPr>
      <w:r>
        <w:t xml:space="preserve">T4. Protocolo de diploma digital auto-soberano com retrocompatibilidade tecnológica focado na realidade brasileira (UFSC)</w:t>
      </w:r>
    </w:p>
    <w:p>
      <w:pPr>
        <w:spacing w:after="200" w:line="360"/>
        <w:jc w:val="both"/>
      </w:pPr>
      <w:r>
        <w:t xml:space="preserve">Trabalho de pós-graduação da Universidade Federal de Santa Catarina, este protocolo apresenta-se como o trabalho brasileiro mais próximo do presente TCC em termos de objeto e contexto regulatório. O autor parte da constatação de que, embora o Diploma Digital instituído pelo Ministério da Educação em 2018 (formato XML assinado digitalmente) tenha avançado na redução de fraudes na emissão final do diploma, ele não cobre o histórico escolar do estudante — etapa em que também podem ocorrer fraudes — e não contempla a portabilidade auto-soberana da credencial pelo titular.</w:t>
      </w:r>
    </w:p>
    <w:p>
      <w:pPr>
        <w:spacing w:after="200" w:line="360"/>
        <w:jc w:val="both"/>
      </w:pPr>
      <w:r>
        <w:t xml:space="preserve">A proposta apoia-se na plataforma Hyperledger Indy, derivada da Hyperledger Foundation e especialmente desenhada para implementação do paradigma de Self-Sovereign Identity. O trabalho contempla a emissão de créditos e diplomas com validade e rastreabilidade, inclusive para diplomas previamente emitidos com tecnologias legadas — característica que os próprios autores denominam retrocompatibilidade tecnológica.</w:t>
      </w:r>
    </w:p>
    <w:p>
      <w:pPr>
        <w:spacing w:after="200" w:line="360"/>
        <w:jc w:val="both"/>
      </w:pPr>
      <w:r>
        <w:rPr>
          <w:b/>
          <w:bCs/>
        </w:rPr>
        <w:t xml:space="preserve">Limitações identificadas em relação à proposta deste trabalho:</w:t>
      </w:r>
      <w:r>
        <w:t xml:space="preserve"> (i) plataforma tecnológica distinta — Hyperledger Indy, blockchain permissionada com modelo de governança específico, em contraste com a abordagem deste TCC baseada em Ethereum (rede pública); (ii) ausência de Soulbound Token como âncora on-chain — o Hyperledger Indy adota arquitetura de credenciais Anoncreds, com mecanismo distinto de revogação e ancoragem; (iii) ausência de SD-JWT como formato; (iv) avaliação de aderência à LGPD não documentada como contribuição central; (v) sem análise comparativa entre arquitetura Ethereum-based com SBT e arquitetura Hyperledger Indy.</w:t>
      </w:r>
    </w:p>
    <w:p>
      <w:pPr>
        <w:pStyle w:val="Heading4"/>
        <w:spacing w:after="180" w:before="320"/>
      </w:pPr>
      <w:r>
        <w:t xml:space="preserve">T5. Proof of Concept for Higher Education Academic Record System Using Blockchain (SBC/wblockchain)</w:t>
      </w:r>
    </w:p>
    <w:p>
      <w:pPr>
        <w:spacing w:after="200" w:line="360"/>
        <w:jc w:val="both"/>
      </w:pPr>
      <w:r>
        <w:t xml:space="preserve">Publicação dos anais do Workshop em Blockchain da Sociedade Brasileira de Computação (SBC), o trabalho explora a viabilidade do uso de blockchain para armazenar e gerenciar registros acadêmicos como notas, cursos e histórico escolar. Os autores desenvolvem protótipo e avaliam sua capacidade de fornecer plataforma segura, imutável e transparente para dados acadêmicos, concluindo que a tecnologia oferece benefícios em termos de integridade e acesso verificado pelos alunos.</w:t>
      </w:r>
    </w:p>
    <w:p>
      <w:pPr>
        <w:spacing w:after="200" w:line="360"/>
        <w:jc w:val="both"/>
      </w:pPr>
      <w:r>
        <w:rPr>
          <w:b/>
          <w:bCs/>
        </w:rPr>
        <w:t xml:space="preserve">Limitações identificadas em relação à proposta deste trabalho:</w:t>
      </w:r>
      <w:r>
        <w:t xml:space="preserve"> (i) escopo restrito a registros acadêmicos (notas e histórico), sem abordar diploma como artefato formal; (ii) ausência completa do paradigma de Self-Sovereign Identity, Verifiable Credentials, DIDs ou SBTs; (iii) ausência de mecanismo de divulgação seletiva ou Key Binding; (iv) ausência de análise regulatória específica.</w:t>
      </w:r>
    </w:p>
    <w:p>
      <w:pPr>
        <w:pStyle w:val="Heading4"/>
        <w:spacing w:after="180" w:before="320"/>
      </w:pPr>
      <w:r>
        <w:t xml:space="preserve">T6. Blockchain na gestão do acervo acadêmico de Instituições Federais de Ensino Superior — uma proposta de implementação (Mello, 2025)</w:t>
      </w:r>
    </w:p>
    <w:p>
      <w:pPr>
        <w:spacing w:after="200" w:line="360"/>
        <w:jc w:val="both"/>
      </w:pPr>
      <w:r>
        <w:t xml:space="preserve">Dissertação do Programa de Mestrado Profissional em Administração Pública (PROFIAP), o trabalho desenvolve aplicação que utiliza a blockchain Ethereum para garantir imutabilidade, integridade e disponibilidade de itens do acervo acadêmico oriundo de Instituição Federal de Ensino Superior (IFES). A implementação utiliza PHP e JavaScript, com uso de bibliotecas e ferramentas para programação de smart contracts e conexão com a Ethereum.</w:t>
      </w:r>
    </w:p>
    <w:p>
      <w:pPr>
        <w:spacing w:after="200" w:line="360"/>
        <w:jc w:val="both"/>
      </w:pPr>
      <w:r>
        <w:t xml:space="preserve">Um dos achados explícitos do trabalho é a constatação de que os custos associados à operação em rede Ethereum pública podem comprometer a escalabilidade do projeto, levando os autores a recomendar redes blockchain privadas (permissionadas) como solução potencialmente mais viável para organizações públicas. Esta constatação dialoga com as delimitações metodológicas adotadas no presente TCC, que opera em testnet pública (Sepolia) precisamente para evitar a problemática dos custos reais sem perder a verificabilidade pública das transações na fase de prova de conceito.</w:t>
      </w:r>
    </w:p>
    <w:p>
      <w:pPr>
        <w:spacing w:after="200" w:line="360"/>
        <w:jc w:val="both"/>
      </w:pPr>
      <w:r>
        <w:rPr>
          <w:b/>
          <w:bCs/>
        </w:rPr>
        <w:t xml:space="preserve">Limitações identificadas em relação à proposta deste trabalho:</w:t>
      </w:r>
      <w:r>
        <w:t xml:space="preserve"> (i) escopo restrito a acervo acadêmico, sem foco específico em diploma ou credencial verificável; (ii) ausência de Soulbound Token, Verifiable Credential, SD-JWT, Key Binding e Self-Sovereign Identity; (iii) ausência de análise estruturada de aderência à LGPD; (iv) abordagem de imutabilidade documental, distinta do paradigma de credencial portátil com divulgação seletiva pelo titular.</w:t>
      </w:r>
    </w:p>
    <w:p>
      <w:pPr>
        <w:pStyle w:val="Heading2"/>
        <w:spacing w:after="180" w:before="320"/>
      </w:pPr>
      <w:r>
        <w:t xml:space="preserve">2.N.3 Análise Comparativa por Matriz de Propriedades</w:t>
      </w:r>
    </w:p>
    <w:p>
      <w:pPr>
        <w:spacing w:after="200" w:line="360"/>
        <w:jc w:val="both"/>
      </w:pPr>
      <w:r>
        <w:t xml:space="preserve">Para sistematizar a análise comparativa entre os trabalhos identificados e o presente TCC, foi construída uma matriz de propriedades arquiteturais e contextuais. Cada propriedade corresponde a um requisito ou característica distintiva da proposta, derivada dos objetivos do trabalho. A matriz é apresentada na Tabela 2.</w:t>
      </w:r>
    </w:p>
    <w:p>
      <w:pPr>
        <w:spacing w:after="100" w:before="160"/>
        <w:jc w:val="center"/>
      </w:pPr>
      <w:r>
        <w:rPr>
          <w:b/>
          <w:bCs/>
          <w:sz w:val="22"/>
          <w:szCs w:val="22"/>
        </w:rPr>
        <w:t xml:space="preserve">Tabela 2 — Matriz comparativa de propriedades entre os trabalhos relacionados e o presente TCC</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4"/>
        <w:gridCol w:w="750"/>
        <w:gridCol w:w="750"/>
        <w:gridCol w:w="750"/>
        <w:gridCol w:w="750"/>
        <w:gridCol w:w="750"/>
        <w:gridCol w:w="750"/>
        <w:gridCol w:w="1800"/>
      </w:tblGrid>
      <w:tr>
        <w:trPr>
          <w:tblHeader/>
        </w:trPr>
        <w:tc>
          <w:tcPr>
            <w:tcW w:type="dxa" w:w="2204"/>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18"/>
                <w:szCs w:val="18"/>
              </w:rPr>
              <w:t xml:space="preserve">Propriedade</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T1 M.U.St</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T2 SBT/EIP4973</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T3 Block.Ed</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T4 UFSC Indy</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T5 SBC PoC</w:t>
            </w:r>
          </w:p>
        </w:tc>
        <w:tc>
          <w:tcPr>
            <w:tcW w:type="dxa" w:w="75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center"/>
            </w:pPr>
            <w:r>
              <w:rPr>
                <w:b/>
                <w:bCs/>
                <w:sz w:val="18"/>
                <w:szCs w:val="18"/>
              </w:rPr>
              <w:t xml:space="preserve">T6 IFES Mello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Presente TCC</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P1. Soulbound Token como âncora on-chain</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P2. VC em formato SD-JWT (RFC 9901)</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P3. Divulgação seletiva criptográfica</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(arquitetural)</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(conceitual)</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Parcial (Anoncreds)</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P4. Key Binding (prova de posse pelo titular)</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P5. Portabilidade off-chain sem servidor da IES</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(depende MongoDB)</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Parcial (IPFS)</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(Moodle)</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P6. Identidade visual via template institucional renderizado localmente</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P7. Análise estruturada de aderência à LGPD</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P8. Contexto regulatório/institucional brasileiro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(Grécia/UE)</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(Indonésia)</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 (UE)</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r>
        <w:tc>
          <w:tcPr>
            <w:tcW w:type="dxa" w:w="22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18"/>
                <w:szCs w:val="18"/>
              </w:rPr>
              <w:t xml:space="preserve">P9. Implementação funcional (não apenas conceitual)</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Não</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75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center"/>
            </w:pPr>
            <w:r>
              <w:rPr>
                <w:sz w:val="18"/>
                <w:szCs w:val="18"/>
              </w:rPr>
              <w:t xml:space="preserve">Sim</w:t>
            </w:r>
          </w:p>
        </w:tc>
        <w:tc>
          <w:tcPr>
            <w:tcW w:type="dxa" w:w="1800"/>
            <w:tcBorders>
              <w:top w:val="single" w:color="999999" w:sz="4"/>
              <w:left w:val="single" w:color="999999" w:sz="4"/>
              <w:bottom w:val="single" w:color="999999" w:sz="4"/>
              <w:right w:val="single" w:color="999999" w:sz="4"/>
            </w:tcBorders>
            <w:shd w:fill="FFE699" w:val="clear"/>
            <w:tcMar>
              <w:top w:type="dxa" w:w="100"/>
              <w:left w:type="dxa" w:w="120"/>
              <w:bottom w:type="dxa" w:w="100"/>
              <w:right w:type="dxa" w:w="120"/>
            </w:tcMar>
          </w:tcPr>
          <w:p>
            <w:pPr>
              <w:spacing w:after="60"/>
              <w:jc w:val="center"/>
            </w:pPr>
            <w:r>
              <w:rPr>
                <w:b/>
                <w:bCs/>
                <w:sz w:val="18"/>
                <w:szCs w:val="18"/>
              </w:rPr>
              <w:t xml:space="preserve">Sim</w:t>
            </w:r>
          </w:p>
        </w:tc>
      </w:tr>
    </w:tbl>
    <w:p>
      <w:pPr>
        <w:spacing w:after="240"/>
        <w:jc w:val="center"/>
      </w:pPr>
      <w:r>
        <w:rPr>
          <w:i/>
          <w:iCs/>
          <w:sz w:val="20"/>
          <w:szCs w:val="20"/>
        </w:rPr>
        <w:t xml:space="preserve">Fonte: elaborada pelo autor (2025) a partir da análise dos trabalhos relacionados.</w:t>
      </w:r>
    </w:p>
    <w:p>
      <w:pPr>
        <w:spacing w:after="200" w:line="360"/>
        <w:jc w:val="both"/>
      </w:pPr>
      <w:r>
        <w:t xml:space="preserve">A leitura horizontal da Tabela 2, propriedade por propriedade, permite identificar três padrões relevantes para a caracterização da lacuna:</w:t>
      </w:r>
    </w:p>
    <w:p>
      <w:pPr>
        <w:spacing w:after="200" w:line="360"/>
        <w:jc w:val="both"/>
      </w:pPr>
      <w:r>
        <w:rPr>
          <w:b/>
          <w:bCs/>
        </w:rPr>
        <w:t xml:space="preserve">Padrão 1 — Adoção do SBT como âncora é restrita aos trabalhos internacionais. </w:t>
      </w:r>
      <w:r>
        <w:t xml:space="preserve">Os três trabalhos brasileiros encontrados (T4, T5, T6) não adotam Soulbound Token como âncora on-chain. T4 utiliza Hyperledger Indy com modelo Anoncreds, distinto da arquitetura SBT em Ethereum; T5 e T6 utilizam blockchain Ethereum apenas para registro genérico de hash de documentos, sem o paradigma de não-transferibilidade vinculada a identidade descentralizada.</w:t>
      </w:r>
    </w:p>
    <w:p>
      <w:pPr>
        <w:spacing w:after="200" w:line="360"/>
        <w:jc w:val="both"/>
      </w:pPr>
      <w:r>
        <w:rPr>
          <w:b/>
          <w:bCs/>
        </w:rPr>
        <w:t xml:space="preserve">Padrão 2 — SD-JWT com Key Binding está ausente em todos os trabalhos. </w:t>
      </w:r>
      <w:r>
        <w:t xml:space="preserve">Nenhum dos seis trabalhos identificados adota o formato SD-JWT (RFC 9901) com mecanismo de Key Binding criptográfico no momento da apresentação. Os trabalhos que mencionam divulgação seletiva (T1 e T2) o fazem em sentido conceitual ou arquitetural, não criptográfico-formal. O T4 utiliza divulgação seletiva via Anoncreds, paradigma distinto do SD-JWT em termos de formato, complexidade de prova e maturidade de adoção.</w:t>
      </w:r>
    </w:p>
    <w:p>
      <w:pPr>
        <w:spacing w:after="200" w:line="360"/>
        <w:jc w:val="both"/>
      </w:pPr>
      <w:r>
        <w:rPr>
          <w:b/>
          <w:bCs/>
        </w:rPr>
        <w:t xml:space="preserve">Padrão 3 — Análise estruturada de aderência à LGPD é inexistente no corpus. </w:t>
      </w:r>
      <w:r>
        <w:t xml:space="preserve">Nenhum dos seis trabalhos analisados conduz avaliação sistemática da arquitetura proposta sob ótica dos princípios da Lei nº 13.709/2018. Os trabalhos europeus (T1, T3) referenciam GDPR ou eIDAS 2.0 como pano de fundo regulatório, sem checklist por princípio. Os trabalhos brasileiros (T4, T5, T6) abordam contexto nacional, mas não conduzem análise normativa específica como contribuição central.</w:t>
      </w:r>
    </w:p>
    <w:p>
      <w:pPr>
        <w:pStyle w:val="Heading2"/>
        <w:spacing w:after="180" w:before="320"/>
      </w:pPr>
      <w:r>
        <w:t xml:space="preserve">2.N.4 Síntese da Lacuna Identificada</w:t>
      </w:r>
    </w:p>
    <w:p>
      <w:pPr>
        <w:spacing w:after="200" w:line="360"/>
        <w:jc w:val="both"/>
      </w:pPr>
      <w:r>
        <w:t xml:space="preserve">A análise sistemática apresentada nas seções anteriores permite caracterizar com precisão a lacuna que o presente trabalho busca endereçar. A identificação não decorre de afirmação genérica de novidade, mas da combinação de evidências quantitativas (números de retorno por base e camada, sintetizados na Tabela 1) e qualitativas (matriz de propriedades, sintetizada na Tabela 2) reunidas de forma rastreável e replicável.</w:t>
      </w:r>
    </w:p>
    <w:p>
      <w:pPr>
        <w:spacing w:after="200" w:line="360"/>
        <w:jc w:val="both"/>
      </w:pPr>
      <w:r>
        <w:t xml:space="preserve">A lacuna pode ser enunciada em três dimensões complementares, cada uma sustentada por evidência específica do levantamento realizado.</w:t>
      </w:r>
    </w:p>
    <w:p>
      <w:pPr>
        <w:spacing w:after="200" w:line="360"/>
        <w:jc w:val="both"/>
      </w:pPr>
      <w:r>
        <w:rPr>
          <w:b/>
          <w:bCs/>
        </w:rPr>
        <w:t xml:space="preserve">Dimensão arquitetural. </w:t>
      </w:r>
      <w:r>
        <w:t xml:space="preserve">A combinação específica de Soulbound Token como âncora on-chain, Verifiable Credential em formato SD-JWT (RFC 9901) com mecanismo de Key Binding como camada portátil de apresentação, e identidade visual via template institucional renderizado localmente não foi identificada na literatura consultada. A matriz da Tabela 2 evidencia que nenhum dos seis trabalhos do corpus apresenta simultaneamente as propriedades P1, P2, P3 e P4. O trabalho mais próximo (T1, M.U.St) adota P1 mas não P2, P3 ou P4, optando por mecanismo de privacidade arquitetural baseado em armazenamento centralizado, sem garantias criptográficas formais sobre a apresentação. Reforça esta caracterização a declaração explícita dos autores do M.U.St de que, até onde alcança seu conhecimento, não existem trabalhos anteriores que combinem o modelo SSI com tokens para o setor educacional (POLYCHRONAKI et al., 2024, p. 150).</w:t>
      </w:r>
    </w:p>
    <w:p>
      <w:pPr>
        <w:spacing w:after="200" w:line="360"/>
        <w:jc w:val="both"/>
      </w:pPr>
      <w:r>
        <w:rPr>
          <w:b/>
          <w:bCs/>
        </w:rPr>
        <w:t xml:space="preserve">Dimensão regulatória. </w:t>
      </w:r>
      <w:r>
        <w:t xml:space="preserve">A análise estruturada de aderência aos princípios da Lei Geral de Proteção de Dados Pessoais (Lei nº 13.709/2018), aplicada a uma arquitetura combinada de SBT + SD-JWT no domínio da certificação acadêmica, não foi identificada em nenhum dos trabalhos do corpus. A propriedade P7 da Tabela 2 não é atendida por qualquer dos trabalhos analisados. Este achado é particularmente relevante porque a discussão de aderência regulatória, conduzida ainda na fase de design da arquitetura, é diferente em natureza de uma análise post hoc — a primeira possibilita avaliar como cada decisão arquitetural impacta cada princípio normativo, contribuição que se diferencia das análises gerais de blockchain e privacidade encontradas na literatura adjacente.</w:t>
      </w:r>
    </w:p>
    <w:p>
      <w:pPr>
        <w:spacing w:after="200" w:line="360"/>
        <w:jc w:val="both"/>
      </w:pPr>
      <w:r>
        <w:rPr>
          <w:b/>
          <w:bCs/>
        </w:rPr>
        <w:t xml:space="preserve">Dimensão contextual. </w:t>
      </w:r>
      <w:r>
        <w:t xml:space="preserve">Os trabalhos brasileiros encontrados (T4, T5, T6) abordam o problema da certificação acadêmica baseada em blockchain no contexto nacional, mas o fazem com arquiteturas distintas da proposta deste TCC: T4 utiliza Hyperledger Indy com Anoncreds; T5 e T6 utilizam Ethereum apenas para imutabilidade documental, sem o paradigma de credencial verificável portátil pelo titular. Inexiste, portanto, no contexto brasileiro, trabalho que articule simultaneamente: (a) Ethereum como plataforma de ancoragem; (b) SBT como mecanismo de não-transferibilidade vinculada à identidade descentralizada; (c) SD-JWT com Key Binding como camada de apresentação portátil; (d) análise de aderência à LGPD como contribuição estruturada.</w:t>
      </w:r>
    </w:p>
    <w:p>
      <w:pPr>
        <w:pStyle w:val="Heading3"/>
        <w:spacing w:after="180" w:before="320"/>
      </w:pPr>
      <w:r>
        <w:t xml:space="preserve">2.N.4.1 Caracterização do problema como exploratório-fundamentado</w:t>
      </w:r>
    </w:p>
    <w:p>
      <w:pPr>
        <w:spacing w:after="200" w:line="360"/>
        <w:jc w:val="both"/>
      </w:pPr>
      <w:r>
        <w:t xml:space="preserve">A lacuna identificada caracteriza o problema de pesquisa como insuficientemente explorado empiricamente, condição que justifica metodologicamente a adoção de abordagem exploratória centrada na construção e avaliação de artefato funcional, conforme detalhado no Capítulo 3 (Metodologia). É importante distinguir, contudo, dois sentidos de "exploratório" que poderiam ser confundidos: a abordagem aqui adotada não é exploratória no sentido de tentativa cega ou de busca não fundamentada de soluções.</w:t>
      </w:r>
    </w:p>
    <w:p>
      <w:pPr>
        <w:spacing w:after="200" w:line="360"/>
        <w:jc w:val="both"/>
      </w:pPr>
      <w:r>
        <w:t xml:space="preserve">Cada componente individual da arquitetura proposta possui fundamentação teórica e técnica consolidada na literatura: o conceito de Soulbound Token possui base conceitual em Weyl, Ohlhaver e Buterin (2022); o formato SD-JWT possui especificação normativa formal nas RFCs do IETF; o mecanismo de Key Binding tem suas garantias de segurança criptograficamente analisadas no contexto da própria especificação SD-JWT; o paradigma de Self-Sovereign Identity tem sua fundamentação em Toth e Anderson-Priddy (2019) e nas especificações DID do W3C. Os componentes são, individualmente, técnica e teoricamente bem fundamentados.</w:t>
      </w:r>
    </w:p>
    <w:p>
      <w:pPr>
        <w:spacing w:after="200" w:line="360"/>
        <w:jc w:val="both"/>
      </w:pPr>
      <w:r>
        <w:t xml:space="preserve">O caráter exploratório do trabalho refere-se especificamente à avaliação empírica da combinação desses componentes em arranjo arquitetural integrado, no contexto da certificação acadêmica brasileira sob ótica da LGPD. Trata-se, portanto, de exploração fundamentada — a contribuição não está em propor componentes inéditos, mas em integrar componentes individualmente fundamentados em arranjo cuja eficácia conjunta, propriedades emergentes e aderência regulatória requerem demonstração e avaliação por meio de artefato funcional. Esta caracterização sustenta o uso da Design Science Research como estratégia metodológica adequada, conforme Hevner et al. (2004), e diferencia o trabalho tanto de investigações puramente teóricas quanto de aplicações ateóricas de tecnologia.</w:t>
      </w:r>
    </w:p>
    <w:p>
      <w:pPr>
        <w:pStyle w:val="Heading3"/>
        <w:spacing w:after="180" w:before="320"/>
      </w:pPr>
      <w:r>
        <w:t xml:space="preserve">2.N.4.2 Implicações para a estratégia metodológica</w:t>
      </w:r>
    </w:p>
    <w:p>
      <w:pPr>
        <w:spacing w:after="200" w:line="360"/>
        <w:jc w:val="both"/>
      </w:pPr>
      <w:r>
        <w:t xml:space="preserve">A natureza da lacuna identificada tem três implicações diretas para as decisões metodológicas adotadas no Capítulo 3, que se conectam organicamente a este levantamento:</w:t>
      </w:r>
    </w:p>
    <w:p>
      <w:pPr>
        <w:pStyle w:val="ListParagraph"/>
        <w:numPr>
          <w:ilvl w:val="0"/>
          <w:numId w:val="2"/>
        </w:numPr>
        <w:spacing w:after="140" w:line="340"/>
        <w:jc w:val="both"/>
      </w:pPr>
      <w:r>
        <w:t xml:space="preserve">A inexistência de implementações anteriores do arranjo específico investigado justifica a adoção da Design Science Research como estratégia, dado que o objetivo da pesquisa é construir e avaliar um artefato em domínio em que tal artefato não existe previamente, condição que Hevner et al. (2004) caracterizam como apropriada para o método.</w:t>
      </w:r>
    </w:p>
    <w:p>
      <w:pPr>
        <w:pStyle w:val="ListParagraph"/>
        <w:numPr>
          <w:ilvl w:val="0"/>
          <w:numId w:val="2"/>
        </w:numPr>
        <w:spacing w:after="140" w:line="340"/>
        <w:jc w:val="both"/>
      </w:pPr>
      <w:r>
        <w:t xml:space="preserve">A documentação pública das limitações do processo atual de certificação — em legislação federal, normativos do MEC e literatura — possibilita a identificação do problema por meio de fontes secundárias, sem necessidade de levantamento primário com instituições, abordagem reconhecida como válida pelo segundo guideline de Hevner et al. (2004) sobre relevância do problema.</w:t>
      </w:r>
    </w:p>
    <w:p>
      <w:pPr>
        <w:pStyle w:val="ListParagraph"/>
        <w:numPr>
          <w:ilvl w:val="0"/>
          <w:numId w:val="2"/>
        </w:numPr>
        <w:spacing w:after="140" w:line="340"/>
        <w:jc w:val="both"/>
      </w:pPr>
      <w:r>
        <w:t xml:space="preserve">A ausência de avaliações empíricas anteriores da combinação proposta justifica que o presente trabalho conduza, antes de qualquer avaliação com usuários, a validação técnica do artefato — verificação de propriedades criptográficas, completude funcional e aderência regulatória —, conforme detalhado nos critérios de avaliação da seção 3.4. Avaliações com usuários, embora desejáveis, configuram desdobramento adequado para investigações futuras, uma vez consolidada a base técnica e regulatória aqui desenvolvida.</w:t>
      </w:r>
    </w:p>
    <w:p>
      <w:pPr>
        <w:spacing w:after="200" w:line="360"/>
        <w:jc w:val="both"/>
      </w:pPr>
      <w:r>
        <w:t xml:space="preserve">Encerra-se assim a fundamentação teórica do trabalho. O Capítulo 3, a seguir, detalha a estratégia metodológica adotada, explicitando como cada decisão dialoga com a lacuna aqui caracterizada e com os fundamentos técnicos e regulatórios apresentados nas seções anteriores deste capítulo.</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20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60" w:before="280"/>
      <w:outlineLvl w:val="2"/>
    </w:pPr>
    <w:rPr>
      <w:rFonts w:ascii="Arial" w:cs="Arial" w:eastAsia="Arial" w:hAnsi="Arial"/>
      <w:b/>
      <w:bCs/>
      <w:color w:val="000000"/>
      <w:sz w:val="24"/>
      <w:szCs w:val="24"/>
    </w:rPr>
  </w:style>
  <w:style w:type="paragraph" w:styleId="Heading4">
    <w:name w:val="Heading 4"/>
    <w:basedOn w:val="Normal"/>
    <w:next w:val="Normal"/>
    <w:qFormat/>
    <w:pPr>
      <w:spacing w:after="140" w:before="240"/>
      <w:outlineLvl w:val="3"/>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2026-05-05T20:41:55.614Z</dcterms:created>
  <dcterms:modified xsi:type="dcterms:W3CDTF">2026-05-05T20:41:55.629Z</dcterms:modified>
</cp:coreProperties>
</file>

<file path=docProps/custom.xml><?xml version="1.0" encoding="utf-8"?>
<Properties xmlns="http://schemas.openxmlformats.org/officeDocument/2006/custom-properties" xmlns:vt="http://schemas.openxmlformats.org/officeDocument/2006/docPropsVTypes"/>
</file>