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20"/>
      </w:pPr>
      <w:r>
        <w:t xml:space="preserve">3. METODOLOGIA</w:t>
      </w:r>
    </w:p>
    <w:p>
      <w:pPr>
        <w:spacing w:after="200" w:line="360"/>
        <w:jc w:val="both"/>
      </w:pPr>
      <w:r>
        <w:t xml:space="preserve">Este capítulo apresenta a estratégia metodológica adotada para a condução da pesquisa, articulando as decisões metodológicas com a fundamentação teórica desenvolvida no Capítulo 2 e, em particular, com a lacuna caracterizada na seção 2.N. A organização do capítulo segue a estrutura: classificação da pesquisa (3.1); fases da Design Science Research aplicadas ao trabalho (3.2); justificativa do mapeamento por fontes secundárias (3.3); critérios de avaliação do protótipo (3.4); delimitações de escopo (3.5); e ameaças à validade reconhecidas (3.6).</w:t>
      </w:r>
    </w:p>
    <w:p>
      <w:pPr>
        <w:pStyle w:val="Heading2"/>
        <w:spacing w:after="180" w:before="320"/>
      </w:pPr>
      <w:r>
        <w:t xml:space="preserve">3.1 Classificação da Pesquisa</w:t>
      </w:r>
    </w:p>
    <w:p>
      <w:pPr>
        <w:spacing w:after="200" w:line="360"/>
        <w:jc w:val="both"/>
      </w:pPr>
      <w:r>
        <w:t xml:space="preserve">Esta pesquisa classifica-se como aplicada quanto à sua natureza, uma vez que objetiva a geração de conhecimento voltado à solução de um problema concreto e documentado: a inadequação do modelo atual de certificação acadêmica brasileiro frente aos requisitos contemporâneos de autenticidade verificável, minimização de dados pessoais e portabilidade pelo titular. A caracterização do problema como concreto e documentado, e não como questão genericamente identificada pelo autor, sustenta-se nos achados sintetizados na seção 2.N e na fundamentação normativa apresentada nas seções anteriores do Capítulo 2.</w:t>
      </w:r>
    </w:p>
    <w:p>
      <w:pPr>
        <w:spacing w:after="200" w:line="360"/>
        <w:jc w:val="both"/>
      </w:pPr>
      <w:r>
        <w:t xml:space="preserve">Quanto à abordagem, a pesquisa é qualitativa, com caráter exploratório. A adoção do caráter exploratório fundamenta-se na lacuna empírica identificada na seção 2.N.4: a combinação arquitetural específica investigada — Soulbound Token como âncora on-chain, Verifiable Credential em formato SD-JWT com Key Binding como camada portátil de apresentação, e identidade visual via template institucional renderizado localmente, avaliada sob o quadro normativo da LGPD — não foi identificada na literatura consultada nas seis bases bibliográficas examinadas. Ressalta-se, conforme detalhado na seção 2.N.4.1, que o caráter exploratório refere-se especificamente à avaliação empírica desta combinação integrada, e não ao desconhecimento dos componentes individuais, cuja fundamentação teórica e normativa foi consolidada no Capítulo 2.</w:t>
      </w:r>
    </w:p>
    <w:p>
      <w:pPr>
        <w:spacing w:after="200" w:line="360"/>
        <w:jc w:val="both"/>
      </w:pPr>
      <w:r>
        <w:t xml:space="preserve">Como estratégia metodológica, adota-se a Design Science Research (DSR), fundamentada nas diretrizes de Hevner et al. (2004) e operacionalizada pelo processo de seis etapas proposto por Peffers et al. (2007). A escolha da DSR justifica-se por sua adequação a pesquisas cujo resultado central é um artefato — neste caso, uma arquitetura de certificação acadêmica digital — acompanhado da reflexão teórica sobre seus fundamentos, propriedades emergentes e limitações. Hevner et al. (2004), em seu primeiro guideline (Design as an Artifact), reconhecem o artefato como saída legítima e central de pesquisa em sistemas de informação, em condições alinhadas às que caracterizam o presente trabalho: problema de relevância documentada, ausência de soluções consolidadas para o arranjo investigado e possibilidade de avaliação rigorosa do artefato proposto.</w:t>
      </w:r>
    </w:p>
    <w:p>
      <w:pPr>
        <w:pStyle w:val="Heading2"/>
        <w:spacing w:after="180" w:before="320"/>
      </w:pPr>
      <w:r>
        <w:t xml:space="preserve">3.2 Fases da Design Science Research Aplicadas</w:t>
      </w:r>
    </w:p>
    <w:p>
      <w:pPr>
        <w:spacing w:after="200" w:line="360"/>
        <w:jc w:val="both"/>
      </w:pPr>
      <w:r>
        <w:t xml:space="preserve">As seis fases do método de Peffers et al. (2007) foram operacionalizadas neste trabalho conforme descrito a seguir, com referência cruzada às seções correspondentes deste documento:</w:t>
      </w:r>
    </w:p>
    <w:p>
      <w:pPr>
        <w:pStyle w:val="ListParagraph"/>
        <w:numPr>
          <w:ilvl w:val="0"/>
          <w:numId w:val="2"/>
        </w:numPr>
        <w:spacing w:after="140" w:line="340"/>
        <w:jc w:val="both"/>
      </w:pPr>
      <w:r>
        <w:rPr>
          <w:b/>
          <w:bCs/>
        </w:rPr>
        <w:t xml:space="preserve">Identificação do Problema: </w:t>
      </w:r>
      <w:r>
        <w:t xml:space="preserve">caracterização das limitações de autenticidade verificável, oversharing de atributos pessoais e portabilidade pelo titular do processo atual de certificação acadêmica brasileiro, conduzida a partir de fontes secundárias — legislação federal aplicável, documentação oficial do Ministério da Educação (MEC) e literatura acadêmica nacional e internacional. A justificativa metodológica para o uso exclusivo de fontes secundárias nesta fase é detalhada na seção 3.3, e a caracterização do estado da arte que sustenta a relevância do problema é apresentada na seção 2.N;</w:t>
      </w:r>
    </w:p>
    <w:p>
      <w:pPr>
        <w:pStyle w:val="ListParagraph"/>
        <w:numPr>
          <w:ilvl w:val="0"/>
          <w:numId w:val="2"/>
        </w:numPr>
        <w:spacing w:after="140" w:line="340"/>
        <w:jc w:val="both"/>
      </w:pPr>
      <w:r>
        <w:rPr>
          <w:b/>
          <w:bCs/>
        </w:rPr>
        <w:t xml:space="preserve">Definição dos Objetivos da Solução: </w:t>
      </w:r>
      <w:r>
        <w:t xml:space="preserve">derivação de requisitos funcionais e não-funcionais a partir das limitações identificadas, estabelecendo critérios mensuráveis para a avaliação posterior do artefato. A formalização destes objetivos consta nos capítulos correspondentes do trabalho;</w:t>
      </w:r>
    </w:p>
    <w:p>
      <w:pPr>
        <w:pStyle w:val="ListParagraph"/>
        <w:numPr>
          <w:ilvl w:val="0"/>
          <w:numId w:val="2"/>
        </w:numPr>
        <w:spacing w:after="140" w:line="340"/>
        <w:jc w:val="both"/>
      </w:pPr>
      <w:r>
        <w:rPr>
          <w:b/>
          <w:bCs/>
        </w:rPr>
        <w:t xml:space="preserve">Design e Desenvolvimento: </w:t>
      </w:r>
      <w:r>
        <w:t xml:space="preserve">projeto da arquitetura e implementação do protótipo funcional em testnet Ethereum Sepolia, integrando Soulbound Token (SBT) como âncora on-chain, Verifiable Credential em formato SD-JWT (RFC 9901) com Key Binding como camada off-chain de apresentação portátil com divulgação seletiva, e renderização local do cartão visual a partir de template institucional. As decisões arquiteturais detalhadas nos capítulos correspondentes do trabalho fundamentam-se na fundamentação teórica do Capítulo 2 e endereçam as propriedades não atendidas pelos trabalhos relacionados, conforme matriz comparativa da Tabela 2 da seção 2.N.3;</w:t>
      </w:r>
    </w:p>
    <w:p>
      <w:pPr>
        <w:pStyle w:val="ListParagraph"/>
        <w:numPr>
          <w:ilvl w:val="0"/>
          <w:numId w:val="2"/>
        </w:numPr>
        <w:spacing w:after="140" w:line="340"/>
        <w:jc w:val="both"/>
      </w:pPr>
      <w:r>
        <w:rPr>
          <w:b/>
          <w:bCs/>
        </w:rPr>
        <w:t xml:space="preserve">Demonstração: </w:t>
      </w:r>
      <w:r>
        <w:t xml:space="preserve">execução de três cenários de uso representativos da arquitetura — emissão de credencial pela instituição emissora, apresentação seletiva pelo titular e verificação por terceiro —, gerando evidências verificáveis na forma de transações registradas em blockchain pública (testnet), payloads JWT, hashes criptográficos e logs de execução, em conformidade com o terceiro guideline de Hevner et al. (2004) sobre avaliação por demonstração;</w:t>
      </w:r>
    </w:p>
    <w:p>
      <w:pPr>
        <w:pStyle w:val="ListParagraph"/>
        <w:numPr>
          <w:ilvl w:val="0"/>
          <w:numId w:val="2"/>
        </w:numPr>
        <w:spacing w:after="140" w:line="340"/>
        <w:jc w:val="both"/>
      </w:pPr>
      <w:r>
        <w:rPr>
          <w:b/>
          <w:bCs/>
        </w:rPr>
        <w:t xml:space="preserve">Avaliação: </w:t>
      </w:r>
      <w:r>
        <w:t xml:space="preserve">verificação dos critérios técnico-funcionais detalhados na seção 3.4, complementada por análise estruturada de aderência aos princípios da Lei Geral de Proteção de Dados Pessoais (Lei nº 13.709/2018), e por discussão crítica das limitações da abordagem proposta;</w:t>
      </w:r>
    </w:p>
    <w:p>
      <w:pPr>
        <w:pStyle w:val="ListParagraph"/>
        <w:numPr>
          <w:ilvl w:val="0"/>
          <w:numId w:val="2"/>
        </w:numPr>
        <w:spacing w:after="140" w:line="340"/>
        <w:jc w:val="both"/>
      </w:pPr>
      <w:r>
        <w:rPr>
          <w:b/>
          <w:bCs/>
        </w:rPr>
        <w:t xml:space="preserve">Comunicação: </w:t>
      </w:r>
      <w:r>
        <w:t xml:space="preserve">registro dos resultados, do método e do raciocínio que conduziu às conclusões, materializado neste trabalho de conclusão de curso, atendendo ao sexto guideline de Hevner et al. (2004) sobre comunicação da pesquisa.</w:t>
      </w:r>
    </w:p>
    <w:p>
      <w:pPr>
        <w:pStyle w:val="Heading2"/>
        <w:spacing w:after="180" w:before="320"/>
      </w:pPr>
      <w:r>
        <w:t xml:space="preserve">3.3 Justificativa do Mapeamento por Fontes Secundárias</w:t>
      </w:r>
    </w:p>
    <w:p>
      <w:pPr>
        <w:spacing w:after="200" w:line="360"/>
        <w:jc w:val="both"/>
      </w:pPr>
      <w:r>
        <w:t xml:space="preserve">A identificação das limitações do processo atual de certificação acadêmica é realizada exclusivamente a partir de fontes secundárias: legislação federal pertinente, documentação oficial do MEC e literatura acadêmica nacional e internacional. Esta opção metodológica é deliberada e fundamenta-se em quatro considerações.</w:t>
      </w:r>
    </w:p>
    <w:p>
      <w:pPr>
        <w:spacing w:after="200" w:line="360"/>
        <w:jc w:val="both"/>
      </w:pPr>
      <w:r>
        <w:t xml:space="preserve">Primeiro, Hevner et al. (2004) reconhecem explicitamente, em seu segundo guideline (Problem Relevance), que tanto a literatura quanto o conhecimento existente constituem fontes válidas para a fase de identificação do problema em pesquisas de DSR, não sendo obrigatória a coleta primária quando o problema já se encontra suficientemente caracterizado em fontes públicas com qualidade documental adequada.</w:t>
      </w:r>
    </w:p>
    <w:p>
      <w:pPr>
        <w:spacing w:after="200" w:line="360"/>
        <w:jc w:val="both"/>
      </w:pPr>
      <w:r>
        <w:t xml:space="preserve">Segundo, as limitações analisadas — ausência de verificabilidade criptográfica direta pelo destinatário, exposição integral de atributos pessoais em processos de comprovação e dependência de infraestrutura institucional para portabilidade da credencial pelo titular — são estruturais ao modelo centralizado vigente e estão amplamente documentadas em normativos públicos e na literatura, conforme demonstrado nas seções pertinentes do Capítulo 2. Tais limitações não são idiossincráticas a uma instituição específica, o que tornaria desnecessário e potencialmente enviesado o levantamento primário em uma única IES.</w:t>
      </w:r>
    </w:p>
    <w:p>
      <w:pPr>
        <w:spacing w:after="200" w:line="360"/>
        <w:jc w:val="both"/>
      </w:pPr>
      <w:r>
        <w:t xml:space="preserve">Terceiro, levantamentos primários com instituições de ensino superior excederiam o escopo viável de um trabalho de conclusão de curso de graduação e não trariam ganho informacional proporcional ao esforço, dado que o objetivo da pesquisa é propor e avaliar uma arquitetura tecnológica, e não diagnosticar a operação interna de uma IES particular. A relevância do problema independe, portanto, de validação institucional adicional.</w:t>
      </w:r>
    </w:p>
    <w:p>
      <w:pPr>
        <w:spacing w:after="200" w:line="360"/>
        <w:jc w:val="both"/>
      </w:pPr>
      <w:r>
        <w:t xml:space="preserve">Quarto, o mapeamento sistemático apresentado na seção 2.N evidencia, por meio de protocolo replicável e auditável, que a lacuna identificada não é artefato de revisão narrativa parcial, mas resultado convergente entre quatro bases bibliográficas independentes (Scopus, IEEE Xplore, ACM Digital Library e Google Scholar). Este achado fortalece a fundamentação do problema em fontes secundárias e dispensa, no contexto desta pesquisa exploratória, a coleta primária para sua caracterização.</w:t>
      </w:r>
    </w:p>
    <w:p>
      <w:pPr>
        <w:pStyle w:val="Heading2"/>
        <w:spacing w:after="180" w:before="320"/>
      </w:pPr>
      <w:r>
        <w:t xml:space="preserve">3.4 Critérios de Avaliação do Protótipo</w:t>
      </w:r>
    </w:p>
    <w:p>
      <w:pPr>
        <w:spacing w:after="200" w:line="360"/>
        <w:jc w:val="both"/>
      </w:pPr>
      <w:r>
        <w:t xml:space="preserve">A avaliação do artefato segue um conjunto de critérios derivados dos objetivos da solução e organizados em duas dimensões: (i) critérios técnico-funcionais, que verificam o correto funcionamento da arquitetura proposta e a integridade das propriedades criptográficas declaradas; e (ii) critério normativo, que verifica a aderência da arquitetura aos princípios da Lei Geral de Proteção de Dados Pessoais. Os critérios técnico-funcionais (C1 a C5) são apresentados na Tabela 1, e o critério normativo (C6) é detalhado na sequência.</w:t>
      </w:r>
    </w:p>
    <w:p>
      <w:pPr>
        <w:spacing w:after="100" w:before="160"/>
        <w:jc w:val="center"/>
      </w:pPr>
      <w:r>
        <w:rPr>
          <w:b/>
          <w:bCs/>
          <w:sz w:val="22"/>
          <w:szCs w:val="22"/>
        </w:rPr>
        <w:t xml:space="preserve">Tabela 1 — Critérios técnico-funcionais de avaliação do protótipo</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400"/>
        <w:gridCol w:w="2604"/>
      </w:tblGrid>
      <w:tr>
        <w:trPr>
          <w:tblHeader/>
        </w:trPr>
        <w:tc>
          <w:tcPr>
            <w:tcW w:type="dxa" w:w="110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spacing w:after="60"/>
              <w:jc w:val="left"/>
            </w:pPr>
            <w:r>
              <w:rPr>
                <w:b/>
                <w:bCs/>
                <w:sz w:val="20"/>
                <w:szCs w:val="20"/>
              </w:rPr>
              <w:t xml:space="preserve">Critério</w:t>
            </w:r>
          </w:p>
        </w:tc>
        <w:tc>
          <w:tcPr>
            <w:tcW w:type="dxa" w:w="240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spacing w:after="60"/>
              <w:jc w:val="left"/>
            </w:pPr>
            <w:r>
              <w:rPr>
                <w:b/>
                <w:bCs/>
                <w:sz w:val="20"/>
                <w:szCs w:val="20"/>
              </w:rPr>
              <w:t xml:space="preserve">Descrição</w:t>
            </w:r>
          </w:p>
        </w:tc>
        <w:tc>
          <w:tcPr>
            <w:tcW w:type="dxa" w:w="2400"/>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spacing w:after="60"/>
              <w:jc w:val="left"/>
            </w:pPr>
            <w:r>
              <w:rPr>
                <w:b/>
                <w:bCs/>
                <w:sz w:val="20"/>
                <w:szCs w:val="20"/>
              </w:rPr>
              <w:t xml:space="preserve">Método de Verificação</w:t>
            </w:r>
          </w:p>
        </w:tc>
        <w:tc>
          <w:tcPr>
            <w:tcW w:type="dxa" w:w="2604"/>
            <w:tcBorders>
              <w:top w:val="single" w:color="999999" w:sz="4"/>
              <w:left w:val="single" w:color="999999" w:sz="4"/>
              <w:bottom w:val="single" w:color="999999" w:sz="4"/>
              <w:right w:val="single" w:color="999999" w:sz="4"/>
            </w:tcBorders>
            <w:shd w:fill="D9E2F3" w:val="clear"/>
            <w:tcMar>
              <w:top w:type="dxa" w:w="100"/>
              <w:left w:type="dxa" w:w="120"/>
              <w:bottom w:type="dxa" w:w="100"/>
              <w:right w:type="dxa" w:w="120"/>
            </w:tcMar>
          </w:tcPr>
          <w:p>
            <w:pPr>
              <w:spacing w:after="60"/>
              <w:jc w:val="left"/>
            </w:pPr>
            <w:r>
              <w:rPr>
                <w:b/>
                <w:bCs/>
                <w:sz w:val="20"/>
                <w:szCs w:val="20"/>
              </w:rPr>
              <w:t xml:space="preserve">Resultado Esperado</w:t>
            </w:r>
          </w:p>
        </w:tc>
      </w:tr>
      <w:tr>
        <w:tc>
          <w:tcPr>
            <w:tcW w:type="dxa" w:w="11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20"/>
                <w:szCs w:val="20"/>
              </w:rPr>
              <w:t xml:space="preserve">C1 — Completude funcional</w:t>
            </w:r>
          </w:p>
        </w:tc>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20"/>
                <w:szCs w:val="20"/>
              </w:rPr>
              <w:t xml:space="preserve">Os três cenários de uso (emissão, apresentação e verificação) executam de ponta a ponta sem erros não tratados.</w:t>
            </w:r>
          </w:p>
        </w:tc>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20"/>
                <w:szCs w:val="20"/>
              </w:rPr>
              <w:t xml:space="preserve">Execução manual dos três cenários no ambiente de demonstração (testnet Sepolia), com inspeção dos logs e dos artefatos gerados em cada etapa.</w:t>
            </w:r>
          </w:p>
        </w:tc>
        <w:tc>
          <w:tcPr>
            <w:tcW w:type="dxa" w:w="2604"/>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20"/>
                <w:szCs w:val="20"/>
              </w:rPr>
              <w:t xml:space="preserve">Cada cenário produz a saída esperada: transação confirmada em testnet, VC emitida em formato SD-JWT, apresentação válida com disclosures selecionados e verificação bem-sucedida.</w:t>
            </w:r>
          </w:p>
        </w:tc>
      </w:tr>
      <w:tr>
        <w:tc>
          <w:tcPr>
            <w:tcW w:type="dxa" w:w="11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20"/>
                <w:szCs w:val="20"/>
              </w:rPr>
              <w:t xml:space="preserve">C2 — Correção criptográfica</w:t>
            </w:r>
          </w:p>
        </w:tc>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20"/>
                <w:szCs w:val="20"/>
              </w:rPr>
              <w:t xml:space="preserve">O hash da Verifiable Credential ancorado on-chain corresponde exatamente ao recalculado pelo verificador a partir da credencial apresentada off-chain.</w:t>
            </w:r>
          </w:p>
        </w:tc>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20"/>
                <w:szCs w:val="20"/>
              </w:rPr>
              <w:t xml:space="preserve">Cálculo do digest SHA-256 da VC no momento da verificação e comparação com o valor armazenado no SBT, recuperado via consulta ao smart contract.</w:t>
            </w:r>
          </w:p>
        </w:tc>
        <w:tc>
          <w:tcPr>
            <w:tcW w:type="dxa" w:w="2604"/>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20"/>
                <w:szCs w:val="20"/>
              </w:rPr>
              <w:t xml:space="preserve">Igualdade exata entre o hash on-chain e o hash recalculado off-chain, demonstrando ancoragem íntegra e sem manipulação.</w:t>
            </w:r>
          </w:p>
        </w:tc>
      </w:tr>
      <w:tr>
        <w:tc>
          <w:tcPr>
            <w:tcW w:type="dxa" w:w="11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20"/>
                <w:szCs w:val="20"/>
              </w:rPr>
              <w:t xml:space="preserve">C3 — Divulgação seletiva</w:t>
            </w:r>
          </w:p>
        </w:tc>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20"/>
                <w:szCs w:val="20"/>
              </w:rPr>
              <w:t xml:space="preserve">Atributos não selecionados pelo titular permanecem ocultos na apresentação SD-JWT, sem possibilidade de recuperação pelo verificador.</w:t>
            </w:r>
          </w:p>
        </w:tc>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20"/>
                <w:szCs w:val="20"/>
              </w:rPr>
              <w:t xml:space="preserve">Inspeção do payload da apresentação gerada e tentativa de recuperação dos atributos não divulgados a partir dos disclosures presentes na apresentação.</w:t>
            </w:r>
          </w:p>
        </w:tc>
        <w:tc>
          <w:tcPr>
            <w:tcW w:type="dxa" w:w="2604"/>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20"/>
                <w:szCs w:val="20"/>
              </w:rPr>
              <w:t xml:space="preserve">A apresentação contém apenas os atributos selecionados; os demais não são recuperáveis sem os disclosures correspondentes, em conformidade com a especificação SD-JWT.</w:t>
            </w:r>
          </w:p>
        </w:tc>
      </w:tr>
      <w:tr>
        <w:tc>
          <w:tcPr>
            <w:tcW w:type="dxa" w:w="11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20"/>
                <w:szCs w:val="20"/>
              </w:rPr>
              <w:t xml:space="preserve">C4 — Key Binding</w:t>
            </w:r>
          </w:p>
        </w:tc>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20"/>
                <w:szCs w:val="20"/>
              </w:rPr>
              <w:t xml:space="preserve">Apresentações desprovidas de assinatura válida do titular (Key Binding JWT) são rejeitadas pelo verificador, garantindo prova de posse pela entidade legítima.</w:t>
            </w:r>
          </w:p>
        </w:tc>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20"/>
                <w:szCs w:val="20"/>
              </w:rPr>
              <w:t xml:space="preserve">Submissão ao verificador de uma apresentação manipulada, sem KB-JWT ou com assinatura inválida, e observação do comportamento do componente verificador.</w:t>
            </w:r>
          </w:p>
        </w:tc>
        <w:tc>
          <w:tcPr>
            <w:tcW w:type="dxa" w:w="2604"/>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20"/>
                <w:szCs w:val="20"/>
              </w:rPr>
              <w:t xml:space="preserve">O verificador rejeita a apresentação com erro explícito de Key Binding, sem aceitar a credencial como válida.</w:t>
            </w:r>
          </w:p>
        </w:tc>
      </w:tr>
      <w:tr>
        <w:tc>
          <w:tcPr>
            <w:tcW w:type="dxa" w:w="11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20"/>
                <w:szCs w:val="20"/>
              </w:rPr>
              <w:t xml:space="preserve">C5 — Template visual</w:t>
            </w:r>
          </w:p>
        </w:tc>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20"/>
                <w:szCs w:val="20"/>
              </w:rPr>
              <w:t xml:space="preserve">O cartão visual da credencial é renderizado localmente, de forma consistente, a partir do template fornecido pela IES emissora.</w:t>
            </w:r>
          </w:p>
        </w:tc>
        <w:tc>
          <w:tcPr>
            <w:tcW w:type="dxa" w:w="2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20"/>
                <w:szCs w:val="20"/>
              </w:rPr>
              <w:t xml:space="preserve">Renderização do cartão a partir do template institucional aplicado aos atributos divulgados, e inspeção visual do resultado em comparação ao layout especificado.</w:t>
            </w:r>
          </w:p>
        </w:tc>
        <w:tc>
          <w:tcPr>
            <w:tcW w:type="dxa" w:w="2604"/>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60"/>
              <w:jc w:val="left"/>
            </w:pPr>
            <w:r>
              <w:rPr>
                <w:sz w:val="20"/>
                <w:szCs w:val="20"/>
              </w:rPr>
              <w:t xml:space="preserve">O cartão exibe os atributos divulgados conforme o template, sem distorções de layout, preservando identidade visual institucional.</w:t>
            </w:r>
          </w:p>
        </w:tc>
      </w:tr>
    </w:tbl>
    <w:p>
      <w:pPr>
        <w:spacing w:after="240"/>
        <w:jc w:val="center"/>
      </w:pPr>
      <w:r>
        <w:rPr>
          <w:i/>
          <w:iCs/>
          <w:sz w:val="20"/>
          <w:szCs w:val="20"/>
        </w:rPr>
        <w:t xml:space="preserve">Fonte: elaborada pelo autor (2025).</w:t>
      </w:r>
    </w:p>
    <w:p>
      <w:pPr>
        <w:spacing w:after="200" w:line="360"/>
        <w:jc w:val="both"/>
      </w:pPr>
      <w:r>
        <w:t xml:space="preserve">O critério normativo (C6) é operacionalizado por meio de um checklist de aderência aos princípios estabelecidos no Art. 6° da Lei nº 13.709/2018 (LGPD), aplicáveis ao tratamento de dados pessoais no contexto da arquitetura proposta. Para cada princípio, é registrado: (a) sua descrição legal; (b) o mecanismo arquitetural ou criptográfico que o atende, quando aplicável; e (c) eventuais ressalvas ou limitações da arquitetura quanto à aderência ao princípio. Os princípios analisados são: finalidade, adequação, necessidade, livre acesso, qualidade dos dados, transparência, segurança, prevenção, não discriminação e responsabilização e prestação de contas. A análise estruturada da aderência à LGPD constitui contribuição específica deste trabalho, dado que, conforme demonstrado na matriz comparativa da seção 2.N.3 (propriedade P7), nenhum dos trabalhos relacionados identificados no levantamento bibliográfico conduz avaliação sistemática equivalente.</w:t>
      </w:r>
    </w:p>
    <w:p>
      <w:pPr>
        <w:pStyle w:val="Heading2"/>
        <w:spacing w:after="180" w:before="320"/>
      </w:pPr>
      <w:r>
        <w:t xml:space="preserve">3.5 Delimitações</w:t>
      </w:r>
    </w:p>
    <w:p>
      <w:pPr>
        <w:spacing w:after="200" w:line="360"/>
        <w:jc w:val="both"/>
      </w:pPr>
      <w:r>
        <w:t xml:space="preserve">Definem-se as seguintes delimitações de escopo, necessárias à viabilidade da pesquisa e relevantes para a interpretação adequada de seus resultados:</w:t>
      </w:r>
    </w:p>
    <w:p>
      <w:pPr>
        <w:spacing w:after="160" w:line="340"/>
        <w:ind w:left="360" w:hanging="0"/>
        <w:jc w:val="both"/>
      </w:pPr>
      <w:r>
        <w:rPr>
          <w:b/>
          <w:bCs/>
        </w:rPr>
        <w:t xml:space="preserve">a) </w:t>
      </w:r>
      <w:r>
        <w:t xml:space="preserve">o protótipo opera exclusivamente em testnet Ethereum Sepolia, ambiente de teste público sem valor econômico real. Não são realizadas implantação em mainnet nem análise de custos reais de transação em rede pública;</w:t>
      </w:r>
    </w:p>
    <w:p>
      <w:pPr>
        <w:spacing w:after="160" w:line="340"/>
        <w:ind w:left="360" w:hanging="0"/>
        <w:jc w:val="both"/>
      </w:pPr>
      <w:r>
        <w:rPr>
          <w:b/>
          <w:bCs/>
        </w:rPr>
        <w:t xml:space="preserve">b) </w:t>
      </w:r>
      <w:r>
        <w:t xml:space="preserve">não são realizados testes de desempenho, escalabilidade ou carga sobre o protótipo, dado que a fase de prova de conceito visa validar correção arquitetural e propriedades funcionais, não aspectos de produção;</w:t>
      </w:r>
    </w:p>
    <w:p>
      <w:pPr>
        <w:spacing w:after="160" w:line="340"/>
        <w:ind w:left="360" w:hanging="0"/>
        <w:jc w:val="both"/>
      </w:pPr>
      <w:r>
        <w:rPr>
          <w:b/>
          <w:bCs/>
        </w:rPr>
        <w:t xml:space="preserve">c) </w:t>
      </w:r>
      <w:r>
        <w:t xml:space="preserve">não são conduzidos levantamentos de campo, entrevistas, surveys ou avaliações com usuários finais, instituições de ensino ou empregadores. As implicações desta delimitação para a validade dos resultados são detalhadas na seção 3.6;</w:t>
      </w:r>
    </w:p>
    <w:p>
      <w:pPr>
        <w:spacing w:after="160" w:line="340"/>
        <w:ind w:left="360" w:hanging="0"/>
        <w:jc w:val="both"/>
      </w:pPr>
      <w:r>
        <w:rPr>
          <w:b/>
          <w:bCs/>
        </w:rPr>
        <w:t xml:space="preserve">d) </w:t>
      </w:r>
      <w:r>
        <w:t xml:space="preserve">a análise de aderência à LGPD não substitui parecer jurídico formal, configurando-se como discussão acadêmica orientada pelos princípios da norma e conduzida com referência à literatura de proteção de dados;</w:t>
      </w:r>
    </w:p>
    <w:p>
      <w:pPr>
        <w:spacing w:after="160" w:line="340"/>
        <w:ind w:left="360" w:hanging="0"/>
        <w:jc w:val="both"/>
      </w:pPr>
      <w:r>
        <w:rPr>
          <w:b/>
          <w:bCs/>
        </w:rPr>
        <w:t xml:space="preserve">e) </w:t>
      </w:r>
      <w:r>
        <w:t xml:space="preserve">para a identificação descentralizada dos atores, adotam-se dois métodos distintos, alinhados às características de cada papel na arquitetura. Para o emissor (instituição de ensino superior), utiliza-se o método did:web, que ancora o DID Document em URL HTTPS sob controle do domínio institucional, aproveitando a governança preexistente da IES sobre sua infraestrutura web. Para o titular (aluno), adota-se o método did:ethr, baseado no ERC-1056 (Ethereum DID Registry), que deriva o identificador a partir de um endereço Ethereum e oferece ao próprio titular controle soberano sobre rotação de chaves e revogação, alinhado ao princípio de Self-Sovereign Identity. Ambas as escolhas são compatíveis com cenários de produção e não configuram simplificação metodológica;</w:t>
      </w:r>
    </w:p>
    <w:p>
      <w:pPr>
        <w:spacing w:after="160" w:line="340"/>
        <w:ind w:left="360" w:hanging="0"/>
        <w:jc w:val="both"/>
      </w:pPr>
      <w:r>
        <w:rPr>
          <w:b/>
          <w:bCs/>
        </w:rPr>
        <w:t xml:space="preserve">f) </w:t>
      </w:r>
      <w:r>
        <w:t xml:space="preserve">a pesquisa caracteriza-se como prova de conceito (PoC), e suas conclusões são válidas no contexto experimental descrito, não sendo automaticamente generalizáveis para implantação em produção sem estudos complementares, conforme detalhado na seção 3.6.</w:t>
      </w:r>
    </w:p>
    <w:p>
      <w:pPr>
        <w:pStyle w:val="Heading2"/>
        <w:spacing w:after="180" w:before="320"/>
      </w:pPr>
      <w:r>
        <w:t xml:space="preserve">3.6 Ameaças à Validade</w:t>
      </w:r>
    </w:p>
    <w:p>
      <w:pPr>
        <w:spacing w:after="200" w:line="360"/>
        <w:jc w:val="both"/>
      </w:pPr>
      <w:r>
        <w:t xml:space="preserve">Em conformidade com boas práticas de pesquisa em Engenharia de Software e em Ciências de Projeto, reconhecem-se as seguintes ameaças à validade dos resultados, organizadas segundo a tipologia clássica de Wohlin et al. (2012):</w:t>
      </w:r>
    </w:p>
    <w:p>
      <w:pPr>
        <w:spacing w:after="200" w:line="360"/>
        <w:jc w:val="both"/>
      </w:pPr>
      <w:r>
        <w:rPr>
          <w:b/>
          <w:bCs/>
        </w:rPr>
        <w:t xml:space="preserve">Validade interna. </w:t>
      </w:r>
      <w:r>
        <w:t xml:space="preserve">Os cenários de demonstração foram concebidos e executados pelo próprio autor, sem replicação independente, condição que pode introduzir viés na verificação dos critérios funcionais. Mitiga-se esta ameaça por dois mecanismos: (i) registro detalhado e replicável dos passos executados, das ferramentas utilizadas e dos parâmetros adotados; e (ii) disponibilização das evidências verificáveis (transações na testnet pública Sepolia, hashes criptográficos e payloads JWT), de forma que terceiros possam, em princípio, recalcular e auditar os resultados sem dependência exclusiva da narrativa do autor.</w:t>
      </w:r>
    </w:p>
    <w:p>
      <w:pPr>
        <w:spacing w:after="200" w:line="360"/>
        <w:jc w:val="both"/>
      </w:pPr>
      <w:r>
        <w:rPr>
          <w:b/>
          <w:bCs/>
        </w:rPr>
        <w:t xml:space="preserve">Validade de construto. </w:t>
      </w:r>
      <w:r>
        <w:t xml:space="preserve">Os critérios de avaliação técnico-funcionais (C1 a C5) e o critério normativo (C6) foram derivados pelo autor a partir da literatura de Verifiable Credentials, especificações IETF (SD-JWT, RFC 9901) e da Lei nº 13.709/2018, sem submissão a um painel externo de especialistas para validação prévia. A vinculação explícita entre cada critério e os objetivos do trabalho, bem como entre cada critério e a propriedade arquitetural correspondente identificada na seção 2.N.3, busca minimizar distorções nesta derivação. Reconhece-se, contudo, que a definição de critérios por um único pesquisador constitui limitação metodológica reconhecida em pesquisas exploratórias de DSR conduzidas em escopo de TCC.</w:t>
      </w:r>
    </w:p>
    <w:p>
      <w:pPr>
        <w:spacing w:after="200" w:line="360"/>
        <w:jc w:val="both"/>
      </w:pPr>
      <w:r>
        <w:rPr>
          <w:b/>
          <w:bCs/>
        </w:rPr>
        <w:t xml:space="preserve">Validade externa. </w:t>
      </w:r>
      <w:r>
        <w:t xml:space="preserve">Os resultados são válidos para o contexto da prova de conceito em testnet pública Ethereum Sepolia, com o conjunto específico de tecnologias e parâmetros descrito, não sendo automaticamente generalizáveis a ambientes de produção, a outras redes blockchain (mainnet ou redes alternativas), a outros métodos DID além dos especificados, ou a contextos institucionais distintos sem investigações adicionais. A escolha por did:web para o emissor e did:ethr para o titular, conforme detalhado na seção 3.5, é defensável em produção, mas a validação em diferentes infraestruturas reais permanece em aberto. A não realização de avaliação com usuários (delimitação 3.5.c) é, ela própria, uma ameaça reconhecida à validade externa, mitigada parcialmente pela natureza técnica e criptográfica dos critérios C1 a C5, cuja verificação não depende de feedback subjetivo.</w:t>
      </w:r>
    </w:p>
    <w:p>
      <w:pPr>
        <w:spacing w:after="200" w:line="360"/>
        <w:jc w:val="both"/>
      </w:pPr>
      <w:r>
        <w:rPr>
          <w:b/>
          <w:bCs/>
        </w:rPr>
        <w:t xml:space="preserve">Validade de conclusão. </w:t>
      </w:r>
      <w:r>
        <w:t xml:space="preserve">Como a avaliação é qualitativa e baseada em critérios verificáveis, mas não em medidas estatísticas oriundas de população amostral, as conclusões assumem caráter analítico e demonstrativo, não inferencial. As propriedades verificadas são apresentadas como demonstradas no contexto experimental descrito, sem extrapolação probabilística para populações de credenciais ou casos de uso não examinados. Esta característica é coerente com o paradigma da DSR aplicada a artefato único e com a natureza exploratória da pesquisa, conforme caracterização da seção 3.1.</w:t>
      </w:r>
    </w:p>
    <w:p>
      <w:pPr>
        <w:spacing w:after="200" w:line="360"/>
        <w:jc w:val="both"/>
      </w:pPr>
      <w:r>
        <w:t xml:space="preserve">As ameaças aqui reconhecidas não invalidam os resultados da pesquisa, mas delimitam o alcance de suas conclusões e indicam direções específicas para investigações futuras, especialmente quanto à validação independente do artefato, à avaliação com usuários reais e à análise de desempenho em condições de produção.</w:t>
      </w:r>
    </w:p>
    <w:sectPr>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0000"/>
      <w:sz w:val="28"/>
      <w:szCs w:val="28"/>
    </w:rPr>
  </w:style>
  <w:style w:type="paragraph" w:styleId="Heading2">
    <w:name w:val="Heading 2"/>
    <w:basedOn w:val="Normal"/>
    <w:next w:val="Normal"/>
    <w:qFormat/>
    <w:pPr>
      <w:spacing w:after="200" w:before="320"/>
      <w:outlineLvl w:val="1"/>
    </w:pPr>
    <w:rPr>
      <w:rFonts w:ascii="Arial" w:cs="Arial" w:eastAsia="Arial" w:hAnsi="Arial"/>
      <w:b/>
      <w:bCs/>
      <w:color w:val="000000"/>
      <w:sz w:val="26"/>
      <w:szCs w:val="26"/>
    </w:rPr>
  </w:style>
  <w:style w:type="paragraph" w:styleId="Heading3">
    <w:name w:val="Heading 3"/>
    <w:basedOn w:val="Normal"/>
    <w:next w:val="Normal"/>
    <w:qFormat/>
    <w:pPr>
      <w:spacing w:after="160" w:before="280"/>
      <w:outlineLvl w:val="2"/>
    </w:pPr>
    <w:rPr>
      <w:rFonts w:ascii="Arial" w:cs="Arial" w:eastAsia="Arial" w:hAnsi="Arial"/>
      <w:b/>
      <w:bCs/>
      <w:color w:val="000000"/>
      <w:sz w:val="24"/>
      <w:szCs w:val="24"/>
    </w:rPr>
  </w:style>
  <w:style w:type="paragraph" w:styleId="Heading4">
    <w:name w:val="Heading 4"/>
    <w:basedOn w:val="Normal"/>
    <w:next w:val="Normal"/>
    <w:qFormat/>
    <w:pPr>
      <w:spacing w:after="140" w:before="240"/>
      <w:outlineLvl w:val="3"/>
    </w:pPr>
    <w:rPr>
      <w:rFonts w:ascii="Arial" w:cs="Arial" w:eastAsia="Arial" w:hAnsi="Arial"/>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2026-05-05T20:44:55.755Z</dcterms:created>
  <dcterms:modified xsi:type="dcterms:W3CDTF">2026-05-05T20:44:55.755Z</dcterms:modified>
</cp:coreProperties>
</file>

<file path=docProps/custom.xml><?xml version="1.0" encoding="utf-8"?>
<Properties xmlns="http://schemas.openxmlformats.org/officeDocument/2006/custom-properties" xmlns:vt="http://schemas.openxmlformats.org/officeDocument/2006/docPropsVTypes"/>
</file>