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numPr>
          <w:ilvl w:val="0"/>
          <w:numId w:val="1"/>
        </w:numPr>
        <w:ind w:left="720" w:hanging="360"/>
        <w:rPr/>
      </w:pPr>
      <w:bookmarkStart w:colFirst="0" w:colLast="0" w:name="_xvc0j820hemg" w:id="0"/>
      <w:bookmarkEnd w:id="0"/>
      <w:r w:rsidDel="00000000" w:rsidR="00000000" w:rsidRPr="00000000">
        <w:rPr>
          <w:rtl w:val="0"/>
        </w:rPr>
        <w:t xml:space="preserve">Requerimientos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Hardware: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Modular y con partes fácilmente reemplazables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Alimentación de la red eléctrica (con cargador de celular) y/o mediante energías renovables, para ello es importante buscar la mejor relación costo-eficiencia-tamaño de las baterías. 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Bajo consumo de energía eléctrica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Capacidad de transmitir información (en doble vía) con: app celular mediante bluetooth, directamente a un servidor por wifi, mediante memoria micro SD, radiofrecuencia a otro dispositivo u otros.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Carcasa, materiales, etc resistentes a la intemperie. 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Lograr obtener datos de fecha, hora y ubicación del dispositivo de forma automática.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Software: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Lenguaje de programación estructurado u orientado a objetos.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Fácilmente adaptable e implementable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Modular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Exportar información en formato .csv y recibir comandos externos con: app celular mediante bluetooth, directamente a un servidor por wifi o mediante memoria micro SD, radiofrecuencia a otro dispositivo u otros. 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Estado inicial de comprobación, en configuración inicial. Barrido identificando sensores habilitados.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