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CD132" w14:textId="77777777" w:rsidR="004B20A9" w:rsidRDefault="00000000" w:rsidP="00B32789">
      <w:r>
        <w:t xml:space="preserve">Analyzing AI Solutions for </w:t>
      </w:r>
      <w:proofErr w:type="spellStart"/>
      <w:r>
        <w:t>CanopyIQ</w:t>
      </w:r>
      <w:proofErr w:type="spellEnd"/>
      <w:r>
        <w:t xml:space="preserve"> from Multiple Perspectives</w:t>
      </w:r>
    </w:p>
    <w:p w14:paraId="2B222D8D" w14:textId="77777777" w:rsidR="004B20A9" w:rsidRDefault="00000000">
      <w:pPr>
        <w:pBdr>
          <w:bottom w:val="single" w:sz="6" w:space="6" w:color="2E6B4A"/>
        </w:pBdr>
        <w:spacing w:after="240"/>
        <w:jc w:val="center"/>
      </w:pPr>
      <w:r>
        <w:rPr>
          <w:rFonts w:ascii="Calibri" w:eastAsia="Calibri" w:hAnsi="Calibri" w:cs="Calibri"/>
          <w:i/>
          <w:iCs/>
          <w:color w:val="444444"/>
          <w:sz w:val="22"/>
          <w:szCs w:val="22"/>
        </w:rPr>
        <w:t>Tree Canopy Decision Support System — Kitchener, Waterloo &amp; Cambridge</w:t>
      </w:r>
    </w:p>
    <w:p w14:paraId="593A5183" w14:textId="77777777" w:rsidR="004B20A9" w:rsidRDefault="00000000">
      <w:pPr>
        <w:spacing w:after="120" w:line="276" w:lineRule="auto"/>
        <w:jc w:val="both"/>
      </w:pPr>
      <w:proofErr w:type="spellStart"/>
      <w:r>
        <w:rPr>
          <w:rFonts w:ascii="Calibri" w:eastAsia="Calibri" w:hAnsi="Calibri" w:cs="Calibri"/>
          <w:sz w:val="22"/>
          <w:szCs w:val="22"/>
        </w:rPr>
        <w:t>CanopyIQ</w:t>
      </w:r>
      <w:proofErr w:type="spellEnd"/>
      <w:r>
        <w:rPr>
          <w:rFonts w:ascii="Calibri" w:eastAsia="Calibri" w:hAnsi="Calibri" w:cs="Calibri"/>
          <w:sz w:val="22"/>
          <w:szCs w:val="22"/>
        </w:rPr>
        <w:t xml:space="preserve"> is a geospatial decision support system (DSS) that helps municipal forestry departments decide where to plant, prune, and inspect urban trees. It combines a multi-criteria index that ranks 52 Kitchener planning communities on tree density deficit, attrition, genus monoculture, and inspection backlog, with a Random Forest classifier trained on 145,326 harmonized Kitchener and Waterloo tree records that estimates the probability an individual tree will be removed. Because these outputs shape public spending, </w:t>
      </w:r>
      <w:proofErr w:type="spellStart"/>
      <w:r>
        <w:rPr>
          <w:rFonts w:ascii="Calibri" w:eastAsia="Calibri" w:hAnsi="Calibri" w:cs="Calibri"/>
          <w:sz w:val="22"/>
          <w:szCs w:val="22"/>
        </w:rPr>
        <w:t>neighbourhood</w:t>
      </w:r>
      <w:proofErr w:type="spellEnd"/>
      <w:r>
        <w:rPr>
          <w:rFonts w:ascii="Calibri" w:eastAsia="Calibri" w:hAnsi="Calibri" w:cs="Calibri"/>
          <w:sz w:val="22"/>
          <w:szCs w:val="22"/>
        </w:rPr>
        <w:t xml:space="preserve"> shade, and the daily work of field crews, the solution must be evaluated beyond raw accuracy. The following analysis examines </w:t>
      </w:r>
      <w:proofErr w:type="spellStart"/>
      <w:r>
        <w:rPr>
          <w:rFonts w:ascii="Calibri" w:eastAsia="Calibri" w:hAnsi="Calibri" w:cs="Calibri"/>
          <w:sz w:val="22"/>
          <w:szCs w:val="22"/>
        </w:rPr>
        <w:t>CanopyIQ</w:t>
      </w:r>
      <w:proofErr w:type="spellEnd"/>
      <w:r>
        <w:rPr>
          <w:rFonts w:ascii="Calibri" w:eastAsia="Calibri" w:hAnsi="Calibri" w:cs="Calibri"/>
          <w:sz w:val="22"/>
          <w:szCs w:val="22"/>
        </w:rPr>
        <w:t xml:space="preserve"> through the lenses of Accessibility, Ethics, Equity, Privacy, Security, Sustainability, and Well-being.</w:t>
      </w:r>
    </w:p>
    <w:p w14:paraId="2D55FFE2" w14:textId="77777777" w:rsidR="004B20A9" w:rsidRDefault="00000000">
      <w:pPr>
        <w:pStyle w:val="1"/>
        <w:spacing w:before="260" w:after="120"/>
      </w:pPr>
      <w:r>
        <w:rPr>
          <w:rFonts w:ascii="Calibri" w:eastAsia="Calibri" w:hAnsi="Calibri" w:cs="Calibri"/>
          <w:b/>
          <w:bCs/>
          <w:color w:val="1F4E35"/>
        </w:rPr>
        <w:t>1. Accessibility (Inclusive Access for All)</w:t>
      </w:r>
    </w:p>
    <w:p w14:paraId="57464D27" w14:textId="77777777" w:rsidR="004B20A9" w:rsidRDefault="00000000">
      <w:pPr>
        <w:spacing w:before="120" w:after="60"/>
      </w:pPr>
      <w:r>
        <w:rPr>
          <w:rFonts w:ascii="Calibri" w:eastAsia="Calibri" w:hAnsi="Calibri" w:cs="Calibri"/>
          <w:b/>
          <w:bCs/>
          <w:i/>
          <w:iCs/>
          <w:sz w:val="23"/>
          <w:szCs w:val="23"/>
        </w:rPr>
        <w:t>Challenges</w:t>
      </w:r>
    </w:p>
    <w:p w14:paraId="3F0AB905" w14:textId="77777777" w:rsidR="004B20A9" w:rsidRDefault="00000000">
      <w:pPr>
        <w:pStyle w:val="a4"/>
        <w:numPr>
          <w:ilvl w:val="0"/>
          <w:numId w:val="2"/>
        </w:numPr>
        <w:spacing w:after="80" w:line="276" w:lineRule="auto"/>
      </w:pPr>
      <w:r>
        <w:rPr>
          <w:rFonts w:ascii="Calibri" w:eastAsia="Calibri" w:hAnsi="Calibri" w:cs="Calibri"/>
          <w:sz w:val="22"/>
          <w:szCs w:val="22"/>
        </w:rPr>
        <w:t xml:space="preserve">The DSS is map-first: priority tiers are communicated through </w:t>
      </w:r>
      <w:proofErr w:type="spellStart"/>
      <w:r>
        <w:rPr>
          <w:rFonts w:ascii="Calibri" w:eastAsia="Calibri" w:hAnsi="Calibri" w:cs="Calibri"/>
          <w:sz w:val="22"/>
          <w:szCs w:val="22"/>
        </w:rPr>
        <w:t>colour</w:t>
      </w:r>
      <w:proofErr w:type="spellEnd"/>
      <w:r>
        <w:rPr>
          <w:rFonts w:ascii="Calibri" w:eastAsia="Calibri" w:hAnsi="Calibri" w:cs="Calibri"/>
          <w:sz w:val="22"/>
          <w:szCs w:val="22"/>
        </w:rPr>
        <w:t xml:space="preserve">-shaded polygons, which excludes users with </w:t>
      </w:r>
      <w:proofErr w:type="spellStart"/>
      <w:r>
        <w:rPr>
          <w:rFonts w:ascii="Calibri" w:eastAsia="Calibri" w:hAnsi="Calibri" w:cs="Calibri"/>
          <w:sz w:val="22"/>
          <w:szCs w:val="22"/>
        </w:rPr>
        <w:t>colour</w:t>
      </w:r>
      <w:proofErr w:type="spellEnd"/>
      <w:r>
        <w:rPr>
          <w:rFonts w:ascii="Calibri" w:eastAsia="Calibri" w:hAnsi="Calibri" w:cs="Calibri"/>
          <w:sz w:val="22"/>
          <w:szCs w:val="22"/>
        </w:rPr>
        <w:t xml:space="preserve"> vision deficiency and is unreadable to screen readers, since geospatial canvases expose no semantic text layer.</w:t>
      </w:r>
    </w:p>
    <w:p w14:paraId="1968C538" w14:textId="77777777" w:rsidR="004B20A9" w:rsidRDefault="00000000">
      <w:pPr>
        <w:pStyle w:val="a4"/>
        <w:numPr>
          <w:ilvl w:val="0"/>
          <w:numId w:val="2"/>
        </w:numPr>
        <w:spacing w:after="80" w:line="276" w:lineRule="auto"/>
      </w:pPr>
      <w:r>
        <w:rPr>
          <w:rFonts w:ascii="Calibri" w:eastAsia="Calibri" w:hAnsi="Calibri" w:cs="Calibri"/>
          <w:sz w:val="22"/>
          <w:szCs w:val="22"/>
        </w:rPr>
        <w:t>The index inherits the accessibility of its inputs. It only sees publicly inventoried street and park trees, so communities that were never fully digitized appear as low-density rather than as under-documented.</w:t>
      </w:r>
    </w:p>
    <w:p w14:paraId="6362A4FF" w14:textId="77777777" w:rsidR="004B20A9" w:rsidRDefault="00000000">
      <w:pPr>
        <w:spacing w:before="120" w:after="60"/>
      </w:pPr>
      <w:r>
        <w:rPr>
          <w:rFonts w:ascii="Calibri" w:eastAsia="Calibri" w:hAnsi="Calibri" w:cs="Calibri"/>
          <w:b/>
          <w:bCs/>
          <w:i/>
          <w:iCs/>
          <w:sz w:val="23"/>
          <w:szCs w:val="23"/>
        </w:rPr>
        <w:t>Solutions</w:t>
      </w:r>
    </w:p>
    <w:p w14:paraId="5A60B88E" w14:textId="77777777" w:rsidR="004B20A9" w:rsidRDefault="00000000">
      <w:pPr>
        <w:pStyle w:val="a4"/>
        <w:numPr>
          <w:ilvl w:val="0"/>
          <w:numId w:val="2"/>
        </w:numPr>
        <w:spacing w:after="80" w:line="276" w:lineRule="auto"/>
      </w:pPr>
      <w:r>
        <w:rPr>
          <w:rFonts w:ascii="Calibri" w:eastAsia="Calibri" w:hAnsi="Calibri" w:cs="Calibri"/>
          <w:sz w:val="22"/>
          <w:szCs w:val="22"/>
        </w:rPr>
        <w:t>Build the dashboard to WCAG 2.1 AA and ship an accessible tabular equivalent of every map view. The pipeline already exports canopyiq_index.csv with all 52 ranked communities, so this requires no additional modelling work.</w:t>
      </w:r>
    </w:p>
    <w:p w14:paraId="4B950B55" w14:textId="77777777" w:rsidR="004B20A9" w:rsidRDefault="00000000">
      <w:pPr>
        <w:pStyle w:val="a4"/>
        <w:numPr>
          <w:ilvl w:val="0"/>
          <w:numId w:val="2"/>
        </w:numPr>
        <w:spacing w:after="80" w:line="276" w:lineRule="auto"/>
      </w:pPr>
      <w:r>
        <w:rPr>
          <w:rFonts w:ascii="Calibri" w:eastAsia="Calibri" w:hAnsi="Calibri" w:cs="Calibri"/>
          <w:sz w:val="22"/>
          <w:szCs w:val="22"/>
        </w:rPr>
        <w:t>Publish a plain-language summary for each community ("this area has fewer trees per hectare than most of Kitchener and has not been inspected in 16 years") alongside the technical score.</w:t>
      </w:r>
    </w:p>
    <w:p w14:paraId="2FE09D5D" w14:textId="77777777" w:rsidR="004B20A9" w:rsidRDefault="00000000">
      <w:pPr>
        <w:pStyle w:val="1"/>
        <w:spacing w:before="260" w:after="120"/>
      </w:pPr>
      <w:r>
        <w:rPr>
          <w:rFonts w:ascii="Calibri" w:eastAsia="Calibri" w:hAnsi="Calibri" w:cs="Calibri"/>
          <w:b/>
          <w:bCs/>
          <w:color w:val="1F4E35"/>
        </w:rPr>
        <w:t>2. Ethics (Fair and Responsible AI Use)</w:t>
      </w:r>
    </w:p>
    <w:p w14:paraId="5701B853" w14:textId="77777777" w:rsidR="004B20A9" w:rsidRDefault="00000000">
      <w:pPr>
        <w:spacing w:before="120" w:after="60"/>
      </w:pPr>
      <w:r>
        <w:rPr>
          <w:rFonts w:ascii="Calibri" w:eastAsia="Calibri" w:hAnsi="Calibri" w:cs="Calibri"/>
          <w:b/>
          <w:bCs/>
          <w:i/>
          <w:iCs/>
          <w:sz w:val="23"/>
          <w:szCs w:val="23"/>
        </w:rPr>
        <w:t>Challenges</w:t>
      </w:r>
    </w:p>
    <w:p w14:paraId="78092330" w14:textId="77777777" w:rsidR="004B20A9" w:rsidRDefault="00000000">
      <w:pPr>
        <w:pStyle w:val="a4"/>
        <w:numPr>
          <w:ilvl w:val="0"/>
          <w:numId w:val="2"/>
        </w:numPr>
        <w:spacing w:after="80" w:line="276" w:lineRule="auto"/>
      </w:pPr>
      <w:r>
        <w:rPr>
          <w:rFonts w:ascii="Calibri" w:eastAsia="Calibri" w:hAnsi="Calibri" w:cs="Calibri"/>
          <w:b/>
          <w:bCs/>
          <w:sz w:val="22"/>
          <w:szCs w:val="22"/>
        </w:rPr>
        <w:t xml:space="preserve">The model appears more intelligent than it is: </w:t>
      </w:r>
      <w:r>
        <w:rPr>
          <w:rFonts w:ascii="Calibri" w:eastAsia="Calibri" w:hAnsi="Calibri" w:cs="Calibri"/>
          <w:sz w:val="22"/>
          <w:szCs w:val="22"/>
        </w:rPr>
        <w:t>when Fraxinus is excluded, performance collapses from ROC-AUC 0.770 and PR-AUC 0.594 to ROC-AUC 0.625, F1 0.267, and accuracy 0.499. It has largely learned the Emerald Ash Borer epidemic rather than a general theory of tree mortality.</w:t>
      </w:r>
    </w:p>
    <w:p w14:paraId="1197DCE1" w14:textId="77777777" w:rsidR="004B20A9" w:rsidRDefault="00000000">
      <w:pPr>
        <w:pStyle w:val="a4"/>
        <w:numPr>
          <w:ilvl w:val="0"/>
          <w:numId w:val="2"/>
        </w:numPr>
        <w:spacing w:after="80" w:line="276" w:lineRule="auto"/>
      </w:pPr>
      <w:r>
        <w:rPr>
          <w:rFonts w:ascii="Calibri" w:eastAsia="Calibri" w:hAnsi="Calibri" w:cs="Calibri"/>
          <w:sz w:val="22"/>
          <w:szCs w:val="22"/>
        </w:rPr>
        <w:t>Scope creep is possible: a probability produced to plan proactive maintenance can quietly be repurposed to justify pre-emptive removals, which inverts the system's stated purpose.</w:t>
      </w:r>
    </w:p>
    <w:p w14:paraId="0A0161B5" w14:textId="77777777" w:rsidR="004B20A9" w:rsidRDefault="00000000">
      <w:pPr>
        <w:spacing w:before="120" w:after="60"/>
      </w:pPr>
      <w:r>
        <w:rPr>
          <w:rFonts w:ascii="Calibri" w:eastAsia="Calibri" w:hAnsi="Calibri" w:cs="Calibri"/>
          <w:b/>
          <w:bCs/>
          <w:i/>
          <w:iCs/>
          <w:sz w:val="23"/>
          <w:szCs w:val="23"/>
        </w:rPr>
        <w:t>Solutions</w:t>
      </w:r>
    </w:p>
    <w:p w14:paraId="720E188B" w14:textId="77777777" w:rsidR="004B20A9" w:rsidRDefault="00000000">
      <w:pPr>
        <w:pStyle w:val="a4"/>
        <w:numPr>
          <w:ilvl w:val="0"/>
          <w:numId w:val="2"/>
        </w:numPr>
        <w:spacing w:after="80" w:line="276" w:lineRule="auto"/>
      </w:pPr>
      <w:r>
        <w:rPr>
          <w:rFonts w:ascii="Calibri" w:eastAsia="Calibri" w:hAnsi="Calibri" w:cs="Calibri"/>
          <w:sz w:val="22"/>
          <w:szCs w:val="22"/>
        </w:rPr>
        <w:t>Publish a model card that states the Fraxinus dependency explicitly and defines the intended use as maintenance scheduling only, never as automated removal authorization.</w:t>
      </w:r>
    </w:p>
    <w:p w14:paraId="21D08AC1" w14:textId="77777777" w:rsidR="004B20A9" w:rsidRDefault="00000000">
      <w:pPr>
        <w:pStyle w:val="a4"/>
        <w:numPr>
          <w:ilvl w:val="0"/>
          <w:numId w:val="2"/>
        </w:numPr>
        <w:spacing w:after="80" w:line="276" w:lineRule="auto"/>
      </w:pPr>
      <w:r>
        <w:rPr>
          <w:rFonts w:ascii="Calibri" w:eastAsia="Calibri" w:hAnsi="Calibri" w:cs="Calibri"/>
          <w:sz w:val="22"/>
          <w:szCs w:val="22"/>
        </w:rPr>
        <w:t>Keep the system advisory. No tree is removed on a model score; every recommendation routes to a certified arborist inspection, and the inspection result is written back as ground truth.</w:t>
      </w:r>
    </w:p>
    <w:p w14:paraId="5867C423" w14:textId="77777777" w:rsidR="004B20A9" w:rsidRDefault="00000000">
      <w:pPr>
        <w:pStyle w:val="1"/>
        <w:spacing w:before="260" w:after="120"/>
      </w:pPr>
      <w:r>
        <w:rPr>
          <w:rFonts w:ascii="Calibri" w:eastAsia="Calibri" w:hAnsi="Calibri" w:cs="Calibri"/>
          <w:b/>
          <w:bCs/>
          <w:color w:val="1F4E35"/>
        </w:rPr>
        <w:t>3. Equity (Fairness in AI Decision-Making)</w:t>
      </w:r>
    </w:p>
    <w:p w14:paraId="1FDC4B22" w14:textId="77777777" w:rsidR="004B20A9" w:rsidRDefault="00000000">
      <w:pPr>
        <w:spacing w:before="120" w:after="60"/>
      </w:pPr>
      <w:r>
        <w:rPr>
          <w:rFonts w:ascii="Calibri" w:eastAsia="Calibri" w:hAnsi="Calibri" w:cs="Calibri"/>
          <w:b/>
          <w:bCs/>
          <w:i/>
          <w:iCs/>
          <w:sz w:val="23"/>
          <w:szCs w:val="23"/>
        </w:rPr>
        <w:t>Challenges</w:t>
      </w:r>
    </w:p>
    <w:p w14:paraId="613B17B7" w14:textId="77777777" w:rsidR="004B20A9" w:rsidRDefault="00000000">
      <w:pPr>
        <w:pStyle w:val="a4"/>
        <w:numPr>
          <w:ilvl w:val="0"/>
          <w:numId w:val="2"/>
        </w:numPr>
        <w:spacing w:after="80" w:line="276" w:lineRule="auto"/>
      </w:pPr>
      <w:r>
        <w:rPr>
          <w:rFonts w:ascii="Calibri" w:eastAsia="Calibri" w:hAnsi="Calibri" w:cs="Calibri"/>
          <w:sz w:val="22"/>
          <w:szCs w:val="22"/>
        </w:rPr>
        <w:lastRenderedPageBreak/>
        <w:t>Equal weighting is not neutrality. Assigning 0.25 to each of deficit, attrition, monoculture, and backlog is a choice about what the city values, made by the modelling team rather than by council or residents.</w:t>
      </w:r>
    </w:p>
    <w:p w14:paraId="3309A272" w14:textId="77777777" w:rsidR="004B20A9" w:rsidRDefault="00000000">
      <w:pPr>
        <w:pStyle w:val="a4"/>
        <w:numPr>
          <w:ilvl w:val="0"/>
          <w:numId w:val="2"/>
        </w:numPr>
        <w:spacing w:after="80" w:line="276" w:lineRule="auto"/>
      </w:pPr>
      <w:r>
        <w:rPr>
          <w:rFonts w:ascii="Calibri" w:eastAsia="Calibri" w:hAnsi="Calibri" w:cs="Calibri"/>
          <w:sz w:val="22"/>
          <w:szCs w:val="22"/>
        </w:rPr>
        <w:t xml:space="preserve">Under-inventoried </w:t>
      </w:r>
      <w:proofErr w:type="spellStart"/>
      <w:r>
        <w:rPr>
          <w:rFonts w:ascii="Calibri" w:eastAsia="Calibri" w:hAnsi="Calibri" w:cs="Calibri"/>
          <w:sz w:val="22"/>
          <w:szCs w:val="22"/>
        </w:rPr>
        <w:t>neighbourhoods</w:t>
      </w:r>
      <w:proofErr w:type="spellEnd"/>
      <w:r>
        <w:rPr>
          <w:rFonts w:ascii="Calibri" w:eastAsia="Calibri" w:hAnsi="Calibri" w:cs="Calibri"/>
          <w:sz w:val="22"/>
          <w:szCs w:val="22"/>
        </w:rPr>
        <w:t xml:space="preserve"> are systematically disadvantaged: sparse records depress the attrition and backlog signals, so historically neglected areas can score as low priority precisely because they were neglected.</w:t>
      </w:r>
    </w:p>
    <w:p w14:paraId="13A9B686" w14:textId="77777777" w:rsidR="004B20A9" w:rsidRDefault="00000000">
      <w:pPr>
        <w:spacing w:before="120" w:after="60"/>
      </w:pPr>
      <w:r>
        <w:rPr>
          <w:rFonts w:ascii="Calibri" w:eastAsia="Calibri" w:hAnsi="Calibri" w:cs="Calibri"/>
          <w:b/>
          <w:bCs/>
          <w:i/>
          <w:iCs/>
          <w:sz w:val="23"/>
          <w:szCs w:val="23"/>
        </w:rPr>
        <w:t>Solutions</w:t>
      </w:r>
    </w:p>
    <w:p w14:paraId="70CBF49D" w14:textId="77777777" w:rsidR="004B20A9" w:rsidRDefault="00000000">
      <w:pPr>
        <w:pStyle w:val="a4"/>
        <w:numPr>
          <w:ilvl w:val="0"/>
          <w:numId w:val="2"/>
        </w:numPr>
        <w:spacing w:after="80" w:line="276" w:lineRule="auto"/>
      </w:pPr>
      <w:r>
        <w:rPr>
          <w:rFonts w:ascii="Calibri" w:eastAsia="Calibri" w:hAnsi="Calibri" w:cs="Calibri"/>
          <w:sz w:val="22"/>
          <w:szCs w:val="22"/>
        </w:rPr>
        <w:t>Enforce the Green Equity KPI already defined in the performance plan: census tracts in the bottom 30% of median household income receive at least 40% of the proactive pruning budget, reported publicly each fiscal year.</w:t>
      </w:r>
    </w:p>
    <w:p w14:paraId="5B74253E" w14:textId="77777777" w:rsidR="004B20A9" w:rsidRDefault="00000000">
      <w:pPr>
        <w:pStyle w:val="a4"/>
        <w:numPr>
          <w:ilvl w:val="0"/>
          <w:numId w:val="2"/>
        </w:numPr>
        <w:spacing w:after="80" w:line="276" w:lineRule="auto"/>
      </w:pPr>
      <w:r>
        <w:rPr>
          <w:rFonts w:ascii="Calibri" w:eastAsia="Calibri" w:hAnsi="Calibri" w:cs="Calibri"/>
          <w:sz w:val="22"/>
          <w:szCs w:val="22"/>
        </w:rPr>
        <w:t>Attach a data-coverage confidence flag to every community, separating "few trees" from "few records," and route low-coverage areas to inventory fieldwork instead of scoring them as low priority.</w:t>
      </w:r>
    </w:p>
    <w:p w14:paraId="11C59F42" w14:textId="77777777" w:rsidR="004B20A9" w:rsidRDefault="00000000">
      <w:pPr>
        <w:pStyle w:val="1"/>
        <w:spacing w:before="260" w:after="120"/>
      </w:pPr>
      <w:r>
        <w:rPr>
          <w:rFonts w:ascii="Calibri" w:eastAsia="Calibri" w:hAnsi="Calibri" w:cs="Calibri"/>
          <w:b/>
          <w:bCs/>
          <w:color w:val="1F4E35"/>
        </w:rPr>
        <w:t>4. Privacy (User Data Protection)</w:t>
      </w:r>
    </w:p>
    <w:p w14:paraId="657B5162" w14:textId="77777777" w:rsidR="004B20A9" w:rsidRDefault="00000000">
      <w:pPr>
        <w:spacing w:before="120" w:after="60"/>
      </w:pPr>
      <w:r>
        <w:rPr>
          <w:rFonts w:ascii="Calibri" w:eastAsia="Calibri" w:hAnsi="Calibri" w:cs="Calibri"/>
          <w:b/>
          <w:bCs/>
          <w:i/>
          <w:iCs/>
          <w:sz w:val="23"/>
          <w:szCs w:val="23"/>
        </w:rPr>
        <w:t>Challenges</w:t>
      </w:r>
    </w:p>
    <w:p w14:paraId="46EE1576" w14:textId="77777777" w:rsidR="004B20A9" w:rsidRDefault="00000000">
      <w:pPr>
        <w:pStyle w:val="a4"/>
        <w:numPr>
          <w:ilvl w:val="0"/>
          <w:numId w:val="2"/>
        </w:numPr>
        <w:spacing w:after="80" w:line="276" w:lineRule="auto"/>
      </w:pPr>
      <w:r>
        <w:rPr>
          <w:rFonts w:ascii="Calibri" w:eastAsia="Calibri" w:hAnsi="Calibri" w:cs="Calibri"/>
          <w:sz w:val="22"/>
          <w:szCs w:val="22"/>
        </w:rPr>
        <w:t>A street tree inventory is a property-adjacent dataset. Each record carries precise x/y coordinates that map to a specific frontage, so a tree-level risk score is effectively an assessment attached to an identifiable address.</w:t>
      </w:r>
    </w:p>
    <w:p w14:paraId="36BA292F" w14:textId="77777777" w:rsidR="004B20A9" w:rsidRDefault="00000000">
      <w:pPr>
        <w:pStyle w:val="a4"/>
        <w:numPr>
          <w:ilvl w:val="0"/>
          <w:numId w:val="2"/>
        </w:numPr>
        <w:spacing w:after="80" w:line="276" w:lineRule="auto"/>
      </w:pPr>
      <w:r>
        <w:rPr>
          <w:rFonts w:ascii="Calibri" w:eastAsia="Calibri" w:hAnsi="Calibri" w:cs="Calibri"/>
          <w:sz w:val="22"/>
          <w:szCs w:val="22"/>
        </w:rPr>
        <w:t xml:space="preserve">Joining tree records to census income tables creates an inference channel, allowing </w:t>
      </w:r>
      <w:proofErr w:type="spellStart"/>
      <w:r>
        <w:rPr>
          <w:rFonts w:ascii="Calibri" w:eastAsia="Calibri" w:hAnsi="Calibri" w:cs="Calibri"/>
          <w:sz w:val="22"/>
          <w:szCs w:val="22"/>
        </w:rPr>
        <w:t>neighbourhood</w:t>
      </w:r>
      <w:proofErr w:type="spellEnd"/>
      <w:r>
        <w:rPr>
          <w:rFonts w:ascii="Calibri" w:eastAsia="Calibri" w:hAnsi="Calibri" w:cs="Calibri"/>
          <w:sz w:val="22"/>
          <w:szCs w:val="22"/>
        </w:rPr>
        <w:t>-level socioeconomic profiling from an ostensibly environmental dataset.</w:t>
      </w:r>
    </w:p>
    <w:p w14:paraId="1ECAB755" w14:textId="77777777" w:rsidR="004B20A9" w:rsidRDefault="00000000">
      <w:pPr>
        <w:spacing w:before="120" w:after="60"/>
      </w:pPr>
      <w:r>
        <w:rPr>
          <w:rFonts w:ascii="Calibri" w:eastAsia="Calibri" w:hAnsi="Calibri" w:cs="Calibri"/>
          <w:b/>
          <w:bCs/>
          <w:i/>
          <w:iCs/>
          <w:sz w:val="23"/>
          <w:szCs w:val="23"/>
        </w:rPr>
        <w:t>Solutions</w:t>
      </w:r>
    </w:p>
    <w:p w14:paraId="61E807C0" w14:textId="77777777" w:rsidR="004B20A9" w:rsidRDefault="00000000">
      <w:pPr>
        <w:pStyle w:val="a4"/>
        <w:numPr>
          <w:ilvl w:val="0"/>
          <w:numId w:val="2"/>
        </w:numPr>
        <w:spacing w:after="80" w:line="276" w:lineRule="auto"/>
      </w:pPr>
      <w:r>
        <w:rPr>
          <w:rFonts w:ascii="Calibri" w:eastAsia="Calibri" w:hAnsi="Calibri" w:cs="Calibri"/>
          <w:sz w:val="22"/>
          <w:szCs w:val="22"/>
        </w:rPr>
        <w:t>Keep all demographic joins at census tract level with minimum population thresholds, and prohibit any join of income data to individual tree coordinates in the data model itself, not only in policy.</w:t>
      </w:r>
    </w:p>
    <w:p w14:paraId="1D7E42B8" w14:textId="77777777" w:rsidR="004B20A9" w:rsidRDefault="00000000">
      <w:pPr>
        <w:pStyle w:val="a4"/>
        <w:numPr>
          <w:ilvl w:val="0"/>
          <w:numId w:val="2"/>
        </w:numPr>
        <w:spacing w:after="80" w:line="276" w:lineRule="auto"/>
      </w:pPr>
      <w:r>
        <w:rPr>
          <w:rFonts w:ascii="Calibri" w:eastAsia="Calibri" w:hAnsi="Calibri" w:cs="Calibri"/>
          <w:sz w:val="22"/>
          <w:szCs w:val="22"/>
        </w:rPr>
        <w:t>Tier the outputs: community-level scores for the 52 planning communities are public, while tree-level removal probabilities remain internal to forestry operations behind authenticated access.</w:t>
      </w:r>
    </w:p>
    <w:p w14:paraId="0FD24AE3" w14:textId="77777777" w:rsidR="004B20A9" w:rsidRDefault="00000000">
      <w:pPr>
        <w:pStyle w:val="1"/>
        <w:spacing w:before="260" w:after="120"/>
      </w:pPr>
      <w:r>
        <w:rPr>
          <w:rFonts w:ascii="Calibri" w:eastAsia="Calibri" w:hAnsi="Calibri" w:cs="Calibri"/>
          <w:b/>
          <w:bCs/>
          <w:color w:val="1F4E35"/>
        </w:rPr>
        <w:t>5. Security (Preventing Unauthorized Data Use)</w:t>
      </w:r>
    </w:p>
    <w:p w14:paraId="118FA93B" w14:textId="77777777" w:rsidR="004B20A9" w:rsidRDefault="00000000">
      <w:pPr>
        <w:spacing w:before="120" w:after="60"/>
      </w:pPr>
      <w:r>
        <w:rPr>
          <w:rFonts w:ascii="Calibri" w:eastAsia="Calibri" w:hAnsi="Calibri" w:cs="Calibri"/>
          <w:b/>
          <w:bCs/>
          <w:i/>
          <w:iCs/>
          <w:sz w:val="23"/>
          <w:szCs w:val="23"/>
        </w:rPr>
        <w:t>Challenges</w:t>
      </w:r>
    </w:p>
    <w:p w14:paraId="4F5BE9D7" w14:textId="77777777" w:rsidR="004B20A9" w:rsidRDefault="00000000">
      <w:pPr>
        <w:pStyle w:val="a4"/>
        <w:numPr>
          <w:ilvl w:val="0"/>
          <w:numId w:val="2"/>
        </w:numPr>
        <w:spacing w:after="80" w:line="276" w:lineRule="auto"/>
      </w:pPr>
      <w:r>
        <w:rPr>
          <w:rFonts w:ascii="Calibri" w:eastAsia="Calibri" w:hAnsi="Calibri" w:cs="Calibri"/>
          <w:sz w:val="22"/>
          <w:szCs w:val="22"/>
        </w:rPr>
        <w:t xml:space="preserve">The DSS exports maintenance schedules directly into </w:t>
      </w:r>
      <w:proofErr w:type="spellStart"/>
      <w:r>
        <w:rPr>
          <w:rFonts w:ascii="Calibri" w:eastAsia="Calibri" w:hAnsi="Calibri" w:cs="Calibri"/>
          <w:sz w:val="22"/>
          <w:szCs w:val="22"/>
        </w:rPr>
        <w:t>Cityworks</w:t>
      </w:r>
      <w:proofErr w:type="spellEnd"/>
      <w:r>
        <w:rPr>
          <w:rFonts w:ascii="Calibri" w:eastAsia="Calibri" w:hAnsi="Calibri" w:cs="Calibri"/>
          <w:sz w:val="22"/>
          <w:szCs w:val="22"/>
        </w:rPr>
        <w:t>. A compromised export can misdirect crews and reallocate real municipal budget, making integrity, not confidentiality, the primary security concern.</w:t>
      </w:r>
    </w:p>
    <w:p w14:paraId="1426B9CB" w14:textId="77777777" w:rsidR="004B20A9" w:rsidRDefault="00000000">
      <w:pPr>
        <w:pStyle w:val="a4"/>
        <w:numPr>
          <w:ilvl w:val="0"/>
          <w:numId w:val="2"/>
        </w:numPr>
        <w:spacing w:after="80" w:line="276" w:lineRule="auto"/>
      </w:pPr>
      <w:r>
        <w:rPr>
          <w:rFonts w:ascii="Calibri" w:eastAsia="Calibri" w:hAnsi="Calibri" w:cs="Calibri"/>
          <w:sz w:val="22"/>
          <w:szCs w:val="22"/>
        </w:rPr>
        <w:t>The ingestion layer accepts CSV and shapefile drops from three cities. Without validation, a malformed or deliberately manipulated inventory could poison the training data and shift priority away from a given area.</w:t>
      </w:r>
    </w:p>
    <w:p w14:paraId="2CB26EAC" w14:textId="77777777" w:rsidR="004B20A9" w:rsidRDefault="00000000">
      <w:pPr>
        <w:spacing w:before="120" w:after="60"/>
      </w:pPr>
      <w:r>
        <w:rPr>
          <w:rFonts w:ascii="Calibri" w:eastAsia="Calibri" w:hAnsi="Calibri" w:cs="Calibri"/>
          <w:b/>
          <w:bCs/>
          <w:i/>
          <w:iCs/>
          <w:sz w:val="23"/>
          <w:szCs w:val="23"/>
        </w:rPr>
        <w:t>Solutions</w:t>
      </w:r>
    </w:p>
    <w:p w14:paraId="544C92BA" w14:textId="77777777" w:rsidR="004B20A9" w:rsidRDefault="00000000">
      <w:pPr>
        <w:pStyle w:val="a4"/>
        <w:numPr>
          <w:ilvl w:val="0"/>
          <w:numId w:val="2"/>
        </w:numPr>
        <w:spacing w:after="80" w:line="276" w:lineRule="auto"/>
      </w:pPr>
      <w:r>
        <w:rPr>
          <w:rFonts w:ascii="Calibri" w:eastAsia="Calibri" w:hAnsi="Calibri" w:cs="Calibri"/>
          <w:sz w:val="22"/>
          <w:szCs w:val="22"/>
        </w:rPr>
        <w:t>Apply role-based access control over TLS, with a strict separation between a read-only public tier and a write-capable operations tier, and write every planner override to an immutable audit log.</w:t>
      </w:r>
    </w:p>
    <w:p w14:paraId="18A5C609" w14:textId="77777777" w:rsidR="004B20A9" w:rsidRDefault="00000000">
      <w:pPr>
        <w:pStyle w:val="a4"/>
        <w:numPr>
          <w:ilvl w:val="0"/>
          <w:numId w:val="2"/>
        </w:numPr>
        <w:spacing w:after="80" w:line="276" w:lineRule="auto"/>
      </w:pPr>
      <w:r>
        <w:rPr>
          <w:rFonts w:ascii="Calibri" w:eastAsia="Calibri" w:hAnsi="Calibri" w:cs="Calibri"/>
          <w:sz w:val="22"/>
          <w:szCs w:val="22"/>
        </w:rPr>
        <w:t>Keep the schema-enforcer layer as a security control, not just a data quality one: non-conforming municipal records are quarantined and flagged for human review rather than silently imputed.</w:t>
      </w:r>
    </w:p>
    <w:p w14:paraId="2AAB004B" w14:textId="77777777" w:rsidR="004B20A9" w:rsidRDefault="00000000">
      <w:pPr>
        <w:pStyle w:val="1"/>
        <w:spacing w:before="260" w:after="120"/>
      </w:pPr>
      <w:r>
        <w:rPr>
          <w:rFonts w:ascii="Calibri" w:eastAsia="Calibri" w:hAnsi="Calibri" w:cs="Calibri"/>
          <w:b/>
          <w:bCs/>
          <w:color w:val="1F4E35"/>
        </w:rPr>
        <w:t>6. Sustainability (Environmental and Resource Efficiency)</w:t>
      </w:r>
    </w:p>
    <w:p w14:paraId="7D36F97C" w14:textId="77777777" w:rsidR="004B20A9" w:rsidRDefault="00000000">
      <w:pPr>
        <w:spacing w:before="120" w:after="60"/>
      </w:pPr>
      <w:r>
        <w:rPr>
          <w:rFonts w:ascii="Calibri" w:eastAsia="Calibri" w:hAnsi="Calibri" w:cs="Calibri"/>
          <w:b/>
          <w:bCs/>
          <w:i/>
          <w:iCs/>
          <w:sz w:val="23"/>
          <w:szCs w:val="23"/>
        </w:rPr>
        <w:t>Challenges</w:t>
      </w:r>
    </w:p>
    <w:p w14:paraId="410E0BBF" w14:textId="77777777" w:rsidR="004B20A9" w:rsidRDefault="00000000">
      <w:pPr>
        <w:pStyle w:val="a4"/>
        <w:numPr>
          <w:ilvl w:val="0"/>
          <w:numId w:val="2"/>
        </w:numPr>
        <w:spacing w:after="80" w:line="276" w:lineRule="auto"/>
      </w:pPr>
      <w:r>
        <w:rPr>
          <w:rFonts w:ascii="Calibri" w:eastAsia="Calibri" w:hAnsi="Calibri" w:cs="Calibri"/>
          <w:sz w:val="22"/>
          <w:szCs w:val="22"/>
        </w:rPr>
        <w:lastRenderedPageBreak/>
        <w:t>A tool built to expand urban canopy has its own carbon footprint. Random Forest training over 145,326 records, 1,000 Monte Carlo runs, and Landsat LST raster processing all consume compute that must be justified against the environmental benefit produced.</w:t>
      </w:r>
    </w:p>
    <w:p w14:paraId="52E58869" w14:textId="77777777" w:rsidR="004B20A9" w:rsidRDefault="00000000">
      <w:pPr>
        <w:pStyle w:val="a4"/>
        <w:numPr>
          <w:ilvl w:val="0"/>
          <w:numId w:val="2"/>
        </w:numPr>
        <w:spacing w:after="80" w:line="276" w:lineRule="auto"/>
      </w:pPr>
      <w:r>
        <w:rPr>
          <w:rFonts w:ascii="Calibri" w:eastAsia="Calibri" w:hAnsi="Calibri" w:cs="Calibri"/>
          <w:sz w:val="22"/>
          <w:szCs w:val="22"/>
        </w:rPr>
        <w:t>A model that has effectively learned the EAB signature will recommend removal-heavy work, which reduces net canopy in the short term if replanting is not planned in the same cycle.</w:t>
      </w:r>
    </w:p>
    <w:p w14:paraId="4AAEFECF" w14:textId="77777777" w:rsidR="004B20A9" w:rsidRDefault="00000000">
      <w:pPr>
        <w:spacing w:before="120" w:after="60"/>
      </w:pPr>
      <w:r>
        <w:rPr>
          <w:rFonts w:ascii="Calibri" w:eastAsia="Calibri" w:hAnsi="Calibri" w:cs="Calibri"/>
          <w:b/>
          <w:bCs/>
          <w:i/>
          <w:iCs/>
          <w:sz w:val="23"/>
          <w:szCs w:val="23"/>
        </w:rPr>
        <w:t>Solutions</w:t>
      </w:r>
    </w:p>
    <w:p w14:paraId="36721CCC" w14:textId="77777777" w:rsidR="004B20A9" w:rsidRDefault="00000000">
      <w:pPr>
        <w:pStyle w:val="a4"/>
        <w:numPr>
          <w:ilvl w:val="0"/>
          <w:numId w:val="2"/>
        </w:numPr>
        <w:spacing w:after="80" w:line="276" w:lineRule="auto"/>
      </w:pPr>
      <w:r>
        <w:rPr>
          <w:rFonts w:ascii="Calibri" w:eastAsia="Calibri" w:hAnsi="Calibri" w:cs="Calibri"/>
          <w:sz w:val="22"/>
          <w:szCs w:val="22"/>
        </w:rPr>
        <w:t xml:space="preserve">Keep the deployment profile deliberately modest: seasonal batch processing with minimal container profiles at rest and cached LST </w:t>
      </w:r>
      <w:proofErr w:type="spellStart"/>
      <w:r>
        <w:rPr>
          <w:rFonts w:ascii="Calibri" w:eastAsia="Calibri" w:hAnsi="Calibri" w:cs="Calibri"/>
          <w:sz w:val="22"/>
          <w:szCs w:val="22"/>
        </w:rPr>
        <w:t>rasters</w:t>
      </w:r>
      <w:proofErr w:type="spellEnd"/>
      <w:r>
        <w:rPr>
          <w:rFonts w:ascii="Calibri" w:eastAsia="Calibri" w:hAnsi="Calibri" w:cs="Calibri"/>
          <w:sz w:val="22"/>
          <w:szCs w:val="22"/>
        </w:rPr>
        <w:t>, since no real-time inference is required.</w:t>
      </w:r>
    </w:p>
    <w:p w14:paraId="52C79088" w14:textId="77777777" w:rsidR="004B20A9" w:rsidRDefault="00000000">
      <w:pPr>
        <w:pStyle w:val="a4"/>
        <w:numPr>
          <w:ilvl w:val="0"/>
          <w:numId w:val="2"/>
        </w:numPr>
        <w:spacing w:after="80" w:line="276" w:lineRule="auto"/>
      </w:pPr>
      <w:r>
        <w:rPr>
          <w:rFonts w:ascii="Calibri" w:eastAsia="Calibri" w:hAnsi="Calibri" w:cs="Calibri"/>
          <w:sz w:val="22"/>
          <w:szCs w:val="22"/>
        </w:rPr>
        <w:t>Pair every removal recommendation with a replanting recommendation in the same work order, and treat the monoculture indicator as a planting constraint with a maximum genus share per community.</w:t>
      </w:r>
    </w:p>
    <w:p w14:paraId="4D0083C1" w14:textId="77777777" w:rsidR="004B20A9" w:rsidRDefault="00000000">
      <w:pPr>
        <w:pStyle w:val="1"/>
        <w:spacing w:before="260" w:after="120"/>
      </w:pPr>
      <w:r>
        <w:rPr>
          <w:rFonts w:ascii="Calibri" w:eastAsia="Calibri" w:hAnsi="Calibri" w:cs="Calibri"/>
          <w:b/>
          <w:bCs/>
          <w:color w:val="1F4E35"/>
        </w:rPr>
        <w:t>7. Well-being (User Experience and Motivation)</w:t>
      </w:r>
    </w:p>
    <w:p w14:paraId="27CB4E7E" w14:textId="77777777" w:rsidR="004B20A9" w:rsidRDefault="00000000">
      <w:pPr>
        <w:spacing w:before="120" w:after="60"/>
      </w:pPr>
      <w:r>
        <w:rPr>
          <w:rFonts w:ascii="Calibri" w:eastAsia="Calibri" w:hAnsi="Calibri" w:cs="Calibri"/>
          <w:b/>
          <w:bCs/>
          <w:i/>
          <w:iCs/>
          <w:sz w:val="23"/>
          <w:szCs w:val="23"/>
        </w:rPr>
        <w:t>Challenges</w:t>
      </w:r>
    </w:p>
    <w:p w14:paraId="3D8F0746" w14:textId="77777777" w:rsidR="004B20A9" w:rsidRDefault="00000000">
      <w:pPr>
        <w:pStyle w:val="a4"/>
        <w:numPr>
          <w:ilvl w:val="0"/>
          <w:numId w:val="2"/>
        </w:numPr>
        <w:spacing w:after="80" w:line="276" w:lineRule="auto"/>
      </w:pPr>
      <w:r>
        <w:rPr>
          <w:rFonts w:ascii="Calibri" w:eastAsia="Calibri" w:hAnsi="Calibri" w:cs="Calibri"/>
          <w:sz w:val="22"/>
          <w:szCs w:val="22"/>
        </w:rPr>
        <w:t>Priority labels carry social meaning. A community shown as "Low priority" (Victoria Park at 0.20) can reasonably read the label as a decision to neglect it, which erodes public trust in the program.</w:t>
      </w:r>
    </w:p>
    <w:p w14:paraId="3316D78E" w14:textId="77777777" w:rsidR="004B20A9" w:rsidRDefault="00000000">
      <w:pPr>
        <w:pStyle w:val="a4"/>
        <w:numPr>
          <w:ilvl w:val="0"/>
          <w:numId w:val="2"/>
        </w:numPr>
        <w:spacing w:after="80" w:line="276" w:lineRule="auto"/>
      </w:pPr>
      <w:r>
        <w:rPr>
          <w:rFonts w:ascii="Calibri" w:eastAsia="Calibri" w:hAnsi="Calibri" w:cs="Calibri"/>
          <w:sz w:val="22"/>
          <w:szCs w:val="22"/>
        </w:rPr>
        <w:t>Field crews risk losing professional agency if work orders arrive as non-negotiable, algorithmically generated queues that ignore local knowledge accumulated over years.</w:t>
      </w:r>
    </w:p>
    <w:p w14:paraId="0E58353C" w14:textId="77777777" w:rsidR="004B20A9" w:rsidRDefault="00000000">
      <w:pPr>
        <w:spacing w:before="120" w:after="60"/>
      </w:pPr>
      <w:r>
        <w:rPr>
          <w:rFonts w:ascii="Calibri" w:eastAsia="Calibri" w:hAnsi="Calibri" w:cs="Calibri"/>
          <w:b/>
          <w:bCs/>
          <w:i/>
          <w:iCs/>
          <w:sz w:val="23"/>
          <w:szCs w:val="23"/>
        </w:rPr>
        <w:t>Solutions</w:t>
      </w:r>
    </w:p>
    <w:p w14:paraId="68FEFFAF" w14:textId="77777777" w:rsidR="004B20A9" w:rsidRDefault="00000000">
      <w:pPr>
        <w:pStyle w:val="a4"/>
        <w:numPr>
          <w:ilvl w:val="0"/>
          <w:numId w:val="2"/>
        </w:numPr>
        <w:spacing w:after="80" w:line="276" w:lineRule="auto"/>
      </w:pPr>
      <w:r>
        <w:rPr>
          <w:rFonts w:ascii="Calibri" w:eastAsia="Calibri" w:hAnsi="Calibri" w:cs="Calibri"/>
          <w:sz w:val="22"/>
          <w:szCs w:val="22"/>
        </w:rPr>
        <w:t>Reframe the public vocabulary. Report "highest need" and "currently well served" rather than high and low priority, and pair every ranking with the specific investment committed to that community.</w:t>
      </w:r>
    </w:p>
    <w:p w14:paraId="19A3C1F4" w14:textId="77777777" w:rsidR="004B20A9" w:rsidRDefault="00000000">
      <w:pPr>
        <w:pStyle w:val="a4"/>
        <w:numPr>
          <w:ilvl w:val="0"/>
          <w:numId w:val="2"/>
        </w:numPr>
        <w:spacing w:after="80" w:line="276" w:lineRule="auto"/>
      </w:pPr>
      <w:r>
        <w:rPr>
          <w:rFonts w:ascii="Calibri" w:eastAsia="Calibri" w:hAnsi="Calibri" w:cs="Calibri"/>
          <w:sz w:val="22"/>
          <w:szCs w:val="22"/>
        </w:rPr>
        <w:t>Preserve the manual override designed into the risk mitigation plan: staff can adjust priorities and log the reason, and those overrides feed the annual retraining cycle so local expertise measurably improves the model.</w:t>
      </w:r>
    </w:p>
    <w:p w14:paraId="3A547E44" w14:textId="77777777" w:rsidR="004B20A9" w:rsidRDefault="00000000">
      <w:pPr>
        <w:pStyle w:val="1"/>
        <w:spacing w:before="260" w:after="120"/>
      </w:pPr>
      <w:r>
        <w:rPr>
          <w:rFonts w:ascii="Calibri" w:eastAsia="Calibri" w:hAnsi="Calibri" w:cs="Calibri"/>
          <w:b/>
          <w:bCs/>
          <w:color w:val="1F4E35"/>
        </w:rPr>
        <w:t>Summary of Cross-Cutting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00"/>
        <w:gridCol w:w="3460"/>
      </w:tblGrid>
      <w:tr w:rsidR="004B20A9" w14:paraId="4771ECBB" w14:textId="77777777">
        <w:tblPrEx>
          <w:tblCellMar>
            <w:top w:w="0" w:type="dxa"/>
            <w:bottom w:w="0" w:type="dxa"/>
          </w:tblCellMar>
        </w:tblPrEx>
        <w:trPr>
          <w:tblHeader/>
        </w:trPr>
        <w:tc>
          <w:tcPr>
            <w:tcW w:w="1900" w:type="dxa"/>
            <w:shd w:val="clear" w:color="auto" w:fill="2E6B4A"/>
            <w:tcMar>
              <w:top w:w="60" w:type="dxa"/>
              <w:left w:w="100" w:type="dxa"/>
              <w:bottom w:w="60" w:type="dxa"/>
              <w:right w:w="100" w:type="dxa"/>
            </w:tcMar>
          </w:tcPr>
          <w:p w14:paraId="567CBB43" w14:textId="77777777" w:rsidR="004B20A9" w:rsidRDefault="00000000">
            <w:r>
              <w:rPr>
                <w:rFonts w:ascii="Calibri" w:eastAsia="Calibri" w:hAnsi="Calibri" w:cs="Calibri"/>
                <w:b/>
                <w:bCs/>
                <w:color w:val="FFFFFF"/>
              </w:rPr>
              <w:t>Perspective</w:t>
            </w:r>
          </w:p>
        </w:tc>
        <w:tc>
          <w:tcPr>
            <w:tcW w:w="4000" w:type="dxa"/>
            <w:shd w:val="clear" w:color="auto" w:fill="2E6B4A"/>
            <w:tcMar>
              <w:top w:w="60" w:type="dxa"/>
              <w:left w:w="100" w:type="dxa"/>
              <w:bottom w:w="60" w:type="dxa"/>
              <w:right w:w="100" w:type="dxa"/>
            </w:tcMar>
          </w:tcPr>
          <w:p w14:paraId="0A28DAE6" w14:textId="77777777" w:rsidR="004B20A9" w:rsidRDefault="00000000">
            <w:r>
              <w:rPr>
                <w:rFonts w:ascii="Calibri" w:eastAsia="Calibri" w:hAnsi="Calibri" w:cs="Calibri"/>
                <w:b/>
                <w:bCs/>
                <w:color w:val="FFFFFF"/>
              </w:rPr>
              <w:t>Primary risk</w:t>
            </w:r>
          </w:p>
        </w:tc>
        <w:tc>
          <w:tcPr>
            <w:tcW w:w="3460" w:type="dxa"/>
            <w:shd w:val="clear" w:color="auto" w:fill="2E6B4A"/>
            <w:tcMar>
              <w:top w:w="60" w:type="dxa"/>
              <w:left w:w="100" w:type="dxa"/>
              <w:bottom w:w="60" w:type="dxa"/>
              <w:right w:w="100" w:type="dxa"/>
            </w:tcMar>
          </w:tcPr>
          <w:p w14:paraId="5C627010" w14:textId="77777777" w:rsidR="004B20A9" w:rsidRDefault="00000000">
            <w:r>
              <w:rPr>
                <w:rFonts w:ascii="Calibri" w:eastAsia="Calibri" w:hAnsi="Calibri" w:cs="Calibri"/>
                <w:b/>
                <w:bCs/>
                <w:color w:val="FFFFFF"/>
              </w:rPr>
              <w:t>Embedded control</w:t>
            </w:r>
          </w:p>
        </w:tc>
      </w:tr>
      <w:tr w:rsidR="004B20A9" w14:paraId="39AA1764" w14:textId="77777777">
        <w:tblPrEx>
          <w:tblCellMar>
            <w:top w:w="0" w:type="dxa"/>
            <w:bottom w:w="0" w:type="dxa"/>
          </w:tblCellMar>
        </w:tblPrEx>
        <w:tc>
          <w:tcPr>
            <w:tcW w:w="1900" w:type="dxa"/>
            <w:tcMar>
              <w:top w:w="60" w:type="dxa"/>
              <w:left w:w="100" w:type="dxa"/>
              <w:bottom w:w="60" w:type="dxa"/>
              <w:right w:w="100" w:type="dxa"/>
            </w:tcMar>
          </w:tcPr>
          <w:p w14:paraId="78939061" w14:textId="77777777" w:rsidR="004B20A9" w:rsidRDefault="00000000">
            <w:r>
              <w:rPr>
                <w:rFonts w:ascii="Calibri" w:eastAsia="Calibri" w:hAnsi="Calibri" w:cs="Calibri"/>
                <w:color w:val="000000"/>
              </w:rPr>
              <w:t>Accessibility</w:t>
            </w:r>
          </w:p>
        </w:tc>
        <w:tc>
          <w:tcPr>
            <w:tcW w:w="4000" w:type="dxa"/>
            <w:tcMar>
              <w:top w:w="60" w:type="dxa"/>
              <w:left w:w="100" w:type="dxa"/>
              <w:bottom w:w="60" w:type="dxa"/>
              <w:right w:w="100" w:type="dxa"/>
            </w:tcMar>
          </w:tcPr>
          <w:p w14:paraId="5016E042" w14:textId="77777777" w:rsidR="004B20A9" w:rsidRDefault="00000000">
            <w:r>
              <w:rPr>
                <w:rFonts w:ascii="Calibri" w:eastAsia="Calibri" w:hAnsi="Calibri" w:cs="Calibri"/>
                <w:color w:val="000000"/>
              </w:rPr>
              <w:t>Map-only interface; unevenly inventoried communities</w:t>
            </w:r>
          </w:p>
        </w:tc>
        <w:tc>
          <w:tcPr>
            <w:tcW w:w="3460" w:type="dxa"/>
            <w:tcMar>
              <w:top w:w="60" w:type="dxa"/>
              <w:left w:w="100" w:type="dxa"/>
              <w:bottom w:w="60" w:type="dxa"/>
              <w:right w:w="100" w:type="dxa"/>
            </w:tcMar>
          </w:tcPr>
          <w:p w14:paraId="18A62A1B" w14:textId="77777777" w:rsidR="004B20A9" w:rsidRDefault="00000000">
            <w:r>
              <w:rPr>
                <w:rFonts w:ascii="Calibri" w:eastAsia="Calibri" w:hAnsi="Calibri" w:cs="Calibri"/>
                <w:color w:val="000000"/>
              </w:rPr>
              <w:t>WCAG 2.1 AA dashboard plus a ranked table export</w:t>
            </w:r>
          </w:p>
        </w:tc>
      </w:tr>
      <w:tr w:rsidR="004B20A9" w14:paraId="639BE826" w14:textId="77777777">
        <w:tblPrEx>
          <w:tblCellMar>
            <w:top w:w="0" w:type="dxa"/>
            <w:bottom w:w="0" w:type="dxa"/>
          </w:tblCellMar>
        </w:tblPrEx>
        <w:tc>
          <w:tcPr>
            <w:tcW w:w="1900" w:type="dxa"/>
            <w:tcMar>
              <w:top w:w="60" w:type="dxa"/>
              <w:left w:w="100" w:type="dxa"/>
              <w:bottom w:w="60" w:type="dxa"/>
              <w:right w:w="100" w:type="dxa"/>
            </w:tcMar>
          </w:tcPr>
          <w:p w14:paraId="4D50190A" w14:textId="77777777" w:rsidR="004B20A9" w:rsidRDefault="00000000">
            <w:r>
              <w:rPr>
                <w:rFonts w:ascii="Calibri" w:eastAsia="Calibri" w:hAnsi="Calibri" w:cs="Calibri"/>
                <w:color w:val="000000"/>
              </w:rPr>
              <w:t>Ethics</w:t>
            </w:r>
          </w:p>
        </w:tc>
        <w:tc>
          <w:tcPr>
            <w:tcW w:w="4000" w:type="dxa"/>
            <w:tcMar>
              <w:top w:w="60" w:type="dxa"/>
              <w:left w:w="100" w:type="dxa"/>
              <w:bottom w:w="60" w:type="dxa"/>
              <w:right w:w="100" w:type="dxa"/>
            </w:tcMar>
          </w:tcPr>
          <w:p w14:paraId="14DD79F0" w14:textId="77777777" w:rsidR="004B20A9" w:rsidRDefault="00000000">
            <w:r>
              <w:rPr>
                <w:rFonts w:ascii="Calibri" w:eastAsia="Calibri" w:hAnsi="Calibri" w:cs="Calibri"/>
                <w:color w:val="000000"/>
              </w:rPr>
              <w:t>Classifier leans on the Fraxinus / EAB signature</w:t>
            </w:r>
          </w:p>
        </w:tc>
        <w:tc>
          <w:tcPr>
            <w:tcW w:w="3460" w:type="dxa"/>
            <w:tcMar>
              <w:top w:w="60" w:type="dxa"/>
              <w:left w:w="100" w:type="dxa"/>
              <w:bottom w:w="60" w:type="dxa"/>
              <w:right w:w="100" w:type="dxa"/>
            </w:tcMar>
          </w:tcPr>
          <w:p w14:paraId="0F9BB5D8" w14:textId="77777777" w:rsidR="004B20A9" w:rsidRDefault="00000000">
            <w:r>
              <w:rPr>
                <w:rFonts w:ascii="Calibri" w:eastAsia="Calibri" w:hAnsi="Calibri" w:cs="Calibri"/>
                <w:color w:val="000000"/>
              </w:rPr>
              <w:t>Model card and mandatory arborist sign-off</w:t>
            </w:r>
          </w:p>
        </w:tc>
      </w:tr>
      <w:tr w:rsidR="004B20A9" w14:paraId="7F78F9B1" w14:textId="77777777">
        <w:tblPrEx>
          <w:tblCellMar>
            <w:top w:w="0" w:type="dxa"/>
            <w:bottom w:w="0" w:type="dxa"/>
          </w:tblCellMar>
        </w:tblPrEx>
        <w:tc>
          <w:tcPr>
            <w:tcW w:w="1900" w:type="dxa"/>
            <w:tcMar>
              <w:top w:w="60" w:type="dxa"/>
              <w:left w:w="100" w:type="dxa"/>
              <w:bottom w:w="60" w:type="dxa"/>
              <w:right w:w="100" w:type="dxa"/>
            </w:tcMar>
          </w:tcPr>
          <w:p w14:paraId="6F25DAFC" w14:textId="77777777" w:rsidR="004B20A9" w:rsidRDefault="00000000">
            <w:r>
              <w:rPr>
                <w:rFonts w:ascii="Calibri" w:eastAsia="Calibri" w:hAnsi="Calibri" w:cs="Calibri"/>
                <w:color w:val="000000"/>
              </w:rPr>
              <w:t>Equity</w:t>
            </w:r>
          </w:p>
        </w:tc>
        <w:tc>
          <w:tcPr>
            <w:tcW w:w="4000" w:type="dxa"/>
            <w:tcMar>
              <w:top w:w="60" w:type="dxa"/>
              <w:left w:w="100" w:type="dxa"/>
              <w:bottom w:w="60" w:type="dxa"/>
              <w:right w:w="100" w:type="dxa"/>
            </w:tcMar>
          </w:tcPr>
          <w:p w14:paraId="1A4EE5F1" w14:textId="77777777" w:rsidR="004B20A9" w:rsidRDefault="00000000">
            <w:r>
              <w:rPr>
                <w:rFonts w:ascii="Calibri" w:eastAsia="Calibri" w:hAnsi="Calibri" w:cs="Calibri"/>
                <w:color w:val="000000"/>
              </w:rPr>
              <w:t>Equal 0.25 weights are a value judgment, not a default</w:t>
            </w:r>
          </w:p>
        </w:tc>
        <w:tc>
          <w:tcPr>
            <w:tcW w:w="3460" w:type="dxa"/>
            <w:tcMar>
              <w:top w:w="60" w:type="dxa"/>
              <w:left w:w="100" w:type="dxa"/>
              <w:bottom w:w="60" w:type="dxa"/>
              <w:right w:w="100" w:type="dxa"/>
            </w:tcMar>
          </w:tcPr>
          <w:p w14:paraId="5FD813B5" w14:textId="77777777" w:rsidR="004B20A9" w:rsidRDefault="00000000">
            <w:r>
              <w:rPr>
                <w:rFonts w:ascii="Calibri" w:eastAsia="Calibri" w:hAnsi="Calibri" w:cs="Calibri"/>
                <w:color w:val="000000"/>
              </w:rPr>
              <w:t>Green Equity KPI and data-coverage confidence flag</w:t>
            </w:r>
          </w:p>
        </w:tc>
      </w:tr>
      <w:tr w:rsidR="004B20A9" w14:paraId="0E21114D" w14:textId="77777777">
        <w:tblPrEx>
          <w:tblCellMar>
            <w:top w:w="0" w:type="dxa"/>
            <w:bottom w:w="0" w:type="dxa"/>
          </w:tblCellMar>
        </w:tblPrEx>
        <w:tc>
          <w:tcPr>
            <w:tcW w:w="1900" w:type="dxa"/>
            <w:tcMar>
              <w:top w:w="60" w:type="dxa"/>
              <w:left w:w="100" w:type="dxa"/>
              <w:bottom w:w="60" w:type="dxa"/>
              <w:right w:w="100" w:type="dxa"/>
            </w:tcMar>
          </w:tcPr>
          <w:p w14:paraId="5F0FED91" w14:textId="77777777" w:rsidR="004B20A9" w:rsidRDefault="00000000">
            <w:r>
              <w:rPr>
                <w:rFonts w:ascii="Calibri" w:eastAsia="Calibri" w:hAnsi="Calibri" w:cs="Calibri"/>
                <w:color w:val="000000"/>
              </w:rPr>
              <w:t>Privacy</w:t>
            </w:r>
          </w:p>
        </w:tc>
        <w:tc>
          <w:tcPr>
            <w:tcW w:w="4000" w:type="dxa"/>
            <w:tcMar>
              <w:top w:w="60" w:type="dxa"/>
              <w:left w:w="100" w:type="dxa"/>
              <w:bottom w:w="60" w:type="dxa"/>
              <w:right w:w="100" w:type="dxa"/>
            </w:tcMar>
          </w:tcPr>
          <w:p w14:paraId="0119ADAB" w14:textId="77777777" w:rsidR="004B20A9" w:rsidRDefault="00000000">
            <w:r>
              <w:rPr>
                <w:rFonts w:ascii="Calibri" w:eastAsia="Calibri" w:hAnsi="Calibri" w:cs="Calibri"/>
                <w:color w:val="000000"/>
              </w:rPr>
              <w:t>Tree records carry property-level coordinates</w:t>
            </w:r>
          </w:p>
        </w:tc>
        <w:tc>
          <w:tcPr>
            <w:tcW w:w="3460" w:type="dxa"/>
            <w:tcMar>
              <w:top w:w="60" w:type="dxa"/>
              <w:left w:w="100" w:type="dxa"/>
              <w:bottom w:w="60" w:type="dxa"/>
              <w:right w:w="100" w:type="dxa"/>
            </w:tcMar>
          </w:tcPr>
          <w:p w14:paraId="5128325E" w14:textId="77777777" w:rsidR="004B20A9" w:rsidRDefault="00000000">
            <w:r>
              <w:rPr>
                <w:rFonts w:ascii="Calibri" w:eastAsia="Calibri" w:hAnsi="Calibri" w:cs="Calibri"/>
                <w:color w:val="000000"/>
              </w:rPr>
              <w:t>Tract-level joins; public release limited to community scores</w:t>
            </w:r>
          </w:p>
        </w:tc>
      </w:tr>
      <w:tr w:rsidR="004B20A9" w14:paraId="68A9A977" w14:textId="77777777">
        <w:tblPrEx>
          <w:tblCellMar>
            <w:top w:w="0" w:type="dxa"/>
            <w:bottom w:w="0" w:type="dxa"/>
          </w:tblCellMar>
        </w:tblPrEx>
        <w:tc>
          <w:tcPr>
            <w:tcW w:w="1900" w:type="dxa"/>
            <w:tcMar>
              <w:top w:w="60" w:type="dxa"/>
              <w:left w:w="100" w:type="dxa"/>
              <w:bottom w:w="60" w:type="dxa"/>
              <w:right w:w="100" w:type="dxa"/>
            </w:tcMar>
          </w:tcPr>
          <w:p w14:paraId="25A16B0D" w14:textId="77777777" w:rsidR="004B20A9" w:rsidRDefault="00000000">
            <w:r>
              <w:rPr>
                <w:rFonts w:ascii="Calibri" w:eastAsia="Calibri" w:hAnsi="Calibri" w:cs="Calibri"/>
                <w:color w:val="000000"/>
              </w:rPr>
              <w:t>Security</w:t>
            </w:r>
          </w:p>
        </w:tc>
        <w:tc>
          <w:tcPr>
            <w:tcW w:w="4000" w:type="dxa"/>
            <w:tcMar>
              <w:top w:w="60" w:type="dxa"/>
              <w:left w:w="100" w:type="dxa"/>
              <w:bottom w:w="60" w:type="dxa"/>
              <w:right w:w="100" w:type="dxa"/>
            </w:tcMar>
          </w:tcPr>
          <w:p w14:paraId="3C948E6A" w14:textId="77777777" w:rsidR="004B20A9" w:rsidRDefault="00000000">
            <w:r>
              <w:rPr>
                <w:rFonts w:ascii="Calibri" w:eastAsia="Calibri" w:hAnsi="Calibri" w:cs="Calibri"/>
                <w:color w:val="000000"/>
              </w:rPr>
              <w:t xml:space="preserve">DSS exports drive </w:t>
            </w:r>
            <w:proofErr w:type="spellStart"/>
            <w:r>
              <w:rPr>
                <w:rFonts w:ascii="Calibri" w:eastAsia="Calibri" w:hAnsi="Calibri" w:cs="Calibri"/>
                <w:color w:val="000000"/>
              </w:rPr>
              <w:t>Cityworks</w:t>
            </w:r>
            <w:proofErr w:type="spellEnd"/>
            <w:r>
              <w:rPr>
                <w:rFonts w:ascii="Calibri" w:eastAsia="Calibri" w:hAnsi="Calibri" w:cs="Calibri"/>
                <w:color w:val="000000"/>
              </w:rPr>
              <w:t xml:space="preserve"> schedules and budget</w:t>
            </w:r>
          </w:p>
        </w:tc>
        <w:tc>
          <w:tcPr>
            <w:tcW w:w="3460" w:type="dxa"/>
            <w:tcMar>
              <w:top w:w="60" w:type="dxa"/>
              <w:left w:w="100" w:type="dxa"/>
              <w:bottom w:w="60" w:type="dxa"/>
              <w:right w:w="100" w:type="dxa"/>
            </w:tcMar>
          </w:tcPr>
          <w:p w14:paraId="2A28574B" w14:textId="77777777" w:rsidR="004B20A9" w:rsidRDefault="00000000">
            <w:r>
              <w:rPr>
                <w:rFonts w:ascii="Calibri" w:eastAsia="Calibri" w:hAnsi="Calibri" w:cs="Calibri"/>
                <w:color w:val="000000"/>
              </w:rPr>
              <w:t>RBAC with immutable override audit logs</w:t>
            </w:r>
          </w:p>
        </w:tc>
      </w:tr>
      <w:tr w:rsidR="004B20A9" w14:paraId="3D04CD3A" w14:textId="77777777">
        <w:tblPrEx>
          <w:tblCellMar>
            <w:top w:w="0" w:type="dxa"/>
            <w:bottom w:w="0" w:type="dxa"/>
          </w:tblCellMar>
        </w:tblPrEx>
        <w:tc>
          <w:tcPr>
            <w:tcW w:w="1900" w:type="dxa"/>
            <w:tcMar>
              <w:top w:w="60" w:type="dxa"/>
              <w:left w:w="100" w:type="dxa"/>
              <w:bottom w:w="60" w:type="dxa"/>
              <w:right w:w="100" w:type="dxa"/>
            </w:tcMar>
          </w:tcPr>
          <w:p w14:paraId="4FD73689" w14:textId="77777777" w:rsidR="004B20A9" w:rsidRDefault="00000000">
            <w:r>
              <w:rPr>
                <w:rFonts w:ascii="Calibri" w:eastAsia="Calibri" w:hAnsi="Calibri" w:cs="Calibri"/>
                <w:color w:val="000000"/>
              </w:rPr>
              <w:t>Sustainability</w:t>
            </w:r>
          </w:p>
        </w:tc>
        <w:tc>
          <w:tcPr>
            <w:tcW w:w="4000" w:type="dxa"/>
            <w:tcMar>
              <w:top w:w="60" w:type="dxa"/>
              <w:left w:w="100" w:type="dxa"/>
              <w:bottom w:w="60" w:type="dxa"/>
              <w:right w:w="100" w:type="dxa"/>
            </w:tcMar>
          </w:tcPr>
          <w:p w14:paraId="0E540CB9" w14:textId="77777777" w:rsidR="004B20A9" w:rsidRDefault="00000000">
            <w:r>
              <w:rPr>
                <w:rFonts w:ascii="Calibri" w:eastAsia="Calibri" w:hAnsi="Calibri" w:cs="Calibri"/>
                <w:color w:val="000000"/>
              </w:rPr>
              <w:t>Removal-heavy recommendations can cut net canopy</w:t>
            </w:r>
          </w:p>
        </w:tc>
        <w:tc>
          <w:tcPr>
            <w:tcW w:w="3460" w:type="dxa"/>
            <w:tcMar>
              <w:top w:w="60" w:type="dxa"/>
              <w:left w:w="100" w:type="dxa"/>
              <w:bottom w:w="60" w:type="dxa"/>
              <w:right w:w="100" w:type="dxa"/>
            </w:tcMar>
          </w:tcPr>
          <w:p w14:paraId="4978DEB6" w14:textId="77777777" w:rsidR="004B20A9" w:rsidRDefault="00000000">
            <w:r>
              <w:rPr>
                <w:rFonts w:ascii="Calibri" w:eastAsia="Calibri" w:hAnsi="Calibri" w:cs="Calibri"/>
                <w:color w:val="000000"/>
              </w:rPr>
              <w:t>Every removal paired with a replanting work order</w:t>
            </w:r>
          </w:p>
        </w:tc>
      </w:tr>
      <w:tr w:rsidR="004B20A9" w14:paraId="10F6D941" w14:textId="77777777">
        <w:tblPrEx>
          <w:tblCellMar>
            <w:top w:w="0" w:type="dxa"/>
            <w:bottom w:w="0" w:type="dxa"/>
          </w:tblCellMar>
        </w:tblPrEx>
        <w:tc>
          <w:tcPr>
            <w:tcW w:w="1900" w:type="dxa"/>
            <w:tcMar>
              <w:top w:w="60" w:type="dxa"/>
              <w:left w:w="100" w:type="dxa"/>
              <w:bottom w:w="60" w:type="dxa"/>
              <w:right w:w="100" w:type="dxa"/>
            </w:tcMar>
          </w:tcPr>
          <w:p w14:paraId="7C41ED21" w14:textId="77777777" w:rsidR="004B20A9" w:rsidRDefault="00000000">
            <w:r>
              <w:rPr>
                <w:rFonts w:ascii="Calibri" w:eastAsia="Calibri" w:hAnsi="Calibri" w:cs="Calibri"/>
                <w:color w:val="000000"/>
              </w:rPr>
              <w:t>Well-being</w:t>
            </w:r>
          </w:p>
        </w:tc>
        <w:tc>
          <w:tcPr>
            <w:tcW w:w="4000" w:type="dxa"/>
            <w:tcMar>
              <w:top w:w="60" w:type="dxa"/>
              <w:left w:w="100" w:type="dxa"/>
              <w:bottom w:w="60" w:type="dxa"/>
              <w:right w:w="100" w:type="dxa"/>
            </w:tcMar>
          </w:tcPr>
          <w:p w14:paraId="0832FAA3" w14:textId="77777777" w:rsidR="004B20A9" w:rsidRDefault="00000000">
            <w:r>
              <w:rPr>
                <w:rFonts w:ascii="Calibri" w:eastAsia="Calibri" w:hAnsi="Calibri" w:cs="Calibri"/>
                <w:color w:val="000000"/>
              </w:rPr>
              <w:t>"Low priority" reads as neglect to residents and crews</w:t>
            </w:r>
          </w:p>
        </w:tc>
        <w:tc>
          <w:tcPr>
            <w:tcW w:w="3460" w:type="dxa"/>
            <w:tcMar>
              <w:top w:w="60" w:type="dxa"/>
              <w:left w:w="100" w:type="dxa"/>
              <w:bottom w:w="60" w:type="dxa"/>
              <w:right w:w="100" w:type="dxa"/>
            </w:tcMar>
          </w:tcPr>
          <w:p w14:paraId="26C5E535" w14:textId="77777777" w:rsidR="004B20A9" w:rsidRDefault="00000000">
            <w:r>
              <w:rPr>
                <w:rFonts w:ascii="Calibri" w:eastAsia="Calibri" w:hAnsi="Calibri" w:cs="Calibri"/>
                <w:color w:val="000000"/>
              </w:rPr>
              <w:t>Reframed public language; manual override by field crews</w:t>
            </w:r>
          </w:p>
        </w:tc>
      </w:tr>
    </w:tbl>
    <w:p w14:paraId="68F95286" w14:textId="77777777" w:rsidR="004B20A9" w:rsidRDefault="004B20A9">
      <w:pPr>
        <w:spacing w:after="140"/>
      </w:pPr>
    </w:p>
    <w:p w14:paraId="3FDFDC8F" w14:textId="77777777" w:rsidR="004B20A9" w:rsidRDefault="00000000">
      <w:pPr>
        <w:spacing w:after="120" w:line="276" w:lineRule="auto"/>
        <w:jc w:val="both"/>
      </w:pPr>
      <w:r>
        <w:rPr>
          <w:rFonts w:ascii="Calibri" w:eastAsia="Calibri" w:hAnsi="Calibri" w:cs="Calibri"/>
          <w:sz w:val="22"/>
          <w:szCs w:val="22"/>
        </w:rPr>
        <w:lastRenderedPageBreak/>
        <w:t xml:space="preserve">Taken together, these seven lenses point to a single governance principle: </w:t>
      </w:r>
      <w:proofErr w:type="spellStart"/>
      <w:r>
        <w:rPr>
          <w:rFonts w:ascii="Calibri" w:eastAsia="Calibri" w:hAnsi="Calibri" w:cs="Calibri"/>
          <w:sz w:val="22"/>
          <w:szCs w:val="22"/>
        </w:rPr>
        <w:t>CanopyIQ</w:t>
      </w:r>
      <w:proofErr w:type="spellEnd"/>
      <w:r>
        <w:rPr>
          <w:rFonts w:ascii="Calibri" w:eastAsia="Calibri" w:hAnsi="Calibri" w:cs="Calibri"/>
          <w:sz w:val="22"/>
          <w:szCs w:val="22"/>
        </w:rPr>
        <w:t xml:space="preserve"> must remain a decision support system rather than a decision-making system. Its index is transparent and stable </w:t>
      </w:r>
      <w:proofErr w:type="spellStart"/>
      <w:r>
        <w:rPr>
          <w:rFonts w:ascii="Calibri" w:eastAsia="Calibri" w:hAnsi="Calibri" w:cs="Calibri"/>
          <w:sz w:val="22"/>
          <w:szCs w:val="22"/>
        </w:rPr>
        <w:t>under weight</w:t>
      </w:r>
      <w:proofErr w:type="spellEnd"/>
      <w:r>
        <w:rPr>
          <w:rFonts w:ascii="Calibri" w:eastAsia="Calibri" w:hAnsi="Calibri" w:cs="Calibri"/>
          <w:sz w:val="22"/>
          <w:szCs w:val="22"/>
        </w:rPr>
        <w:t xml:space="preserve"> perturbation (median Spearman ρ = 0.996 across 1,000 simulations), while its classifier is useful but narrowly dependent on a single pest signature. Both are strongest when they inform an accountable human planner and weakest when they are allowed to replace one.</w:t>
      </w:r>
    </w:p>
    <w:p w14:paraId="0A1D39C9" w14:textId="77777777" w:rsidR="004B20A9" w:rsidRDefault="00000000">
      <w:pPr>
        <w:pStyle w:val="1"/>
        <w:spacing w:before="260" w:after="120"/>
      </w:pPr>
      <w:r>
        <w:rPr>
          <w:rFonts w:ascii="Calibri" w:eastAsia="Calibri" w:hAnsi="Calibri" w:cs="Calibri"/>
          <w:b/>
          <w:bCs/>
          <w:color w:val="1F4E35"/>
        </w:rPr>
        <w:t>References</w:t>
      </w:r>
    </w:p>
    <w:p w14:paraId="1E3E93B6" w14:textId="77777777" w:rsidR="004B20A9" w:rsidRDefault="00000000">
      <w:pPr>
        <w:spacing w:after="120" w:line="276" w:lineRule="auto"/>
        <w:jc w:val="both"/>
      </w:pPr>
      <w:r>
        <w:rPr>
          <w:rFonts w:ascii="Calibri" w:eastAsia="Calibri" w:hAnsi="Calibri" w:cs="Calibri"/>
        </w:rPr>
        <w:t>Nesbitt, L., Meitner, M. J., Girling, C., Sheppard, S. R., &amp; Lu, Y. (2019). Who has access to urban vegetation? A spatial analysis of distributional green equity in US cities. Landscape and Urban Planning, 181, 51–79.</w:t>
      </w:r>
    </w:p>
    <w:p w14:paraId="61B56FBA" w14:textId="77777777" w:rsidR="004B20A9" w:rsidRDefault="00000000">
      <w:pPr>
        <w:spacing w:after="120" w:line="276" w:lineRule="auto"/>
        <w:jc w:val="both"/>
      </w:pPr>
      <w:r>
        <w:rPr>
          <w:rFonts w:ascii="Calibri" w:eastAsia="Calibri" w:hAnsi="Calibri" w:cs="Calibri"/>
        </w:rPr>
        <w:t>Vogt, J. M., Hauer, R. J., &amp; Fischer, B. C. (2015). Explaining the urban forest: A need for proactive asset management. Arboriculture &amp; Urban Forestry, 41(1), 25–43.</w:t>
      </w:r>
    </w:p>
    <w:p w14:paraId="088C1EC5" w14:textId="77777777" w:rsidR="004B20A9" w:rsidRDefault="00000000">
      <w:pPr>
        <w:spacing w:after="120" w:line="276" w:lineRule="auto"/>
        <w:jc w:val="both"/>
      </w:pPr>
      <w:proofErr w:type="spellStart"/>
      <w:r>
        <w:rPr>
          <w:rFonts w:ascii="Calibri" w:eastAsia="Calibri" w:hAnsi="Calibri" w:cs="Calibri"/>
        </w:rPr>
        <w:t>Ziter</w:t>
      </w:r>
      <w:proofErr w:type="spellEnd"/>
      <w:r>
        <w:rPr>
          <w:rFonts w:ascii="Calibri" w:eastAsia="Calibri" w:hAnsi="Calibri" w:cs="Calibri"/>
        </w:rPr>
        <w:t xml:space="preserve">, C. D., Pedersen, E. J., </w:t>
      </w:r>
      <w:proofErr w:type="spellStart"/>
      <w:r>
        <w:rPr>
          <w:rFonts w:ascii="Calibri" w:eastAsia="Calibri" w:hAnsi="Calibri" w:cs="Calibri"/>
        </w:rPr>
        <w:t>Kucharik</w:t>
      </w:r>
      <w:proofErr w:type="spellEnd"/>
      <w:r>
        <w:rPr>
          <w:rFonts w:ascii="Calibri" w:eastAsia="Calibri" w:hAnsi="Calibri" w:cs="Calibri"/>
        </w:rPr>
        <w:t>, C. J., &amp; Turner, M. G. (2019). Scale-dependent interactions between tree canopy cover and impervious surfaces reduce urban air temperature. Proceedings of the National Academy of Sciences, 116(15), 7575–7580.</w:t>
      </w:r>
    </w:p>
    <w:sectPr w:rsidR="004B20A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D1FA2"/>
    <w:multiLevelType w:val="hybridMultilevel"/>
    <w:tmpl w:val="80C8E066"/>
    <w:lvl w:ilvl="0" w:tplc="5574C438">
      <w:start w:val="1"/>
      <w:numFmt w:val="bullet"/>
      <w:lvlText w:val="●"/>
      <w:lvlJc w:val="left"/>
      <w:pPr>
        <w:ind w:left="720" w:hanging="360"/>
      </w:pPr>
    </w:lvl>
    <w:lvl w:ilvl="1" w:tplc="43DE25B2">
      <w:start w:val="1"/>
      <w:numFmt w:val="bullet"/>
      <w:lvlText w:val="○"/>
      <w:lvlJc w:val="left"/>
      <w:pPr>
        <w:ind w:left="1440" w:hanging="360"/>
      </w:pPr>
    </w:lvl>
    <w:lvl w:ilvl="2" w:tplc="AB34728C">
      <w:start w:val="1"/>
      <w:numFmt w:val="bullet"/>
      <w:lvlText w:val="■"/>
      <w:lvlJc w:val="left"/>
      <w:pPr>
        <w:ind w:left="2160" w:hanging="360"/>
      </w:pPr>
    </w:lvl>
    <w:lvl w:ilvl="3" w:tplc="FE00059A">
      <w:start w:val="1"/>
      <w:numFmt w:val="bullet"/>
      <w:lvlText w:val="●"/>
      <w:lvlJc w:val="left"/>
      <w:pPr>
        <w:ind w:left="2880" w:hanging="360"/>
      </w:pPr>
    </w:lvl>
    <w:lvl w:ilvl="4" w:tplc="50E83B04">
      <w:start w:val="1"/>
      <w:numFmt w:val="bullet"/>
      <w:lvlText w:val="○"/>
      <w:lvlJc w:val="left"/>
      <w:pPr>
        <w:ind w:left="3600" w:hanging="360"/>
      </w:pPr>
    </w:lvl>
    <w:lvl w:ilvl="5" w:tplc="78A25DDC">
      <w:start w:val="1"/>
      <w:numFmt w:val="bullet"/>
      <w:lvlText w:val="■"/>
      <w:lvlJc w:val="left"/>
      <w:pPr>
        <w:ind w:left="4320" w:hanging="360"/>
      </w:pPr>
    </w:lvl>
    <w:lvl w:ilvl="6" w:tplc="211C8616">
      <w:start w:val="1"/>
      <w:numFmt w:val="bullet"/>
      <w:lvlText w:val="●"/>
      <w:lvlJc w:val="left"/>
      <w:pPr>
        <w:ind w:left="5040" w:hanging="360"/>
      </w:pPr>
    </w:lvl>
    <w:lvl w:ilvl="7" w:tplc="94D058D0">
      <w:start w:val="1"/>
      <w:numFmt w:val="bullet"/>
      <w:lvlText w:val="●"/>
      <w:lvlJc w:val="left"/>
      <w:pPr>
        <w:ind w:left="5760" w:hanging="360"/>
      </w:pPr>
    </w:lvl>
    <w:lvl w:ilvl="8" w:tplc="AAA4D48C">
      <w:start w:val="1"/>
      <w:numFmt w:val="bullet"/>
      <w:lvlText w:val="●"/>
      <w:lvlJc w:val="left"/>
      <w:pPr>
        <w:ind w:left="6480" w:hanging="360"/>
      </w:pPr>
    </w:lvl>
  </w:abstractNum>
  <w:abstractNum w:abstractNumId="1" w15:restartNumberingAfterBreak="0">
    <w:nsid w:val="4DF876F8"/>
    <w:multiLevelType w:val="hybridMultilevel"/>
    <w:tmpl w:val="8F9CFCCC"/>
    <w:lvl w:ilvl="0" w:tplc="B8AC0FF4">
      <w:start w:val="1"/>
      <w:numFmt w:val="bullet"/>
      <w:lvlText w:val="•"/>
      <w:lvlJc w:val="left"/>
      <w:pPr>
        <w:ind w:left="460" w:hanging="260"/>
      </w:pPr>
    </w:lvl>
    <w:lvl w:ilvl="1" w:tplc="66204B42">
      <w:numFmt w:val="decimal"/>
      <w:lvlText w:val=""/>
      <w:lvlJc w:val="left"/>
    </w:lvl>
    <w:lvl w:ilvl="2" w:tplc="80E8E470">
      <w:numFmt w:val="decimal"/>
      <w:lvlText w:val=""/>
      <w:lvlJc w:val="left"/>
    </w:lvl>
    <w:lvl w:ilvl="3" w:tplc="442A8F92">
      <w:numFmt w:val="decimal"/>
      <w:lvlText w:val=""/>
      <w:lvlJc w:val="left"/>
    </w:lvl>
    <w:lvl w:ilvl="4" w:tplc="5BD8D9CC">
      <w:numFmt w:val="decimal"/>
      <w:lvlText w:val=""/>
      <w:lvlJc w:val="left"/>
    </w:lvl>
    <w:lvl w:ilvl="5" w:tplc="14CE824A">
      <w:numFmt w:val="decimal"/>
      <w:lvlText w:val=""/>
      <w:lvlJc w:val="left"/>
    </w:lvl>
    <w:lvl w:ilvl="6" w:tplc="AEF80AD0">
      <w:numFmt w:val="decimal"/>
      <w:lvlText w:val=""/>
      <w:lvlJc w:val="left"/>
    </w:lvl>
    <w:lvl w:ilvl="7" w:tplc="27C07CB0">
      <w:numFmt w:val="decimal"/>
      <w:lvlText w:val=""/>
      <w:lvlJc w:val="left"/>
    </w:lvl>
    <w:lvl w:ilvl="8" w:tplc="FCE8D78E">
      <w:numFmt w:val="decimal"/>
      <w:lvlText w:val=""/>
      <w:lvlJc w:val="left"/>
    </w:lvl>
  </w:abstractNum>
  <w:num w:numId="1" w16cid:durableId="996498581">
    <w:abstractNumId w:val="0"/>
    <w:lvlOverride w:ilvl="0">
      <w:startOverride w:val="1"/>
    </w:lvlOverride>
  </w:num>
  <w:num w:numId="2" w16cid:durableId="1482848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0A9"/>
    <w:rsid w:val="004B20A9"/>
    <w:rsid w:val="00A712A5"/>
    <w:rsid w:val="00B32789"/>
    <w:rsid w:val="00F258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F70C6"/>
  <w15:docId w15:val="{B8467947-D9B1-4B00-8D3C-77CACDC8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1353</Words>
  <Characters>7717</Characters>
  <Application>Microsoft Office Word</Application>
  <DocSecurity>0</DocSecurity>
  <Lines>64</Lines>
  <Paragraphs>18</Paragraphs>
  <ScaleCrop>false</ScaleCrop>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兆中 劉</cp:lastModifiedBy>
  <cp:revision>2</cp:revision>
  <dcterms:created xsi:type="dcterms:W3CDTF">2026-08-05T18:40:00Z</dcterms:created>
  <dcterms:modified xsi:type="dcterms:W3CDTF">2026-08-05T19:16:00Z</dcterms:modified>
</cp:coreProperties>
</file>