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A945E" w14:textId="77777777" w:rsidR="009B400B" w:rsidRPr="00B941A1" w:rsidRDefault="00000000">
      <w:pPr>
        <w:spacing w:after="60"/>
        <w:jc w:val="center"/>
        <w:rPr>
          <w:lang w:val="en-CA"/>
        </w:rPr>
      </w:pPr>
      <w:r w:rsidRPr="00B941A1">
        <w:rPr>
          <w:b/>
          <w:bCs/>
          <w:color w:val="1F5C8B"/>
          <w:sz w:val="40"/>
          <w:szCs w:val="40"/>
          <w:lang w:val="en-CA"/>
        </w:rPr>
        <w:t>AI Adoption Barriers &amp; Mitigation Strategies</w:t>
      </w:r>
    </w:p>
    <w:p w14:paraId="3448D20C" w14:textId="537FD2EB" w:rsidR="009B400B" w:rsidRPr="00B941A1" w:rsidRDefault="00000000" w:rsidP="00B941A1">
      <w:pPr>
        <w:spacing w:after="60"/>
        <w:jc w:val="center"/>
        <w:rPr>
          <w:lang w:val="en-CA"/>
        </w:rPr>
      </w:pPr>
      <w:r w:rsidRPr="00B941A1">
        <w:rPr>
          <w:color w:val="555555"/>
          <w:sz w:val="22"/>
          <w:szCs w:val="22"/>
          <w:lang w:val="en-CA"/>
        </w:rPr>
        <w:t>Urban Forestry Decision Support System — Kitchener, Waterloo &amp; Cambridge</w:t>
      </w:r>
      <w:r w:rsidR="00AF196E">
        <w:rPr>
          <w:lang w:val="en-CA"/>
        </w:rPr>
        <w:t>555</w:t>
      </w:r>
    </w:p>
    <w:p w14:paraId="0A8E7791" w14:textId="77777777" w:rsidR="009B400B" w:rsidRPr="00B941A1" w:rsidRDefault="009B400B">
      <w:pPr>
        <w:pBdr>
          <w:bottom w:val="single" w:sz="4" w:space="0" w:color="D0D0D0"/>
        </w:pBdr>
        <w:spacing w:before="160" w:after="160"/>
        <w:rPr>
          <w:lang w:val="en-CA"/>
        </w:rPr>
      </w:pPr>
    </w:p>
    <w:p w14:paraId="168DB345" w14:textId="77777777" w:rsidR="009B400B" w:rsidRPr="00151691" w:rsidRDefault="00000000">
      <w:pPr>
        <w:pStyle w:val="Ttulo1"/>
        <w:rPr>
          <w:color w:val="000000" w:themeColor="text1"/>
          <w:lang w:val="en-CA"/>
        </w:rPr>
      </w:pPr>
      <w:r w:rsidRPr="00151691">
        <w:rPr>
          <w:color w:val="000000" w:themeColor="text1"/>
          <w:lang w:val="en-CA"/>
        </w:rPr>
        <w:t>1. Organizational Barriers</w:t>
      </w:r>
    </w:p>
    <w:p w14:paraId="55231D61" w14:textId="77777777" w:rsidR="009B400B" w:rsidRPr="00151691" w:rsidRDefault="00000000">
      <w:pPr>
        <w:pStyle w:val="Ttulo2"/>
        <w:rPr>
          <w:color w:val="000000" w:themeColor="text1"/>
          <w:lang w:val="en-CA"/>
        </w:rPr>
      </w:pPr>
      <w:r w:rsidRPr="00151691">
        <w:rPr>
          <w:color w:val="000000" w:themeColor="text1"/>
          <w:lang w:val="en-CA"/>
        </w:rPr>
        <w:t>Identified Barrier</w:t>
      </w:r>
    </w:p>
    <w:p w14:paraId="3F2AFEBC" w14:textId="77777777" w:rsidR="009B400B" w:rsidRPr="00151691" w:rsidRDefault="00000000">
      <w:pPr>
        <w:spacing w:before="80" w:after="80"/>
        <w:rPr>
          <w:color w:val="000000" w:themeColor="text1"/>
          <w:lang w:val="en-CA"/>
        </w:rPr>
      </w:pPr>
      <w:r w:rsidRPr="00151691">
        <w:rPr>
          <w:color w:val="000000" w:themeColor="text1"/>
          <w:lang w:val="en-CA"/>
        </w:rPr>
        <w:t>Municipal forestry teams in Kitchener, Waterloo, and Cambridge currently rely on separate spreadsheets and operational intuition to schedule tree pruning and allocate budgets. Introducing a DSS that automatically reorders funding priorities threatens the day-to-day autonomy of the Operations Manager. As documented in our stakeholder analysis (Part 1), the Operations Manager fears that inaccurate AI budget predictions may cause asset maintenance delays — and privately fears being blamed by senior leadership if the system fails.</w:t>
      </w:r>
    </w:p>
    <w:p w14:paraId="6F7B4CBC" w14:textId="77777777" w:rsidR="009B400B" w:rsidRPr="00151691" w:rsidRDefault="00000000">
      <w:pPr>
        <w:pStyle w:val="Ttulo2"/>
        <w:rPr>
          <w:color w:val="000000" w:themeColor="text1"/>
        </w:rPr>
      </w:pPr>
      <w:proofErr w:type="spellStart"/>
      <w:r w:rsidRPr="00151691">
        <w:rPr>
          <w:color w:val="000000" w:themeColor="text1"/>
        </w:rPr>
        <w:t>Mitigation</w:t>
      </w:r>
      <w:proofErr w:type="spellEnd"/>
      <w:r w:rsidRPr="00151691">
        <w:rPr>
          <w:color w:val="000000" w:themeColor="text1"/>
        </w:rPr>
        <w:t xml:space="preserve"> </w:t>
      </w:r>
      <w:proofErr w:type="spellStart"/>
      <w:r w:rsidRPr="00151691">
        <w:rPr>
          <w:color w:val="000000" w:themeColor="text1"/>
        </w:rPr>
        <w:t>Strategy</w:t>
      </w:r>
      <w:proofErr w:type="spellEnd"/>
    </w:p>
    <w:p w14:paraId="683BAB5A" w14:textId="77777777" w:rsidR="009B400B" w:rsidRPr="00B941A1" w:rsidRDefault="00000000">
      <w:pPr>
        <w:pStyle w:val="PargrafodaLista"/>
        <w:numPr>
          <w:ilvl w:val="0"/>
          <w:numId w:val="2"/>
        </w:numPr>
        <w:spacing w:before="60" w:after="60"/>
        <w:rPr>
          <w:lang w:val="en-CA"/>
        </w:rPr>
      </w:pPr>
      <w:r w:rsidRPr="00B941A1">
        <w:rPr>
          <w:b/>
          <w:bCs/>
          <w:lang w:val="en-CA"/>
        </w:rPr>
        <w:t xml:space="preserve">Pilot Testing: </w:t>
      </w:r>
      <w:r w:rsidRPr="00B941A1">
        <w:rPr>
          <w:lang w:val="en-CA"/>
        </w:rPr>
        <w:t>Deploy the DSS in a single high-risk census tract (0008.01, the highest-ranked neighborhood in our bar chart) before scaling to all three cities. This limits exposure and lets staff build confidence with real results.</w:t>
      </w:r>
    </w:p>
    <w:p w14:paraId="54297AA1" w14:textId="77777777" w:rsidR="009B400B" w:rsidRPr="00B941A1" w:rsidRDefault="00000000">
      <w:pPr>
        <w:pStyle w:val="PargrafodaLista"/>
        <w:numPr>
          <w:ilvl w:val="0"/>
          <w:numId w:val="2"/>
        </w:numPr>
        <w:spacing w:before="60" w:after="60"/>
        <w:rPr>
          <w:lang w:val="en-CA"/>
        </w:rPr>
      </w:pPr>
      <w:r w:rsidRPr="00B941A1">
        <w:rPr>
          <w:b/>
          <w:bCs/>
          <w:lang w:val="en-CA"/>
        </w:rPr>
        <w:t xml:space="preserve">Staff Involvement: </w:t>
      </w:r>
      <w:r w:rsidRPr="00B941A1">
        <w:rPr>
          <w:lang w:val="en-CA"/>
        </w:rPr>
        <w:t>Include the Operations Manager in the pilot design so the team owns the process rather than having it imposed on them.</w:t>
      </w:r>
    </w:p>
    <w:p w14:paraId="565251A5" w14:textId="77777777" w:rsidR="009B400B" w:rsidRPr="00B941A1" w:rsidRDefault="00000000">
      <w:pPr>
        <w:pStyle w:val="PargrafodaLista"/>
        <w:numPr>
          <w:ilvl w:val="0"/>
          <w:numId w:val="2"/>
        </w:numPr>
        <w:spacing w:before="60" w:after="60"/>
        <w:rPr>
          <w:lang w:val="en-CA"/>
        </w:rPr>
      </w:pPr>
      <w:r w:rsidRPr="00B941A1">
        <w:rPr>
          <w:b/>
          <w:bCs/>
          <w:lang w:val="en-CA"/>
        </w:rPr>
        <w:t xml:space="preserve">Clear Accountability: </w:t>
      </w:r>
      <w:r w:rsidRPr="00B941A1">
        <w:rPr>
          <w:lang w:val="en-CA"/>
        </w:rPr>
        <w:t>Define in writing which decisions remain human-made and which are DSS-recommended — the system advises, people decide.</w:t>
      </w:r>
    </w:p>
    <w:p w14:paraId="2F131B02" w14:textId="77777777" w:rsidR="009B400B" w:rsidRPr="00B941A1" w:rsidRDefault="009B400B">
      <w:pPr>
        <w:pBdr>
          <w:bottom w:val="single" w:sz="4" w:space="0" w:color="D0D0D0"/>
        </w:pBdr>
        <w:spacing w:before="160" w:after="160"/>
        <w:rPr>
          <w:lang w:val="en-CA"/>
        </w:rPr>
      </w:pPr>
    </w:p>
    <w:p w14:paraId="0AFFDD11" w14:textId="77777777" w:rsidR="009B400B" w:rsidRPr="00151691" w:rsidRDefault="00000000">
      <w:pPr>
        <w:pStyle w:val="Ttulo1"/>
        <w:rPr>
          <w:color w:val="000000" w:themeColor="text1"/>
          <w:lang w:val="en-CA"/>
        </w:rPr>
      </w:pPr>
      <w:r w:rsidRPr="00151691">
        <w:rPr>
          <w:color w:val="000000" w:themeColor="text1"/>
          <w:lang w:val="en-CA"/>
        </w:rPr>
        <w:t>2. Technical Barriers</w:t>
      </w:r>
    </w:p>
    <w:p w14:paraId="14D097A4" w14:textId="77777777" w:rsidR="009B400B" w:rsidRPr="00151691" w:rsidRDefault="00000000">
      <w:pPr>
        <w:pStyle w:val="Ttulo2"/>
        <w:rPr>
          <w:color w:val="000000" w:themeColor="text1"/>
          <w:lang w:val="en-CA"/>
        </w:rPr>
      </w:pPr>
      <w:r w:rsidRPr="00151691">
        <w:rPr>
          <w:color w:val="000000" w:themeColor="text1"/>
          <w:lang w:val="en-CA"/>
        </w:rPr>
        <w:t>Identified Barrier</w:t>
      </w:r>
    </w:p>
    <w:p w14:paraId="2156267A" w14:textId="77777777" w:rsidR="009B400B" w:rsidRPr="00151691" w:rsidRDefault="00000000">
      <w:pPr>
        <w:spacing w:before="80" w:after="80"/>
        <w:rPr>
          <w:color w:val="000000" w:themeColor="text1"/>
          <w:lang w:val="en-CA"/>
        </w:rPr>
      </w:pPr>
      <w:r w:rsidRPr="00151691">
        <w:rPr>
          <w:color w:val="000000" w:themeColor="text1"/>
          <w:lang w:val="en-CA"/>
        </w:rPr>
        <w:t xml:space="preserve">The DSS depends on integrating fragmented data from two separate municipalities in different formats (shapefiles + CSVs). The </w:t>
      </w:r>
      <w:proofErr w:type="spellStart"/>
      <w:r w:rsidRPr="00151691">
        <w:rPr>
          <w:color w:val="000000" w:themeColor="text1"/>
          <w:lang w:val="en-CA"/>
        </w:rPr>
        <w:t>GeoPandas</w:t>
      </w:r>
      <w:proofErr w:type="spellEnd"/>
      <w:r w:rsidRPr="00151691">
        <w:rPr>
          <w:color w:val="000000" w:themeColor="text1"/>
          <w:lang w:val="en-CA"/>
        </w:rPr>
        <w:t xml:space="preserve"> spatial join (</w:t>
      </w:r>
      <w:proofErr w:type="spellStart"/>
      <w:proofErr w:type="gramStart"/>
      <w:r w:rsidRPr="00151691">
        <w:rPr>
          <w:color w:val="000000" w:themeColor="text1"/>
          <w:lang w:val="en-CA"/>
        </w:rPr>
        <w:t>gpd.sjoin</w:t>
      </w:r>
      <w:proofErr w:type="spellEnd"/>
      <w:proofErr w:type="gramEnd"/>
      <w:r w:rsidRPr="00151691">
        <w:rPr>
          <w:color w:val="000000" w:themeColor="text1"/>
          <w:lang w:val="en-CA"/>
        </w:rPr>
        <w:t>) works in our prototype, but in a live production environment there are real risks: missing DBH values, trees without geolocation, and asynchronous update schedules between Kitchener and Waterloo data teams. Poor input data quality is the primary threat to the model's R² = 0.99 accuracy, as identified by the Data Scientist stakeholder in Part 1.</w:t>
      </w:r>
    </w:p>
    <w:p w14:paraId="010EDD22" w14:textId="77777777" w:rsidR="009B400B" w:rsidRPr="00151691" w:rsidRDefault="00000000">
      <w:pPr>
        <w:pStyle w:val="Ttulo2"/>
        <w:rPr>
          <w:color w:val="000000" w:themeColor="text1"/>
        </w:rPr>
      </w:pPr>
      <w:proofErr w:type="spellStart"/>
      <w:r w:rsidRPr="00151691">
        <w:rPr>
          <w:color w:val="000000" w:themeColor="text1"/>
        </w:rPr>
        <w:t>Mitigation</w:t>
      </w:r>
      <w:proofErr w:type="spellEnd"/>
      <w:r w:rsidRPr="00151691">
        <w:rPr>
          <w:color w:val="000000" w:themeColor="text1"/>
        </w:rPr>
        <w:t xml:space="preserve"> </w:t>
      </w:r>
      <w:proofErr w:type="spellStart"/>
      <w:r w:rsidRPr="00151691">
        <w:rPr>
          <w:color w:val="000000" w:themeColor="text1"/>
        </w:rPr>
        <w:t>Strategy</w:t>
      </w:r>
      <w:proofErr w:type="spellEnd"/>
    </w:p>
    <w:p w14:paraId="3246076B" w14:textId="77777777" w:rsidR="009B400B" w:rsidRPr="00151691" w:rsidRDefault="00000000">
      <w:pPr>
        <w:pStyle w:val="PargrafodaLista"/>
        <w:numPr>
          <w:ilvl w:val="0"/>
          <w:numId w:val="2"/>
        </w:numPr>
        <w:spacing w:before="60" w:after="60"/>
        <w:rPr>
          <w:color w:val="000000" w:themeColor="text1"/>
          <w:lang w:val="en-CA"/>
        </w:rPr>
      </w:pPr>
      <w:r w:rsidRPr="00151691">
        <w:rPr>
          <w:b/>
          <w:bCs/>
          <w:color w:val="000000" w:themeColor="text1"/>
          <w:lang w:val="en-CA"/>
        </w:rPr>
        <w:t xml:space="preserve">Data Quality Pipeline: </w:t>
      </w:r>
      <w:r w:rsidRPr="00151691">
        <w:rPr>
          <w:color w:val="000000" w:themeColor="text1"/>
          <w:lang w:val="en-CA"/>
        </w:rPr>
        <w:t>Implement automated validation rules before data reaches the regression model: flag records with null DBH, reject coordinates outside municipal boundaries, and alert when update timestamps exceed 30 days.</w:t>
      </w:r>
    </w:p>
    <w:p w14:paraId="439751D7" w14:textId="77777777" w:rsidR="009B400B" w:rsidRPr="00151691" w:rsidRDefault="00000000">
      <w:pPr>
        <w:pStyle w:val="PargrafodaLista"/>
        <w:numPr>
          <w:ilvl w:val="0"/>
          <w:numId w:val="2"/>
        </w:numPr>
        <w:spacing w:before="60" w:after="60"/>
        <w:rPr>
          <w:color w:val="000000" w:themeColor="text1"/>
          <w:lang w:val="en-CA"/>
        </w:rPr>
      </w:pPr>
      <w:r w:rsidRPr="00151691">
        <w:rPr>
          <w:b/>
          <w:bCs/>
          <w:color w:val="000000" w:themeColor="text1"/>
          <w:lang w:val="en-CA"/>
        </w:rPr>
        <w:t xml:space="preserve">Data Entry KPIs: </w:t>
      </w:r>
      <w:r w:rsidRPr="00151691">
        <w:rPr>
          <w:color w:val="000000" w:themeColor="text1"/>
          <w:lang w:val="en-CA"/>
        </w:rPr>
        <w:t>Establish measurable data completeness targets (e.g., &gt;95% of tree records must have valid DBH and GPS fields) to maintain model reliability over time.</w:t>
      </w:r>
    </w:p>
    <w:p w14:paraId="1F2B6C67" w14:textId="77777777" w:rsidR="009B400B" w:rsidRPr="00151691" w:rsidRDefault="00000000">
      <w:pPr>
        <w:pStyle w:val="PargrafodaLista"/>
        <w:numPr>
          <w:ilvl w:val="0"/>
          <w:numId w:val="2"/>
        </w:numPr>
        <w:spacing w:before="60" w:after="60"/>
        <w:rPr>
          <w:color w:val="000000" w:themeColor="text1"/>
          <w:lang w:val="en-CA"/>
        </w:rPr>
      </w:pPr>
      <w:r w:rsidRPr="00151691">
        <w:rPr>
          <w:b/>
          <w:bCs/>
          <w:color w:val="000000" w:themeColor="text1"/>
          <w:lang w:val="en-CA"/>
        </w:rPr>
        <w:t xml:space="preserve">Fallback Protocol: </w:t>
      </w:r>
      <w:r w:rsidRPr="00151691">
        <w:rPr>
          <w:color w:val="000000" w:themeColor="text1"/>
          <w:lang w:val="en-CA"/>
        </w:rPr>
        <w:t>Define a documented fallback procedure when data quality drops below threshold, so the system fails safely rather than producing misleading predictions.</w:t>
      </w:r>
    </w:p>
    <w:p w14:paraId="5FEA6B8E" w14:textId="77777777" w:rsidR="009B400B" w:rsidRPr="00151691" w:rsidRDefault="009B400B">
      <w:pPr>
        <w:pBdr>
          <w:bottom w:val="single" w:sz="4" w:space="0" w:color="D0D0D0"/>
        </w:pBdr>
        <w:spacing w:before="160" w:after="160"/>
        <w:rPr>
          <w:color w:val="000000" w:themeColor="text1"/>
          <w:lang w:val="en-CA"/>
        </w:rPr>
      </w:pPr>
    </w:p>
    <w:p w14:paraId="3F2D1302" w14:textId="77777777" w:rsidR="009B400B" w:rsidRPr="00151691" w:rsidRDefault="00000000">
      <w:pPr>
        <w:pStyle w:val="Ttulo1"/>
        <w:rPr>
          <w:color w:val="000000" w:themeColor="text1"/>
          <w:lang w:val="en-CA"/>
        </w:rPr>
      </w:pPr>
      <w:r w:rsidRPr="00151691">
        <w:rPr>
          <w:color w:val="000000" w:themeColor="text1"/>
          <w:lang w:val="en-CA"/>
        </w:rPr>
        <w:t>3. Economic Barriers</w:t>
      </w:r>
    </w:p>
    <w:p w14:paraId="3F3F0732" w14:textId="77777777" w:rsidR="009B400B" w:rsidRPr="00151691" w:rsidRDefault="00000000">
      <w:pPr>
        <w:pStyle w:val="Ttulo2"/>
        <w:rPr>
          <w:color w:val="000000" w:themeColor="text1"/>
          <w:lang w:val="en-CA"/>
        </w:rPr>
      </w:pPr>
      <w:r w:rsidRPr="00151691">
        <w:rPr>
          <w:color w:val="000000" w:themeColor="text1"/>
          <w:lang w:val="en-CA"/>
        </w:rPr>
        <w:lastRenderedPageBreak/>
        <w:t>Identified Barrier</w:t>
      </w:r>
    </w:p>
    <w:p w14:paraId="7003F056" w14:textId="77777777" w:rsidR="009B400B" w:rsidRPr="00151691" w:rsidRDefault="00000000">
      <w:pPr>
        <w:spacing w:before="80" w:after="80"/>
        <w:rPr>
          <w:color w:val="000000" w:themeColor="text1"/>
          <w:lang w:val="en-CA"/>
        </w:rPr>
      </w:pPr>
      <w:r w:rsidRPr="00151691">
        <w:rPr>
          <w:color w:val="000000" w:themeColor="text1"/>
          <w:lang w:val="en-CA"/>
        </w:rPr>
        <w:t>The DSS requires an upfront investment of $45,000 CAD (cloud hosting, data engineering, and staff training). For the CFO — who, per our stakeholder analysis, is under pressure to maximize ROI on the existing $3.3M canopy plan — approving new IT spending without a clear payback timeline is a significant blocker. The CFO's fear of public criticism over uneven budget allocation adds further political risk to the decision.</w:t>
      </w:r>
    </w:p>
    <w:p w14:paraId="62281803" w14:textId="77777777" w:rsidR="009B400B" w:rsidRPr="00151691" w:rsidRDefault="00000000">
      <w:pPr>
        <w:pStyle w:val="Ttulo2"/>
        <w:rPr>
          <w:color w:val="000000" w:themeColor="text1"/>
        </w:rPr>
      </w:pPr>
      <w:proofErr w:type="spellStart"/>
      <w:r w:rsidRPr="00151691">
        <w:rPr>
          <w:color w:val="000000" w:themeColor="text1"/>
        </w:rPr>
        <w:t>Mitigation</w:t>
      </w:r>
      <w:proofErr w:type="spellEnd"/>
      <w:r w:rsidRPr="00151691">
        <w:rPr>
          <w:color w:val="000000" w:themeColor="text1"/>
        </w:rPr>
        <w:t xml:space="preserve"> </w:t>
      </w:r>
      <w:proofErr w:type="spellStart"/>
      <w:r w:rsidRPr="00151691">
        <w:rPr>
          <w:color w:val="000000" w:themeColor="text1"/>
        </w:rPr>
        <w:t>Strategy</w:t>
      </w:r>
      <w:proofErr w:type="spellEnd"/>
    </w:p>
    <w:p w14:paraId="372E2633" w14:textId="77777777" w:rsidR="009B400B" w:rsidRDefault="00000000">
      <w:pPr>
        <w:pStyle w:val="PargrafodaLista"/>
        <w:numPr>
          <w:ilvl w:val="0"/>
          <w:numId w:val="2"/>
        </w:numPr>
        <w:spacing w:before="60" w:after="60"/>
      </w:pPr>
      <w:r w:rsidRPr="00B941A1">
        <w:rPr>
          <w:b/>
          <w:bCs/>
          <w:lang w:val="en-CA"/>
        </w:rPr>
        <w:t xml:space="preserve">Cost-Benefit Analysis: </w:t>
      </w:r>
      <w:r w:rsidRPr="00B941A1">
        <w:rPr>
          <w:lang w:val="en-CA"/>
        </w:rPr>
        <w:t xml:space="preserve">Present a formal payback calculation: the DSS costs $45,000 upfront and saves an estimated $115,000 CAD annually by avoiding 50%–100% emergency storm surcharges. </w:t>
      </w:r>
      <w:proofErr w:type="spellStart"/>
      <w:r>
        <w:t>Payback</w:t>
      </w:r>
      <w:proofErr w:type="spellEnd"/>
      <w:r>
        <w:t xml:space="preserve"> </w:t>
      </w:r>
      <w:proofErr w:type="spellStart"/>
      <w:r>
        <w:t>period</w:t>
      </w:r>
      <w:proofErr w:type="spellEnd"/>
      <w:r>
        <w:t xml:space="preserve"> </w:t>
      </w:r>
      <w:proofErr w:type="spellStart"/>
      <w:r>
        <w:t>is</w:t>
      </w:r>
      <w:proofErr w:type="spellEnd"/>
      <w:r>
        <w:t xml:space="preserve"> </w:t>
      </w:r>
      <w:proofErr w:type="spellStart"/>
      <w:r>
        <w:t>under</w:t>
      </w:r>
      <w:proofErr w:type="spellEnd"/>
      <w:r>
        <w:t xml:space="preserve"> 5 </w:t>
      </w:r>
      <w:proofErr w:type="spellStart"/>
      <w:r>
        <w:t>months</w:t>
      </w:r>
      <w:proofErr w:type="spellEnd"/>
      <w:r>
        <w:t xml:space="preserve"> ($45K ÷ $115K/</w:t>
      </w:r>
      <w:proofErr w:type="spellStart"/>
      <w:r>
        <w:t>year</w:t>
      </w:r>
      <w:proofErr w:type="spellEnd"/>
      <w:r>
        <w:t xml:space="preserve"> ≈ 4.7 </w:t>
      </w:r>
      <w:proofErr w:type="spellStart"/>
      <w:r>
        <w:t>months</w:t>
      </w:r>
      <w:proofErr w:type="spellEnd"/>
      <w:r>
        <w:t>).</w:t>
      </w:r>
    </w:p>
    <w:p w14:paraId="007C36B7" w14:textId="77777777" w:rsidR="009B400B" w:rsidRDefault="00000000">
      <w:pPr>
        <w:pStyle w:val="PargrafodaLista"/>
        <w:numPr>
          <w:ilvl w:val="0"/>
          <w:numId w:val="2"/>
        </w:numPr>
        <w:spacing w:before="60" w:after="60"/>
      </w:pPr>
      <w:r w:rsidRPr="00B941A1">
        <w:rPr>
          <w:b/>
          <w:bCs/>
          <w:lang w:val="en-CA"/>
        </w:rPr>
        <w:t xml:space="preserve">Phased Budget Request: </w:t>
      </w:r>
      <w:r w:rsidRPr="00B941A1">
        <w:rPr>
          <w:lang w:val="en-CA"/>
        </w:rPr>
        <w:t xml:space="preserve">Request the initial $45,000 as a pilot investment, not a full rollout commitment. </w:t>
      </w:r>
      <w:proofErr w:type="spellStart"/>
      <w:r>
        <w:t>This</w:t>
      </w:r>
      <w:proofErr w:type="spellEnd"/>
      <w:r>
        <w:t xml:space="preserve"> </w:t>
      </w:r>
      <w:proofErr w:type="spellStart"/>
      <w:r>
        <w:t>reduces</w:t>
      </w:r>
      <w:proofErr w:type="spellEnd"/>
      <w:r>
        <w:t xml:space="preserve"> </w:t>
      </w:r>
      <w:proofErr w:type="spellStart"/>
      <w:r>
        <w:t>the</w:t>
      </w:r>
      <w:proofErr w:type="spellEnd"/>
      <w:r>
        <w:t xml:space="preserve"> </w:t>
      </w:r>
      <w:proofErr w:type="spellStart"/>
      <w:r>
        <w:t>CFO’s</w:t>
      </w:r>
      <w:proofErr w:type="spellEnd"/>
      <w:r>
        <w:t xml:space="preserve"> </w:t>
      </w:r>
      <w:proofErr w:type="spellStart"/>
      <w:r>
        <w:t>perceived</w:t>
      </w:r>
      <w:proofErr w:type="spellEnd"/>
      <w:r>
        <w:t xml:space="preserve"> financial </w:t>
      </w:r>
      <w:proofErr w:type="spellStart"/>
      <w:r>
        <w:t>risk</w:t>
      </w:r>
      <w:proofErr w:type="spellEnd"/>
      <w:r>
        <w:t>.</w:t>
      </w:r>
    </w:p>
    <w:p w14:paraId="384BC932" w14:textId="77777777" w:rsidR="009B400B" w:rsidRPr="00B941A1" w:rsidRDefault="00000000">
      <w:pPr>
        <w:pStyle w:val="PargrafodaLista"/>
        <w:numPr>
          <w:ilvl w:val="0"/>
          <w:numId w:val="2"/>
        </w:numPr>
        <w:spacing w:before="60" w:after="60"/>
        <w:rPr>
          <w:lang w:val="en-CA"/>
        </w:rPr>
      </w:pPr>
      <w:r w:rsidRPr="00B941A1">
        <w:rPr>
          <w:b/>
          <w:bCs/>
          <w:lang w:val="en-CA"/>
        </w:rPr>
        <w:t xml:space="preserve">ROI Reporting: </w:t>
      </w:r>
      <w:r w:rsidRPr="00B941A1">
        <w:rPr>
          <w:lang w:val="en-CA"/>
        </w:rPr>
        <w:t>Build quarterly savings reports into the DSS dashboard so leadership can track actual vs. projected financial performance in real time.</w:t>
      </w:r>
    </w:p>
    <w:p w14:paraId="4E725E47" w14:textId="77777777" w:rsidR="009B400B" w:rsidRPr="00B941A1" w:rsidRDefault="009B400B">
      <w:pPr>
        <w:pBdr>
          <w:bottom w:val="single" w:sz="4" w:space="0" w:color="D0D0D0"/>
        </w:pBdr>
        <w:spacing w:before="160" w:after="160"/>
        <w:rPr>
          <w:lang w:val="en-CA"/>
        </w:rPr>
      </w:pPr>
    </w:p>
    <w:p w14:paraId="1497AA4E" w14:textId="77777777" w:rsidR="009B400B" w:rsidRPr="00151691" w:rsidRDefault="00000000">
      <w:pPr>
        <w:pStyle w:val="Ttulo1"/>
        <w:rPr>
          <w:color w:val="000000" w:themeColor="text1"/>
          <w:lang w:val="en-CA"/>
        </w:rPr>
      </w:pPr>
      <w:r w:rsidRPr="00151691">
        <w:rPr>
          <w:color w:val="000000" w:themeColor="text1"/>
          <w:lang w:val="en-CA"/>
        </w:rPr>
        <w:t>4. Social Barriers</w:t>
      </w:r>
    </w:p>
    <w:p w14:paraId="196D2404" w14:textId="77777777" w:rsidR="009B400B" w:rsidRPr="00151691" w:rsidRDefault="00000000">
      <w:pPr>
        <w:pStyle w:val="Ttulo2"/>
        <w:rPr>
          <w:color w:val="000000" w:themeColor="text1"/>
          <w:lang w:val="en-CA"/>
        </w:rPr>
      </w:pPr>
      <w:r w:rsidRPr="00151691">
        <w:rPr>
          <w:color w:val="000000" w:themeColor="text1"/>
          <w:lang w:val="en-CA"/>
        </w:rPr>
        <w:t>Identified Barrier</w:t>
      </w:r>
    </w:p>
    <w:p w14:paraId="0B0B7157" w14:textId="77777777" w:rsidR="009B400B" w:rsidRPr="00151691" w:rsidRDefault="00000000">
      <w:pPr>
        <w:spacing w:before="80" w:after="80"/>
        <w:rPr>
          <w:color w:val="000000" w:themeColor="text1"/>
          <w:lang w:val="en-CA"/>
        </w:rPr>
      </w:pPr>
      <w:r w:rsidRPr="00151691">
        <w:rPr>
          <w:color w:val="000000" w:themeColor="text1"/>
          <w:lang w:val="en-CA"/>
        </w:rPr>
        <w:t>The DSS Canopy Equity Dashboard flags low-income, low-canopy neighborhoods as "Critical Need" and assigns them higher budget weights. While this is intentional equity design, it is politically sensitive: the CFO in our stakeholder profile specifically fears public criticism if tree maintenance budgets are perceived as unevenly allocated between neighborhoods. Without transparency about how the algorithm works, the system may appear biased — damaging public trust and creating resistance from community groups in higher-canopy areas that receive less funding.</w:t>
      </w:r>
    </w:p>
    <w:p w14:paraId="5107DFCF" w14:textId="77777777" w:rsidR="009B400B" w:rsidRPr="00151691" w:rsidRDefault="00000000">
      <w:pPr>
        <w:pStyle w:val="Ttulo2"/>
        <w:rPr>
          <w:color w:val="000000" w:themeColor="text1"/>
        </w:rPr>
      </w:pPr>
      <w:proofErr w:type="spellStart"/>
      <w:r w:rsidRPr="00151691">
        <w:rPr>
          <w:color w:val="000000" w:themeColor="text1"/>
        </w:rPr>
        <w:t>Mitigation</w:t>
      </w:r>
      <w:proofErr w:type="spellEnd"/>
      <w:r w:rsidRPr="00151691">
        <w:rPr>
          <w:color w:val="000000" w:themeColor="text1"/>
        </w:rPr>
        <w:t xml:space="preserve"> </w:t>
      </w:r>
      <w:proofErr w:type="spellStart"/>
      <w:r w:rsidRPr="00151691">
        <w:rPr>
          <w:color w:val="000000" w:themeColor="text1"/>
        </w:rPr>
        <w:t>Strategy</w:t>
      </w:r>
      <w:proofErr w:type="spellEnd"/>
    </w:p>
    <w:p w14:paraId="3621F3CC" w14:textId="77777777" w:rsidR="009B400B" w:rsidRDefault="00000000">
      <w:pPr>
        <w:pStyle w:val="PargrafodaLista"/>
        <w:numPr>
          <w:ilvl w:val="0"/>
          <w:numId w:val="2"/>
        </w:numPr>
        <w:spacing w:before="60" w:after="60"/>
      </w:pPr>
      <w:r w:rsidRPr="00B941A1">
        <w:rPr>
          <w:b/>
          <w:bCs/>
          <w:lang w:val="en-CA"/>
        </w:rPr>
        <w:t xml:space="preserve">Algorithmic Transparency: </w:t>
      </w:r>
      <w:r w:rsidRPr="00B941A1">
        <w:rPr>
          <w:lang w:val="en-CA"/>
        </w:rPr>
        <w:t xml:space="preserve">Publish a plain-language explanation of how the socio-economic vulnerability index and canopy coverage data are weighted in the prioritization score. </w:t>
      </w:r>
      <w:r>
        <w:t xml:space="preserve">Make </w:t>
      </w:r>
      <w:proofErr w:type="spellStart"/>
      <w:r>
        <w:t>this</w:t>
      </w:r>
      <w:proofErr w:type="spellEnd"/>
      <w:r>
        <w:t xml:space="preserve"> </w:t>
      </w:r>
      <w:proofErr w:type="spellStart"/>
      <w:r>
        <w:t>accessible</w:t>
      </w:r>
      <w:proofErr w:type="spellEnd"/>
      <w:r>
        <w:t xml:space="preserve"> </w:t>
      </w:r>
      <w:proofErr w:type="spellStart"/>
      <w:r>
        <w:t>on</w:t>
      </w:r>
      <w:proofErr w:type="spellEnd"/>
      <w:r>
        <w:t xml:space="preserve"> </w:t>
      </w:r>
      <w:proofErr w:type="spellStart"/>
      <w:r>
        <w:t>the</w:t>
      </w:r>
      <w:proofErr w:type="spellEnd"/>
      <w:r>
        <w:t xml:space="preserve"> </w:t>
      </w:r>
      <w:proofErr w:type="spellStart"/>
      <w:r>
        <w:t>public</w:t>
      </w:r>
      <w:proofErr w:type="spellEnd"/>
      <w:r>
        <w:t xml:space="preserve"> dashboard.</w:t>
      </w:r>
    </w:p>
    <w:p w14:paraId="4F92ACA7" w14:textId="77777777" w:rsidR="009B400B" w:rsidRPr="00B941A1" w:rsidRDefault="00000000">
      <w:pPr>
        <w:pStyle w:val="PargrafodaLista"/>
        <w:numPr>
          <w:ilvl w:val="0"/>
          <w:numId w:val="2"/>
        </w:numPr>
        <w:spacing w:before="60" w:after="60"/>
        <w:rPr>
          <w:lang w:val="en-CA"/>
        </w:rPr>
      </w:pPr>
      <w:r w:rsidRPr="00B941A1">
        <w:rPr>
          <w:b/>
          <w:bCs/>
          <w:lang w:val="en-CA"/>
        </w:rPr>
        <w:t xml:space="preserve">Equity by Design Framing: </w:t>
      </w:r>
      <w:r w:rsidRPr="00B941A1">
        <w:rPr>
          <w:lang w:val="en-CA"/>
        </w:rPr>
        <w:t>Position the weighting as "equity-driven allocation" (backed by Nesbitt et al., 2019) rather than preferential treatment. The narrative matters: communities that receive more funding are those historically underserved, not politically favored.</w:t>
      </w:r>
    </w:p>
    <w:p w14:paraId="48F670D0" w14:textId="77777777" w:rsidR="009B400B" w:rsidRPr="00B941A1" w:rsidRDefault="00000000">
      <w:pPr>
        <w:pStyle w:val="PargrafodaLista"/>
        <w:numPr>
          <w:ilvl w:val="0"/>
          <w:numId w:val="2"/>
        </w:numPr>
        <w:spacing w:before="60" w:after="60"/>
        <w:rPr>
          <w:lang w:val="en-CA"/>
        </w:rPr>
      </w:pPr>
      <w:r w:rsidRPr="00B941A1">
        <w:rPr>
          <w:b/>
          <w:bCs/>
          <w:lang w:val="en-CA"/>
        </w:rPr>
        <w:t xml:space="preserve">Community Engagement: </w:t>
      </w:r>
      <w:r w:rsidRPr="00B941A1">
        <w:rPr>
          <w:lang w:val="en-CA"/>
        </w:rPr>
        <w:t>Hold a public information session before full deployment, allowing residents and neighborhood associations to ask questions about how decisions are made.</w:t>
      </w:r>
    </w:p>
    <w:p w14:paraId="3152B5DA" w14:textId="77777777" w:rsidR="009B400B" w:rsidRPr="00B941A1" w:rsidRDefault="009B400B">
      <w:pPr>
        <w:pBdr>
          <w:bottom w:val="single" w:sz="4" w:space="0" w:color="D0D0D0"/>
        </w:pBdr>
        <w:spacing w:before="160" w:after="160"/>
        <w:rPr>
          <w:lang w:val="en-CA"/>
        </w:rPr>
      </w:pPr>
    </w:p>
    <w:p w14:paraId="4D174150" w14:textId="77777777" w:rsidR="009B400B" w:rsidRPr="00151691" w:rsidRDefault="00000000">
      <w:pPr>
        <w:pStyle w:val="Ttulo1"/>
        <w:rPr>
          <w:color w:val="000000" w:themeColor="text1"/>
        </w:rPr>
      </w:pPr>
      <w:proofErr w:type="spellStart"/>
      <w:r w:rsidRPr="00151691">
        <w:rPr>
          <w:color w:val="000000" w:themeColor="text1"/>
        </w:rPr>
        <w:t>Summary</w:t>
      </w:r>
      <w:proofErr w:type="spellEnd"/>
      <w:r w:rsidRPr="00151691">
        <w:rPr>
          <w:color w:val="000000" w:themeColor="text1"/>
        </w:rPr>
        <w:t xml:space="preserve"> </w:t>
      </w:r>
      <w:proofErr w:type="spellStart"/>
      <w:r w:rsidRPr="00151691">
        <w:rPr>
          <w:color w:val="000000" w:themeColor="text1"/>
        </w:rPr>
        <w:t>Table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9B400B" w14:paraId="698D1AC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5C8B"/>
            <w:tcMar>
              <w:top w:w="100" w:type="dxa"/>
              <w:left w:w="160" w:type="dxa"/>
              <w:bottom w:w="100" w:type="dxa"/>
              <w:right w:w="160" w:type="dxa"/>
            </w:tcMar>
          </w:tcPr>
          <w:p w14:paraId="10318118" w14:textId="77777777" w:rsidR="009B400B" w:rsidRDefault="00000000">
            <w:pPr>
              <w:jc w:val="center"/>
            </w:pPr>
            <w:proofErr w:type="spellStart"/>
            <w:r>
              <w:rPr>
                <w:b/>
                <w:bCs/>
                <w:color w:val="FFFFFF"/>
              </w:rPr>
              <w:t>Barrier</w:t>
            </w:r>
            <w:proofErr w:type="spellEnd"/>
            <w:r>
              <w:rPr>
                <w:b/>
                <w:bCs/>
                <w:color w:val="FFFFFF"/>
              </w:rPr>
              <w:t xml:space="preserve"> </w:t>
            </w:r>
            <w:proofErr w:type="spellStart"/>
            <w:r>
              <w:rPr>
                <w:b/>
                <w:bCs/>
                <w:color w:val="FFFFFF"/>
              </w:rPr>
              <w:t>Type</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1F5C8B"/>
            <w:tcMar>
              <w:top w:w="100" w:type="dxa"/>
              <w:left w:w="160" w:type="dxa"/>
              <w:bottom w:w="100" w:type="dxa"/>
              <w:right w:w="160" w:type="dxa"/>
            </w:tcMar>
          </w:tcPr>
          <w:p w14:paraId="56321FD4" w14:textId="77777777" w:rsidR="009B400B" w:rsidRDefault="00000000">
            <w:pPr>
              <w:jc w:val="center"/>
            </w:pPr>
            <w:r>
              <w:rPr>
                <w:b/>
                <w:bCs/>
                <w:color w:val="FFFFFF"/>
              </w:rPr>
              <w:t>DSS-</w:t>
            </w:r>
            <w:proofErr w:type="spellStart"/>
            <w:r>
              <w:rPr>
                <w:b/>
                <w:bCs/>
                <w:color w:val="FFFFFF"/>
              </w:rPr>
              <w:t>Specific</w:t>
            </w:r>
            <w:proofErr w:type="spellEnd"/>
            <w:r>
              <w:rPr>
                <w:b/>
                <w:bCs/>
                <w:color w:val="FFFFFF"/>
              </w:rPr>
              <w:t xml:space="preserve"> Risk</w:t>
            </w:r>
          </w:p>
        </w:tc>
        <w:tc>
          <w:tcPr>
            <w:tcW w:w="3580" w:type="dxa"/>
            <w:tcBorders>
              <w:top w:val="single" w:sz="1" w:space="0" w:color="CCCCCC"/>
              <w:left w:val="single" w:sz="1" w:space="0" w:color="CCCCCC"/>
              <w:bottom w:val="single" w:sz="1" w:space="0" w:color="CCCCCC"/>
              <w:right w:val="single" w:sz="1" w:space="0" w:color="CCCCCC"/>
            </w:tcBorders>
            <w:shd w:val="clear" w:color="auto" w:fill="1F5C8B"/>
            <w:tcMar>
              <w:top w:w="100" w:type="dxa"/>
              <w:left w:w="160" w:type="dxa"/>
              <w:bottom w:w="100" w:type="dxa"/>
              <w:right w:w="160" w:type="dxa"/>
            </w:tcMar>
          </w:tcPr>
          <w:p w14:paraId="5BFBE500" w14:textId="77777777" w:rsidR="009B400B" w:rsidRDefault="00000000">
            <w:pPr>
              <w:jc w:val="center"/>
            </w:pPr>
            <w:r>
              <w:rPr>
                <w:b/>
                <w:bCs/>
                <w:color w:val="FFFFFF"/>
              </w:rPr>
              <w:t xml:space="preserve">Key </w:t>
            </w:r>
            <w:proofErr w:type="spellStart"/>
            <w:r>
              <w:rPr>
                <w:b/>
                <w:bCs/>
                <w:color w:val="FFFFFF"/>
              </w:rPr>
              <w:t>Strategy</w:t>
            </w:r>
            <w:proofErr w:type="spellEnd"/>
          </w:p>
        </w:tc>
      </w:tr>
      <w:tr w:rsidR="009B400B" w:rsidRPr="00B941A1" w14:paraId="7E09DA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60" w:type="dxa"/>
              <w:bottom w:w="80" w:type="dxa"/>
              <w:right w:w="160" w:type="dxa"/>
            </w:tcMar>
          </w:tcPr>
          <w:p w14:paraId="6549F03B" w14:textId="77777777" w:rsidR="009B400B" w:rsidRDefault="00000000">
            <w:proofErr w:type="spellStart"/>
            <w:r>
              <w:rPr>
                <w:b/>
                <w:bCs/>
              </w:rPr>
              <w:t>Organizational</w:t>
            </w:r>
            <w:proofErr w:type="spellEnd"/>
          </w:p>
        </w:tc>
        <w:tc>
          <w:tcPr>
            <w:tcW w:w="35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091E564" w14:textId="77777777" w:rsidR="009B400B" w:rsidRPr="00B941A1" w:rsidRDefault="00000000">
            <w:pPr>
              <w:rPr>
                <w:lang w:val="en-CA"/>
              </w:rPr>
            </w:pPr>
            <w:r w:rsidRPr="00B941A1">
              <w:rPr>
                <w:lang w:val="en-CA"/>
              </w:rPr>
              <w:t>Operations staff resistance to automated budget prioritization</w:t>
            </w:r>
          </w:p>
        </w:tc>
        <w:tc>
          <w:tcPr>
            <w:tcW w:w="35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81A24FD" w14:textId="77777777" w:rsidR="009B400B" w:rsidRPr="00B941A1" w:rsidRDefault="00000000">
            <w:pPr>
              <w:rPr>
                <w:lang w:val="en-CA"/>
              </w:rPr>
            </w:pPr>
            <w:r w:rsidRPr="00B941A1">
              <w:rPr>
                <w:lang w:val="en-CA"/>
              </w:rPr>
              <w:t>Pilot in census tract 0008.01 before full rollout</w:t>
            </w:r>
          </w:p>
        </w:tc>
      </w:tr>
      <w:tr w:rsidR="009B400B" w:rsidRPr="00B941A1" w14:paraId="52349A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B1C8D1E" w14:textId="77777777" w:rsidR="009B400B" w:rsidRDefault="00000000">
            <w:proofErr w:type="spellStart"/>
            <w:r>
              <w:rPr>
                <w:b/>
                <w:bCs/>
              </w:rPr>
              <w:t>Technical</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5EA837" w14:textId="77777777" w:rsidR="009B400B" w:rsidRPr="00B941A1" w:rsidRDefault="00000000">
            <w:pPr>
              <w:rPr>
                <w:lang w:val="en-CA"/>
              </w:rPr>
            </w:pPr>
            <w:r w:rsidRPr="00B941A1">
              <w:rPr>
                <w:lang w:val="en-CA"/>
              </w:rPr>
              <w:t>Fragmented data from two municipalities degrades model accuracy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7682A88" w14:textId="77777777" w:rsidR="009B400B" w:rsidRPr="00B941A1" w:rsidRDefault="00000000">
            <w:pPr>
              <w:rPr>
                <w:lang w:val="en-CA"/>
              </w:rPr>
            </w:pPr>
            <w:r w:rsidRPr="00B941A1">
              <w:rPr>
                <w:lang w:val="en-CA"/>
              </w:rPr>
              <w:t>Automated data validation pipeline with &gt;95% completeness KPI</w:t>
            </w:r>
          </w:p>
        </w:tc>
      </w:tr>
      <w:tr w:rsidR="009B400B" w:rsidRPr="00B941A1" w14:paraId="313CB0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60" w:type="dxa"/>
              <w:bottom w:w="80" w:type="dxa"/>
              <w:right w:w="160" w:type="dxa"/>
            </w:tcMar>
          </w:tcPr>
          <w:p w14:paraId="471C78DD" w14:textId="77777777" w:rsidR="009B400B" w:rsidRDefault="00000000">
            <w:r>
              <w:rPr>
                <w:b/>
                <w:bCs/>
              </w:rPr>
              <w:lastRenderedPageBreak/>
              <w:t>Economic</w:t>
            </w:r>
          </w:p>
        </w:tc>
        <w:tc>
          <w:tcPr>
            <w:tcW w:w="35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60" w:type="dxa"/>
              <w:bottom w:w="80" w:type="dxa"/>
              <w:right w:w="160" w:type="dxa"/>
            </w:tcMar>
          </w:tcPr>
          <w:p w14:paraId="2A558B7B" w14:textId="77777777" w:rsidR="009B400B" w:rsidRPr="00B941A1" w:rsidRDefault="00000000">
            <w:pPr>
              <w:rPr>
                <w:lang w:val="en-CA"/>
              </w:rPr>
            </w:pPr>
            <w:r w:rsidRPr="00B941A1">
              <w:rPr>
                <w:lang w:val="en-CA"/>
              </w:rPr>
              <w:t>$45,000 upfront cost without clear ROI for the CFO</w:t>
            </w:r>
          </w:p>
        </w:tc>
        <w:tc>
          <w:tcPr>
            <w:tcW w:w="35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60" w:type="dxa"/>
              <w:bottom w:w="80" w:type="dxa"/>
              <w:right w:w="160" w:type="dxa"/>
            </w:tcMar>
          </w:tcPr>
          <w:p w14:paraId="2ED4B551" w14:textId="77777777" w:rsidR="009B400B" w:rsidRPr="00B941A1" w:rsidRDefault="00000000">
            <w:pPr>
              <w:rPr>
                <w:lang w:val="en-CA"/>
              </w:rPr>
            </w:pPr>
            <w:r w:rsidRPr="00B941A1">
              <w:rPr>
                <w:lang w:val="en-CA"/>
              </w:rPr>
              <w:t>Cost-benefit: $45K cost vs. $115K/year savings = 4.7-month payback</w:t>
            </w:r>
          </w:p>
        </w:tc>
      </w:tr>
      <w:tr w:rsidR="009B400B" w:rsidRPr="00B941A1" w14:paraId="64E1A0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569FA8" w14:textId="77777777" w:rsidR="009B400B" w:rsidRDefault="00000000">
            <w:r>
              <w:rPr>
                <w:b/>
                <w:bCs/>
              </w:rPr>
              <w:t>Social</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637AFF3" w14:textId="77777777" w:rsidR="009B400B" w:rsidRPr="00B941A1" w:rsidRDefault="00000000">
            <w:pPr>
              <w:rPr>
                <w:lang w:val="en-CA"/>
              </w:rPr>
            </w:pPr>
            <w:r w:rsidRPr="00B941A1">
              <w:rPr>
                <w:lang w:val="en-CA"/>
              </w:rPr>
              <w:t>Equity weighting perceived as biased neighborhood favoritism</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65AE6E" w14:textId="77777777" w:rsidR="009B400B" w:rsidRPr="00B941A1" w:rsidRDefault="00000000">
            <w:pPr>
              <w:rPr>
                <w:lang w:val="en-CA"/>
              </w:rPr>
            </w:pPr>
            <w:r w:rsidRPr="00B941A1">
              <w:rPr>
                <w:lang w:val="en-CA"/>
              </w:rPr>
              <w:t>Transparent algorithmic documentation + public engagement session</w:t>
            </w:r>
          </w:p>
        </w:tc>
      </w:tr>
    </w:tbl>
    <w:p w14:paraId="3ECA2E05" w14:textId="77777777" w:rsidR="009B400B" w:rsidRPr="00B941A1" w:rsidRDefault="009B400B">
      <w:pPr>
        <w:spacing w:before="200"/>
        <w:rPr>
          <w:lang w:val="en-CA"/>
        </w:rPr>
      </w:pPr>
    </w:p>
    <w:p w14:paraId="6D544995" w14:textId="77777777" w:rsidR="009B400B" w:rsidRPr="00151691" w:rsidRDefault="00000000">
      <w:pPr>
        <w:pStyle w:val="Ttulo1"/>
        <w:rPr>
          <w:color w:val="000000" w:themeColor="text1"/>
          <w:lang w:val="en-CA"/>
        </w:rPr>
      </w:pPr>
      <w:r w:rsidRPr="00151691">
        <w:rPr>
          <w:color w:val="000000" w:themeColor="text1"/>
          <w:lang w:val="en-CA"/>
        </w:rPr>
        <w:t>References</w:t>
      </w:r>
    </w:p>
    <w:p w14:paraId="5597DC2D" w14:textId="77777777" w:rsidR="009B400B" w:rsidRPr="00B941A1" w:rsidRDefault="00000000">
      <w:pPr>
        <w:spacing w:before="60" w:after="60"/>
        <w:ind w:left="720" w:hanging="720"/>
        <w:rPr>
          <w:lang w:val="en-CA"/>
        </w:rPr>
      </w:pPr>
      <w:r w:rsidRPr="00B941A1">
        <w:rPr>
          <w:lang w:val="en-CA"/>
        </w:rPr>
        <w:t>Nesbitt, L., Meitner, M. J., Girling, C., Sheppard, S. R., &amp; Lu, Y. (2019). Who has access to urban vegetation? A spatial analysis of distributional green equity in US cities. Landscape and Urban Planning, 181, 51–79.</w:t>
      </w:r>
    </w:p>
    <w:p w14:paraId="3DE69EB6" w14:textId="77777777" w:rsidR="009B400B" w:rsidRPr="00B941A1" w:rsidRDefault="00000000">
      <w:pPr>
        <w:spacing w:before="60" w:after="60"/>
        <w:ind w:left="720" w:hanging="720"/>
        <w:rPr>
          <w:lang w:val="en-CA"/>
        </w:rPr>
      </w:pPr>
      <w:r w:rsidRPr="00B941A1">
        <w:rPr>
          <w:lang w:val="en-CA"/>
        </w:rPr>
        <w:t>Vogt, J. M., Hauer, R. J., &amp; Fischer, B. C. (2015). Explaining the urban forest: A need for proactive asset management. Arboriculture &amp; Urban Forestry, 41(1), 25–43.</w:t>
      </w:r>
    </w:p>
    <w:p w14:paraId="53638954" w14:textId="77777777" w:rsidR="009B400B" w:rsidRDefault="00000000">
      <w:pPr>
        <w:spacing w:before="60" w:after="60"/>
        <w:ind w:left="720" w:hanging="720"/>
      </w:pPr>
      <w:r w:rsidRPr="00B941A1">
        <w:rPr>
          <w:lang w:val="en-CA"/>
        </w:rPr>
        <w:t xml:space="preserve">Ziter, C. D., Pedersen, E. J., Kucharik, C. J., &amp; Turner, M. G. (2019). Scale-dependent interactions between tree canopy cover and impervious surfaces reduce urban air temperature.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w:t>
      </w:r>
      <w:proofErr w:type="spellStart"/>
      <w:r>
        <w:t>National</w:t>
      </w:r>
      <w:proofErr w:type="spellEnd"/>
      <w:r>
        <w:t xml:space="preserve"> </w:t>
      </w:r>
      <w:proofErr w:type="spellStart"/>
      <w:r>
        <w:t>Academy</w:t>
      </w:r>
      <w:proofErr w:type="spellEnd"/>
      <w:r>
        <w:t xml:space="preserve"> </w:t>
      </w:r>
      <w:proofErr w:type="spellStart"/>
      <w:r>
        <w:t>of</w:t>
      </w:r>
      <w:proofErr w:type="spellEnd"/>
      <w:r>
        <w:t xml:space="preserve"> </w:t>
      </w:r>
      <w:proofErr w:type="spellStart"/>
      <w:r>
        <w:t>Sciences</w:t>
      </w:r>
      <w:proofErr w:type="spellEnd"/>
      <w:r>
        <w:t>, 116(15), 7575–7580.</w:t>
      </w:r>
    </w:p>
    <w:sectPr w:rsidR="009B400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0B34F1"/>
    <w:multiLevelType w:val="hybridMultilevel"/>
    <w:tmpl w:val="6A141826"/>
    <w:lvl w:ilvl="0" w:tplc="D8360FD8">
      <w:start w:val="1"/>
      <w:numFmt w:val="bullet"/>
      <w:lvlText w:val="•"/>
      <w:lvlJc w:val="left"/>
      <w:pPr>
        <w:ind w:left="720" w:hanging="360"/>
      </w:pPr>
    </w:lvl>
    <w:lvl w:ilvl="1" w:tplc="3376894A">
      <w:numFmt w:val="decimal"/>
      <w:lvlText w:val=""/>
      <w:lvlJc w:val="left"/>
    </w:lvl>
    <w:lvl w:ilvl="2" w:tplc="503EC48C">
      <w:numFmt w:val="decimal"/>
      <w:lvlText w:val=""/>
      <w:lvlJc w:val="left"/>
    </w:lvl>
    <w:lvl w:ilvl="3" w:tplc="C3F06EA4">
      <w:numFmt w:val="decimal"/>
      <w:lvlText w:val=""/>
      <w:lvlJc w:val="left"/>
    </w:lvl>
    <w:lvl w:ilvl="4" w:tplc="230C0858">
      <w:numFmt w:val="decimal"/>
      <w:lvlText w:val=""/>
      <w:lvlJc w:val="left"/>
    </w:lvl>
    <w:lvl w:ilvl="5" w:tplc="803AD912">
      <w:numFmt w:val="decimal"/>
      <w:lvlText w:val=""/>
      <w:lvlJc w:val="left"/>
    </w:lvl>
    <w:lvl w:ilvl="6" w:tplc="3D0A0BB6">
      <w:numFmt w:val="decimal"/>
      <w:lvlText w:val=""/>
      <w:lvlJc w:val="left"/>
    </w:lvl>
    <w:lvl w:ilvl="7" w:tplc="7EBA1396">
      <w:numFmt w:val="decimal"/>
      <w:lvlText w:val=""/>
      <w:lvlJc w:val="left"/>
    </w:lvl>
    <w:lvl w:ilvl="8" w:tplc="D1C02A86">
      <w:numFmt w:val="decimal"/>
      <w:lvlText w:val=""/>
      <w:lvlJc w:val="left"/>
    </w:lvl>
  </w:abstractNum>
  <w:abstractNum w:abstractNumId="1" w15:restartNumberingAfterBreak="0">
    <w:nsid w:val="721550C6"/>
    <w:multiLevelType w:val="hybridMultilevel"/>
    <w:tmpl w:val="EB48CA26"/>
    <w:lvl w:ilvl="0" w:tplc="8B829F1C">
      <w:start w:val="1"/>
      <w:numFmt w:val="bullet"/>
      <w:lvlText w:val="●"/>
      <w:lvlJc w:val="left"/>
      <w:pPr>
        <w:ind w:left="720" w:hanging="360"/>
      </w:pPr>
    </w:lvl>
    <w:lvl w:ilvl="1" w:tplc="9998C39C">
      <w:start w:val="1"/>
      <w:numFmt w:val="bullet"/>
      <w:lvlText w:val="○"/>
      <w:lvlJc w:val="left"/>
      <w:pPr>
        <w:ind w:left="1440" w:hanging="360"/>
      </w:pPr>
    </w:lvl>
    <w:lvl w:ilvl="2" w:tplc="B880AFDA">
      <w:start w:val="1"/>
      <w:numFmt w:val="bullet"/>
      <w:lvlText w:val="■"/>
      <w:lvlJc w:val="left"/>
      <w:pPr>
        <w:ind w:left="2160" w:hanging="360"/>
      </w:pPr>
    </w:lvl>
    <w:lvl w:ilvl="3" w:tplc="B76C2128">
      <w:start w:val="1"/>
      <w:numFmt w:val="bullet"/>
      <w:lvlText w:val="●"/>
      <w:lvlJc w:val="left"/>
      <w:pPr>
        <w:ind w:left="2880" w:hanging="360"/>
      </w:pPr>
    </w:lvl>
    <w:lvl w:ilvl="4" w:tplc="3D5C800A">
      <w:start w:val="1"/>
      <w:numFmt w:val="bullet"/>
      <w:lvlText w:val="○"/>
      <w:lvlJc w:val="left"/>
      <w:pPr>
        <w:ind w:left="3600" w:hanging="360"/>
      </w:pPr>
    </w:lvl>
    <w:lvl w:ilvl="5" w:tplc="A3100700">
      <w:start w:val="1"/>
      <w:numFmt w:val="bullet"/>
      <w:lvlText w:val="■"/>
      <w:lvlJc w:val="left"/>
      <w:pPr>
        <w:ind w:left="4320" w:hanging="360"/>
      </w:pPr>
    </w:lvl>
    <w:lvl w:ilvl="6" w:tplc="C9BE072E">
      <w:start w:val="1"/>
      <w:numFmt w:val="bullet"/>
      <w:lvlText w:val="●"/>
      <w:lvlJc w:val="left"/>
      <w:pPr>
        <w:ind w:left="5040" w:hanging="360"/>
      </w:pPr>
    </w:lvl>
    <w:lvl w:ilvl="7" w:tplc="E2B03B10">
      <w:start w:val="1"/>
      <w:numFmt w:val="bullet"/>
      <w:lvlText w:val="●"/>
      <w:lvlJc w:val="left"/>
      <w:pPr>
        <w:ind w:left="5760" w:hanging="360"/>
      </w:pPr>
    </w:lvl>
    <w:lvl w:ilvl="8" w:tplc="2064F27E">
      <w:start w:val="1"/>
      <w:numFmt w:val="bullet"/>
      <w:lvlText w:val="●"/>
      <w:lvlJc w:val="left"/>
      <w:pPr>
        <w:ind w:left="6480" w:hanging="360"/>
      </w:pPr>
    </w:lvl>
  </w:abstractNum>
  <w:num w:numId="1" w16cid:durableId="1840611025">
    <w:abstractNumId w:val="1"/>
    <w:lvlOverride w:ilvl="0">
      <w:startOverride w:val="1"/>
    </w:lvlOverride>
  </w:num>
  <w:num w:numId="2" w16cid:durableId="8299526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00B"/>
    <w:rsid w:val="00151691"/>
    <w:rsid w:val="009B400B"/>
    <w:rsid w:val="00A451C7"/>
    <w:rsid w:val="00AF196E"/>
    <w:rsid w:val="00B941A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01A53"/>
  <w15:docId w15:val="{5606B59A-6B0A-4C58-BF3A-C534461A6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00"/>
      <w:outlineLvl w:val="0"/>
    </w:pPr>
    <w:rPr>
      <w:b/>
      <w:bCs/>
      <w:color w:val="1F5C8B"/>
      <w:sz w:val="36"/>
      <w:szCs w:val="36"/>
    </w:rPr>
  </w:style>
  <w:style w:type="paragraph" w:styleId="Ttulo2">
    <w:name w:val="heading 2"/>
    <w:uiPriority w:val="9"/>
    <w:unhideWhenUsed/>
    <w:qFormat/>
    <w:pPr>
      <w:spacing w:before="20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927</Words>
  <Characters>5011</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Liggia Elena Taboada Cruz</cp:lastModifiedBy>
  <cp:revision>2</cp:revision>
  <dcterms:created xsi:type="dcterms:W3CDTF">2026-06-16T22:05:00Z</dcterms:created>
  <dcterms:modified xsi:type="dcterms:W3CDTF">2026-06-16T22:05:00Z</dcterms:modified>
</cp:coreProperties>
</file>