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2"/>
        </w:rPr>
      </w:pPr>
    </w:p>
    <w:p>
      <w:pPr>
        <w:spacing w:line="1650" w:lineRule="exact" w:before="0"/>
        <w:ind w:left="624" w:right="0" w:firstLine="0"/>
        <w:jc w:val="left"/>
        <w:rPr>
          <w:rFonts w:ascii="Arial Unicode MS" w:eastAsia="Arial Unicode MS" w:hint="eastAsia"/>
          <w:sz w:val="100"/>
        </w:rPr>
      </w:pPr>
      <w:r>
        <w:rPr/>
        <w:pict>
          <v:group style="position:absolute;margin-left:76pt;margin-top:76.711075pt;width:438.9pt;height:3.75pt;mso-position-horizontal-relative:page;mso-position-vertical-relative:paragraph;z-index:-4000" coordorigin="1520,1534" coordsize="8778,75">
            <v:line style="position:absolute" from="1520,1557" to="10298,1557" stroked="true" strokeweight="2.25pt" strokecolor="#ff0000">
              <v:stroke dashstyle="solid"/>
            </v:line>
            <v:line style="position:absolute" from="1520,1602" to="10298,1602" stroked="true" strokeweight=".75pt" strokecolor="#ff0000">
              <v:stroke dashstyle="solid"/>
            </v:line>
            <w10:wrap type="none"/>
          </v:group>
        </w:pict>
      </w:r>
      <w:r>
        <w:rPr>
          <w:rFonts w:ascii="Arial Unicode MS" w:eastAsia="Arial Unicode MS" w:hint="eastAsia"/>
          <w:color w:val="FF0000"/>
          <w:spacing w:val="66"/>
          <w:w w:val="70"/>
          <w:sz w:val="100"/>
        </w:rPr>
        <w:t>广东省市场监督管理局</w:t>
      </w:r>
    </w:p>
    <w:p>
      <w:pPr>
        <w:pStyle w:val="BodyText"/>
        <w:spacing w:line="314" w:lineRule="exact" w:before="429"/>
        <w:ind w:left="5910"/>
      </w:pPr>
      <w:r>
        <w:rPr>
          <w:spacing w:val="-16"/>
          <w:w w:val="95"/>
        </w:rPr>
        <w:t>粤量认评审</w:t>
      </w:r>
      <w:r>
        <w:rPr>
          <w:spacing w:val="-8"/>
          <w:w w:val="95"/>
        </w:rPr>
        <w:t>[2019]7329</w:t>
      </w:r>
    </w:p>
    <w:p>
      <w:pPr>
        <w:spacing w:line="148" w:lineRule="auto" w:before="126"/>
        <w:ind w:left="1716" w:right="1759" w:firstLine="0"/>
        <w:jc w:val="center"/>
        <w:rPr>
          <w:rFonts w:ascii="Microsoft JhengHei" w:eastAsia="Microsoft JhengHei" w:hint="eastAsia"/>
          <w:b/>
          <w:sz w:val="44"/>
        </w:rPr>
      </w:pPr>
      <w:r>
        <w:rPr>
          <w:rFonts w:ascii="Microsoft JhengHei" w:eastAsia="Microsoft JhengHei" w:hint="eastAsia"/>
          <w:b/>
          <w:w w:val="95"/>
          <w:sz w:val="44"/>
        </w:rPr>
        <w:t>关于下达检验检测机构资质认定</w:t>
      </w:r>
      <w:r>
        <w:rPr>
          <w:rFonts w:ascii="Microsoft JhengHei" w:eastAsia="Microsoft JhengHei" w:hint="eastAsia"/>
          <w:b/>
          <w:sz w:val="44"/>
        </w:rPr>
        <w:t>现场评审的通知</w:t>
      </w:r>
    </w:p>
    <w:p>
      <w:pPr>
        <w:pStyle w:val="BodyText"/>
        <w:spacing w:before="38"/>
      </w:pPr>
      <w:r>
        <w:rPr>
          <w:u w:val="single"/>
        </w:rPr>
        <w:t>中山市恒德建筑工程检测有限公司</w:t>
      </w:r>
    </w:p>
    <w:p>
      <w:pPr>
        <w:pStyle w:val="BodyText"/>
        <w:spacing w:line="292" w:lineRule="auto" w:before="92"/>
        <w:ind w:right="328" w:firstLine="607"/>
      </w:pPr>
      <w:r>
        <w:rPr>
          <w:spacing w:val="-17"/>
        </w:rPr>
        <w:t>根据《检验检测机构资质认定能力评价检验检测机构通用要</w:t>
      </w:r>
      <w:r>
        <w:rPr>
          <w:spacing w:val="-110"/>
        </w:rPr>
        <w:t>求》</w:t>
      </w:r>
      <w:r>
        <w:rPr>
          <w:spacing w:val="-9"/>
        </w:rPr>
        <w:t>（RB/T</w:t>
      </w:r>
      <w:r>
        <w:rPr>
          <w:spacing w:val="-103"/>
        </w:rPr>
        <w:t> </w:t>
      </w:r>
      <w:r>
        <w:rPr>
          <w:spacing w:val="-14"/>
        </w:rPr>
        <w:t>214-2017）</w:t>
      </w:r>
      <w:r>
        <w:rPr>
          <w:spacing w:val="-17"/>
        </w:rPr>
        <w:t>的要求及检验检测机构资质认定评审程序， </w:t>
      </w:r>
      <w:r>
        <w:rPr>
          <w:spacing w:val="-16"/>
        </w:rPr>
        <w:t>现将受理号为(粤)市监(计认)受字[</w:t>
      </w:r>
      <w:r>
        <w:rPr>
          <w:spacing w:val="-9"/>
        </w:rPr>
        <w:t>2019]</w:t>
      </w:r>
      <w:r>
        <w:rPr>
          <w:spacing w:val="-15"/>
        </w:rPr>
        <w:t>第 </w:t>
      </w:r>
      <w:r>
        <w:rPr>
          <w:spacing w:val="-7"/>
        </w:rPr>
        <w:t>8697</w:t>
      </w:r>
      <w:r>
        <w:rPr>
          <w:spacing w:val="-16"/>
        </w:rPr>
        <w:t> 号的申请事项现场评审</w:t>
      </w:r>
      <w:r>
        <w:rPr>
          <w:spacing w:val="-13"/>
          <w:u w:val="single"/>
        </w:rPr>
        <w:t>(扩项)</w:t>
      </w:r>
      <w:r>
        <w:rPr>
          <w:spacing w:val="-16"/>
        </w:rPr>
        <w:t>有关事宜通知如下：</w:t>
      </w:r>
    </w:p>
    <w:p>
      <w:pPr>
        <w:pStyle w:val="BodyText"/>
        <w:spacing w:before="118"/>
        <w:ind w:left="1001"/>
      </w:pPr>
      <w:r>
        <w:rPr>
          <w:spacing w:val="-20"/>
        </w:rPr>
        <w:t>一、 评审时间：</w:t>
      </w:r>
      <w:r>
        <w:rPr>
          <w:spacing w:val="-9"/>
        </w:rPr>
        <w:t>2019-10-26</w:t>
      </w:r>
      <w:r>
        <w:rPr>
          <w:spacing w:val="-64"/>
        </w:rPr>
        <w:t> 至 </w:t>
      </w:r>
      <w:r>
        <w:rPr>
          <w:spacing w:val="-9"/>
        </w:rPr>
        <w:t>2019-10-27</w:t>
      </w:r>
    </w:p>
    <w:p>
      <w:pPr>
        <w:pStyle w:val="BodyText"/>
        <w:spacing w:before="90" w:after="11"/>
        <w:ind w:left="1001"/>
      </w:pPr>
      <w:r>
        <w:rPr/>
        <w:t>二、 评审组组成：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0"/>
        <w:gridCol w:w="1001"/>
        <w:gridCol w:w="2037"/>
        <w:gridCol w:w="2736"/>
        <w:gridCol w:w="1824"/>
      </w:tblGrid>
      <w:tr>
        <w:trPr>
          <w:trHeight w:val="678" w:hRule="atLeast"/>
        </w:trPr>
        <w:tc>
          <w:tcPr>
            <w:tcW w:w="1550" w:type="dxa"/>
          </w:tcPr>
          <w:p>
            <w:pPr>
              <w:pStyle w:val="TableParagraph"/>
              <w:spacing w:line="112" w:lineRule="auto" w:before="23"/>
              <w:ind w:left="621" w:right="84" w:hanging="456"/>
              <w:rPr>
                <w:rFonts w:ascii="Microsoft JhengHei" w:eastAsia="Microsoft JhengHei" w:hint="eastAsia"/>
                <w:b/>
                <w:sz w:val="32"/>
              </w:rPr>
            </w:pPr>
            <w:r>
              <w:rPr>
                <w:rFonts w:ascii="Microsoft JhengHei" w:eastAsia="Microsoft JhengHei" w:hint="eastAsia"/>
                <w:b/>
                <w:sz w:val="32"/>
              </w:rPr>
              <w:t>评审员组成</w:t>
            </w:r>
          </w:p>
        </w:tc>
        <w:tc>
          <w:tcPr>
            <w:tcW w:w="1001" w:type="dxa"/>
          </w:tcPr>
          <w:p>
            <w:pPr>
              <w:pStyle w:val="TableParagraph"/>
              <w:spacing w:line="525" w:lineRule="exact"/>
              <w:ind w:left="117"/>
              <w:rPr>
                <w:rFonts w:ascii="Microsoft JhengHei" w:eastAsia="Microsoft JhengHei" w:hint="eastAsia"/>
                <w:b/>
                <w:sz w:val="32"/>
              </w:rPr>
            </w:pPr>
            <w:r>
              <w:rPr>
                <w:rFonts w:ascii="Microsoft JhengHei" w:eastAsia="Microsoft JhengHei" w:hint="eastAsia"/>
                <w:b/>
                <w:sz w:val="32"/>
              </w:rPr>
              <w:t>姓 名</w:t>
            </w:r>
          </w:p>
        </w:tc>
        <w:tc>
          <w:tcPr>
            <w:tcW w:w="2037" w:type="dxa"/>
          </w:tcPr>
          <w:p>
            <w:pPr>
              <w:pStyle w:val="TableParagraph"/>
              <w:spacing w:line="525" w:lineRule="exact"/>
              <w:ind w:left="331"/>
              <w:rPr>
                <w:rFonts w:ascii="Microsoft JhengHei" w:eastAsia="Microsoft JhengHei" w:hint="eastAsia"/>
                <w:b/>
                <w:sz w:val="32"/>
              </w:rPr>
            </w:pPr>
            <w:r>
              <w:rPr>
                <w:rFonts w:ascii="Microsoft JhengHei" w:eastAsia="Microsoft JhengHei" w:hint="eastAsia"/>
                <w:b/>
                <w:sz w:val="32"/>
              </w:rPr>
              <w:t>职务/职称</w:t>
            </w:r>
          </w:p>
        </w:tc>
        <w:tc>
          <w:tcPr>
            <w:tcW w:w="2736" w:type="dxa"/>
          </w:tcPr>
          <w:p>
            <w:pPr>
              <w:pStyle w:val="TableParagraph"/>
              <w:spacing w:line="525" w:lineRule="exact"/>
              <w:ind w:left="757"/>
              <w:rPr>
                <w:rFonts w:ascii="Microsoft JhengHei" w:eastAsia="Microsoft JhengHei" w:hint="eastAsia"/>
                <w:b/>
                <w:sz w:val="32"/>
              </w:rPr>
            </w:pPr>
            <w:r>
              <w:rPr>
                <w:rFonts w:ascii="Microsoft JhengHei" w:eastAsia="Microsoft JhengHei" w:hint="eastAsia"/>
                <w:b/>
                <w:sz w:val="32"/>
              </w:rPr>
              <w:t>工作单位</w:t>
            </w:r>
          </w:p>
        </w:tc>
        <w:tc>
          <w:tcPr>
            <w:tcW w:w="1824" w:type="dxa"/>
          </w:tcPr>
          <w:p>
            <w:pPr>
              <w:pStyle w:val="TableParagraph"/>
              <w:spacing w:line="525" w:lineRule="exact"/>
              <w:ind w:left="302"/>
              <w:rPr>
                <w:rFonts w:ascii="Microsoft JhengHei" w:eastAsia="Microsoft JhengHei" w:hint="eastAsia"/>
                <w:b/>
                <w:sz w:val="32"/>
              </w:rPr>
            </w:pPr>
            <w:r>
              <w:rPr>
                <w:rFonts w:ascii="Microsoft JhengHei" w:eastAsia="Microsoft JhengHei" w:hint="eastAsia"/>
                <w:b/>
                <w:sz w:val="32"/>
              </w:rPr>
              <w:t>联系方式</w:t>
            </w:r>
          </w:p>
        </w:tc>
      </w:tr>
      <w:tr>
        <w:trPr>
          <w:trHeight w:val="599" w:hRule="atLeast"/>
        </w:trPr>
        <w:tc>
          <w:tcPr>
            <w:tcW w:w="1550" w:type="dxa"/>
          </w:tcPr>
          <w:p>
            <w:pPr>
              <w:pStyle w:val="TableParagraph"/>
              <w:spacing w:line="240" w:lineRule="auto" w:before="97"/>
              <w:rPr>
                <w:sz w:val="32"/>
              </w:rPr>
            </w:pPr>
            <w:r>
              <w:rPr>
                <w:sz w:val="32"/>
              </w:rPr>
              <w:t>组长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 w:before="97"/>
              <w:ind w:left="108"/>
              <w:rPr>
                <w:sz w:val="32"/>
              </w:rPr>
            </w:pPr>
            <w:r>
              <w:rPr>
                <w:sz w:val="32"/>
              </w:rPr>
              <w:t>郭林</w:t>
            </w:r>
          </w:p>
        </w:tc>
        <w:tc>
          <w:tcPr>
            <w:tcW w:w="2037" w:type="dxa"/>
          </w:tcPr>
          <w:p>
            <w:pPr>
              <w:pStyle w:val="TableParagraph"/>
              <w:spacing w:line="301" w:lineRule="exact"/>
              <w:ind w:left="108"/>
              <w:rPr>
                <w:sz w:val="32"/>
              </w:rPr>
            </w:pPr>
            <w:r>
              <w:rPr>
                <w:sz w:val="32"/>
              </w:rPr>
              <w:t>事业部总工/</w:t>
            </w:r>
          </w:p>
          <w:p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高级职称</w:t>
            </w:r>
          </w:p>
        </w:tc>
        <w:tc>
          <w:tcPr>
            <w:tcW w:w="2736" w:type="dxa"/>
          </w:tcPr>
          <w:p>
            <w:pPr>
              <w:pStyle w:val="TableParagraph"/>
              <w:spacing w:line="301" w:lineRule="exact"/>
              <w:ind w:left="106"/>
              <w:rPr>
                <w:sz w:val="32"/>
              </w:rPr>
            </w:pPr>
            <w:r>
              <w:rPr>
                <w:sz w:val="32"/>
              </w:rPr>
              <w:t>华测检测认证集团</w:t>
            </w:r>
          </w:p>
          <w:p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股份有限公司</w:t>
            </w:r>
          </w:p>
        </w:tc>
        <w:tc>
          <w:tcPr>
            <w:tcW w:w="1824" w:type="dxa"/>
          </w:tcPr>
          <w:p>
            <w:pPr>
              <w:pStyle w:val="TableParagraph"/>
              <w:spacing w:line="301" w:lineRule="exact"/>
              <w:rPr>
                <w:sz w:val="32"/>
              </w:rPr>
            </w:pPr>
            <w:r>
              <w:rPr>
                <w:sz w:val="32"/>
              </w:rPr>
              <w:t>1392888306</w:t>
            </w:r>
          </w:p>
          <w:p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</w:tr>
      <w:tr>
        <w:trPr>
          <w:trHeight w:val="899" w:hRule="atLeast"/>
        </w:trPr>
        <w:tc>
          <w:tcPr>
            <w:tcW w:w="1550" w:type="dxa"/>
          </w:tcPr>
          <w:p>
            <w:pPr>
              <w:pStyle w:val="TableParagraph"/>
              <w:spacing w:line="240" w:lineRule="auto" w:before="246"/>
              <w:rPr>
                <w:sz w:val="32"/>
              </w:rPr>
            </w:pPr>
            <w:r>
              <w:rPr>
                <w:sz w:val="32"/>
              </w:rPr>
              <w:t>组员</w:t>
            </w:r>
          </w:p>
        </w:tc>
        <w:tc>
          <w:tcPr>
            <w:tcW w:w="1001" w:type="dxa"/>
          </w:tcPr>
          <w:p>
            <w:pPr>
              <w:pStyle w:val="TableParagraph"/>
              <w:spacing w:line="175" w:lineRule="auto" w:before="184"/>
              <w:ind w:left="108" w:right="217"/>
              <w:rPr>
                <w:sz w:val="32"/>
              </w:rPr>
            </w:pPr>
            <w:r>
              <w:rPr>
                <w:sz w:val="32"/>
              </w:rPr>
              <w:t>胡晓勇</w:t>
            </w:r>
          </w:p>
        </w:tc>
        <w:tc>
          <w:tcPr>
            <w:tcW w:w="2037" w:type="dxa"/>
          </w:tcPr>
          <w:p>
            <w:pPr>
              <w:pStyle w:val="TableParagraph"/>
              <w:spacing w:line="175" w:lineRule="auto" w:before="184"/>
              <w:ind w:left="108" w:right="154"/>
              <w:rPr>
                <w:sz w:val="32"/>
              </w:rPr>
            </w:pPr>
            <w:r>
              <w:rPr>
                <w:sz w:val="32"/>
              </w:rPr>
              <w:t>中心主任/高级职称</w:t>
            </w:r>
          </w:p>
        </w:tc>
        <w:tc>
          <w:tcPr>
            <w:tcW w:w="2736" w:type="dxa"/>
          </w:tcPr>
          <w:p>
            <w:pPr>
              <w:pStyle w:val="TableParagraph"/>
              <w:spacing w:line="175" w:lineRule="auto" w:before="32"/>
              <w:ind w:left="106" w:right="171"/>
              <w:rPr>
                <w:sz w:val="32"/>
              </w:rPr>
            </w:pPr>
            <w:r>
              <w:rPr>
                <w:spacing w:val="-17"/>
                <w:sz w:val="32"/>
              </w:rPr>
              <w:t>广州市市政工程设计研究总院有限公</w:t>
            </w:r>
          </w:p>
          <w:p>
            <w:pPr>
              <w:pStyle w:val="TableParagraph"/>
              <w:spacing w:line="248" w:lineRule="exact"/>
              <w:ind w:left="106"/>
              <w:rPr>
                <w:sz w:val="32"/>
              </w:rPr>
            </w:pPr>
            <w:r>
              <w:rPr>
                <w:w w:val="99"/>
                <w:sz w:val="32"/>
              </w:rPr>
              <w:t>司</w:t>
            </w:r>
          </w:p>
        </w:tc>
        <w:tc>
          <w:tcPr>
            <w:tcW w:w="1824" w:type="dxa"/>
          </w:tcPr>
          <w:p>
            <w:pPr>
              <w:pStyle w:val="TableParagraph"/>
              <w:spacing w:line="355" w:lineRule="exact" w:before="97"/>
              <w:rPr>
                <w:sz w:val="32"/>
              </w:rPr>
            </w:pPr>
            <w:r>
              <w:rPr>
                <w:sz w:val="32"/>
              </w:rPr>
              <w:t>1348024020</w:t>
            </w:r>
          </w:p>
          <w:p>
            <w:pPr>
              <w:pStyle w:val="TableParagraph"/>
              <w:spacing w:line="355" w:lineRule="exact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</w:tr>
      <w:tr>
        <w:trPr>
          <w:trHeight w:val="602" w:hRule="atLeast"/>
        </w:trPr>
        <w:tc>
          <w:tcPr>
            <w:tcW w:w="1550" w:type="dxa"/>
          </w:tcPr>
          <w:p>
            <w:pPr>
              <w:pStyle w:val="TableParagraph"/>
              <w:spacing w:line="240" w:lineRule="auto" w:before="97"/>
              <w:rPr>
                <w:sz w:val="32"/>
              </w:rPr>
            </w:pPr>
            <w:r>
              <w:rPr>
                <w:sz w:val="32"/>
              </w:rPr>
              <w:t>组员</w:t>
            </w:r>
          </w:p>
        </w:tc>
        <w:tc>
          <w:tcPr>
            <w:tcW w:w="1001" w:type="dxa"/>
          </w:tcPr>
          <w:p>
            <w:pPr>
              <w:pStyle w:val="TableParagraph"/>
              <w:spacing w:line="304" w:lineRule="exact"/>
              <w:ind w:left="108"/>
              <w:rPr>
                <w:sz w:val="32"/>
              </w:rPr>
            </w:pPr>
            <w:r>
              <w:rPr>
                <w:sz w:val="32"/>
              </w:rPr>
              <w:t>谢振</w:t>
            </w:r>
          </w:p>
          <w:p>
            <w:pPr>
              <w:pStyle w:val="TableParagraph"/>
              <w:ind w:left="108"/>
              <w:rPr>
                <w:sz w:val="32"/>
              </w:rPr>
            </w:pPr>
            <w:r>
              <w:rPr>
                <w:w w:val="99"/>
                <w:sz w:val="32"/>
              </w:rPr>
              <w:t>乾</w:t>
            </w:r>
          </w:p>
        </w:tc>
        <w:tc>
          <w:tcPr>
            <w:tcW w:w="2037" w:type="dxa"/>
          </w:tcPr>
          <w:p>
            <w:pPr>
              <w:pStyle w:val="TableParagraph"/>
              <w:spacing w:line="304" w:lineRule="exact"/>
              <w:ind w:left="108"/>
              <w:rPr>
                <w:sz w:val="32"/>
              </w:rPr>
            </w:pPr>
            <w:r>
              <w:rPr>
                <w:sz w:val="32"/>
              </w:rPr>
              <w:t>总工程师/高</w:t>
            </w:r>
          </w:p>
          <w:p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级职称</w:t>
            </w:r>
          </w:p>
        </w:tc>
        <w:tc>
          <w:tcPr>
            <w:tcW w:w="2736" w:type="dxa"/>
          </w:tcPr>
          <w:p>
            <w:pPr>
              <w:pStyle w:val="TableParagraph"/>
              <w:spacing w:line="304" w:lineRule="exact"/>
              <w:ind w:left="106"/>
              <w:rPr>
                <w:sz w:val="32"/>
              </w:rPr>
            </w:pPr>
            <w:r>
              <w:rPr>
                <w:sz w:val="32"/>
              </w:rPr>
              <w:t>广州市承信公路工</w:t>
            </w:r>
          </w:p>
          <w:p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程检验有限公司</w:t>
            </w:r>
          </w:p>
        </w:tc>
        <w:tc>
          <w:tcPr>
            <w:tcW w:w="1824" w:type="dxa"/>
          </w:tcPr>
          <w:p>
            <w:pPr>
              <w:pStyle w:val="TableParagraph"/>
              <w:spacing w:line="304" w:lineRule="exact"/>
              <w:rPr>
                <w:sz w:val="32"/>
              </w:rPr>
            </w:pPr>
            <w:r>
              <w:rPr>
                <w:sz w:val="32"/>
              </w:rPr>
              <w:t>1371288881</w:t>
            </w:r>
          </w:p>
          <w:p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6</w:t>
            </w:r>
          </w:p>
        </w:tc>
      </w:tr>
    </w:tbl>
    <w:p>
      <w:pPr>
        <w:pStyle w:val="BodyText"/>
        <w:spacing w:line="292" w:lineRule="auto" w:before="81"/>
        <w:ind w:left="1721" w:right="418" w:hanging="720"/>
      </w:pPr>
      <w:r>
        <w:rPr>
          <w:spacing w:val="-26"/>
        </w:rPr>
        <w:t>三、 请你单位认真做好评审准备工作，以确保评审工作顺利</w:t>
      </w:r>
      <w:r>
        <w:rPr>
          <w:spacing w:val="-17"/>
          <w:w w:val="95"/>
        </w:rPr>
        <w:t>进行。评审组成员评审期间不得收取被评单位劳务费。</w:t>
      </w:r>
    </w:p>
    <w:p>
      <w:pPr>
        <w:pStyle w:val="BodyText"/>
        <w:spacing w:line="409" w:lineRule="exact"/>
        <w:ind w:left="1001"/>
      </w:pPr>
      <w:r>
        <w:rPr>
          <w:spacing w:val="-21"/>
        </w:rPr>
        <w:t>四、 注意事项</w:t>
      </w:r>
      <w:r>
        <w:rPr>
          <w:spacing w:val="-17"/>
        </w:rPr>
        <w:t>（附后，内容重要，务必阅读</w:t>
      </w:r>
      <w:r>
        <w:rPr>
          <w:spacing w:val="-167"/>
        </w:rPr>
        <w:t>）</w:t>
      </w:r>
      <w:r>
        <w:rPr/>
        <w:t>。</w:t>
      </w: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  <w:spacing w:line="468" w:lineRule="auto"/>
        <w:ind w:right="480" w:firstLine="5468"/>
      </w:pPr>
      <w:r>
        <w:rPr>
          <w:spacing w:val="-17"/>
        </w:rPr>
        <w:t>二〇一九年十月十四日</w:t>
      </w:r>
      <w:r>
        <w:rPr>
          <w:spacing w:val="-28"/>
        </w:rPr>
        <w:t>抄送：评审组长、评审组成员、机构所在地市市场监督管理</w:t>
      </w:r>
    </w:p>
    <w:p>
      <w:pPr>
        <w:spacing w:after="0" w:line="468" w:lineRule="auto"/>
        <w:sectPr>
          <w:type w:val="continuous"/>
          <w:pgSz w:w="11910" w:h="16840"/>
          <w:pgMar w:top="1580" w:bottom="280" w:left="1260" w:right="1200"/>
        </w:sectPr>
      </w:pPr>
    </w:p>
    <w:p>
      <w:pPr>
        <w:pStyle w:val="BodyText"/>
        <w:spacing w:before="54"/>
      </w:pPr>
      <w:r>
        <w:rPr>
          <w:w w:val="99"/>
        </w:rPr>
        <w:t>局</w:t>
      </w:r>
    </w:p>
    <w:p>
      <w:pPr>
        <w:pStyle w:val="BodyText"/>
        <w:spacing w:line="268" w:lineRule="auto" w:before="23"/>
      </w:pPr>
      <w:r>
        <w:rPr>
          <w:spacing w:val="-17"/>
        </w:rPr>
        <w:t>被评审单位联系人：陈志聪；手机：</w:t>
      </w:r>
      <w:r>
        <w:rPr>
          <w:spacing w:val="-10"/>
        </w:rPr>
        <w:t>15820518076;</w:t>
      </w:r>
      <w:r>
        <w:rPr>
          <w:spacing w:val="-13"/>
        </w:rPr>
        <w:t>电子邮箱：</w:t>
      </w:r>
      <w:hyperlink r:id="rId5">
        <w:r>
          <w:rPr>
            <w:spacing w:val="-13"/>
          </w:rPr>
          <w:t> </w:t>
        </w:r>
        <w:r>
          <w:rPr>
            <w:spacing w:val="-8"/>
          </w:rPr>
          <w:t>zshdjc@163.com</w:t>
        </w:r>
      </w:hyperlink>
    </w:p>
    <w:p>
      <w:pPr>
        <w:pStyle w:val="BodyText"/>
        <w:spacing w:before="12"/>
        <w:ind w:left="0"/>
        <w:rPr>
          <w:sz w:val="24"/>
        </w:rPr>
      </w:pPr>
    </w:p>
    <w:p>
      <w:pPr>
        <w:tabs>
          <w:tab w:pos="3922" w:val="left" w:leader="none"/>
          <w:tab w:pos="9336" w:val="left" w:leader="none"/>
        </w:tabs>
        <w:spacing w:before="0"/>
        <w:ind w:left="559" w:right="0" w:firstLine="0"/>
        <w:jc w:val="left"/>
        <w:rPr>
          <w:sz w:val="44"/>
        </w:rPr>
      </w:pPr>
      <w:r>
        <w:rPr/>
        <w:pict>
          <v:line style="position:absolute;mso-position-horizontal-relative:page;mso-position-vertical-relative:paragraph;z-index:1048" from="90.949997pt,27.474991pt" to="529.849997pt,27.474991pt" stroked="true" strokeweight="2.25pt" strokecolor="#ff0000">
            <v:stroke dashstyle="solid"/>
            <w10:wrap type="none"/>
          </v:line>
        </w:pict>
      </w:r>
      <w:r>
        <w:rPr>
          <w:rFonts w:ascii="Times New Roman" w:eastAsia="Times New Roman"/>
          <w:w w:val="99"/>
          <w:sz w:val="44"/>
          <w:u w:val="single" w:color="FF0000"/>
        </w:rPr>
        <w:t> </w:t>
      </w:r>
      <w:r>
        <w:rPr>
          <w:rFonts w:ascii="Times New Roman" w:eastAsia="Times New Roman"/>
          <w:sz w:val="44"/>
          <w:u w:val="single" w:color="FF0000"/>
        </w:rPr>
        <w:tab/>
      </w:r>
      <w:r>
        <w:rPr>
          <w:spacing w:val="-15"/>
          <w:w w:val="95"/>
          <w:sz w:val="44"/>
          <w:u w:val="single" w:color="FF0000"/>
        </w:rPr>
        <w:t>注意</w:t>
      </w:r>
      <w:r>
        <w:rPr>
          <w:spacing w:val="-17"/>
          <w:w w:val="95"/>
          <w:sz w:val="44"/>
          <w:u w:val="single" w:color="FF0000"/>
        </w:rPr>
        <w:t>事</w:t>
      </w:r>
      <w:r>
        <w:rPr>
          <w:w w:val="95"/>
          <w:sz w:val="44"/>
          <w:u w:val="single" w:color="FF0000"/>
        </w:rPr>
        <w:t>项</w:t>
      </w:r>
      <w:r>
        <w:rPr>
          <w:sz w:val="44"/>
          <w:u w:val="single" w:color="FF0000"/>
        </w:rPr>
        <w:tab/>
      </w:r>
    </w:p>
    <w:p>
      <w:pPr>
        <w:pStyle w:val="BodyText"/>
        <w:spacing w:before="4"/>
        <w:ind w:left="0"/>
        <w:rPr>
          <w:sz w:val="57"/>
        </w:rPr>
      </w:pPr>
    </w:p>
    <w:p>
      <w:pPr>
        <w:pStyle w:val="BodyText"/>
        <w:spacing w:line="357" w:lineRule="auto"/>
        <w:ind w:right="326" w:firstLine="607"/>
        <w:jc w:val="both"/>
      </w:pPr>
      <w:r>
        <w:rPr>
          <w:spacing w:val="-9"/>
          <w:w w:val="95"/>
        </w:rPr>
        <w:t>1</w:t>
      </w:r>
      <w:r>
        <w:rPr>
          <w:spacing w:val="-17"/>
          <w:w w:val="95"/>
        </w:rPr>
        <w:t>、现场评审过程中评审组不得对本次申请以外的项目进行评 </w:t>
      </w:r>
      <w:r>
        <w:rPr>
          <w:spacing w:val="-27"/>
          <w:w w:val="95"/>
        </w:rPr>
        <w:t>审，不得受理被评审单位现场临时提出的评审申请，不得收取被评  </w:t>
      </w:r>
      <w:r>
        <w:rPr>
          <w:spacing w:val="-29"/>
          <w:w w:val="95"/>
        </w:rPr>
        <w:t>单位及利益相关方提供的劳务费，评审组收取被评审单位任何费用  </w:t>
      </w:r>
      <w:r>
        <w:rPr>
          <w:spacing w:val="-15"/>
        </w:rPr>
        <w:t>视为违法违纪。</w:t>
      </w:r>
    </w:p>
    <w:p>
      <w:pPr>
        <w:pStyle w:val="BodyText"/>
        <w:spacing w:line="357" w:lineRule="auto"/>
        <w:ind w:right="328" w:firstLine="607"/>
        <w:jc w:val="both"/>
      </w:pPr>
      <w:r>
        <w:rPr>
          <w:spacing w:val="-9"/>
        </w:rPr>
        <w:t>2</w:t>
      </w:r>
      <w:r>
        <w:rPr>
          <w:spacing w:val="-33"/>
        </w:rPr>
        <w:t>、评审组长应将评审报告于文审之日起 </w:t>
      </w:r>
      <w:r>
        <w:rPr>
          <w:spacing w:val="-5"/>
        </w:rPr>
        <w:t>45</w:t>
      </w:r>
      <w:r>
        <w:rPr>
          <w:spacing w:val="-26"/>
        </w:rPr>
        <w:t> 天内完成并提交至</w:t>
      </w:r>
      <w:r>
        <w:rPr>
          <w:spacing w:val="-28"/>
          <w:w w:val="95"/>
        </w:rPr>
        <w:t>省审查中心，遇特殊情况的，应书面向审查中心及行政许可审批处  </w:t>
      </w:r>
      <w:r>
        <w:rPr>
          <w:spacing w:val="-15"/>
        </w:rPr>
        <w:t>报告并说明理由。</w:t>
      </w:r>
    </w:p>
    <w:p>
      <w:pPr>
        <w:pStyle w:val="BodyText"/>
        <w:spacing w:line="357" w:lineRule="auto"/>
        <w:ind w:right="326" w:firstLine="607"/>
        <w:jc w:val="both"/>
      </w:pPr>
      <w:r>
        <w:rPr>
          <w:spacing w:val="-9"/>
          <w:w w:val="95"/>
        </w:rPr>
        <w:t>3</w:t>
      </w:r>
      <w:r>
        <w:rPr>
          <w:spacing w:val="-17"/>
          <w:w w:val="95"/>
        </w:rPr>
        <w:t>、评审组长应按照“检验检测机构资质认定评审材料报送声 </w:t>
      </w:r>
      <w:r>
        <w:rPr>
          <w:spacing w:val="-21"/>
        </w:rPr>
        <w:t>明”目录的要求报送评审材料。纸质材料报省审查中心 </w:t>
      </w:r>
      <w:r>
        <w:rPr>
          <w:spacing w:val="-7"/>
        </w:rPr>
        <w:t>2010</w:t>
      </w:r>
      <w:r>
        <w:rPr>
          <w:spacing w:val="-44"/>
        </w:rPr>
        <w:t> 室魏</w:t>
      </w:r>
    </w:p>
    <w:p>
      <w:pPr>
        <w:pStyle w:val="BodyText"/>
        <w:tabs>
          <w:tab w:pos="3176" w:val="left" w:leader="none"/>
        </w:tabs>
        <w:spacing w:line="357" w:lineRule="auto"/>
        <w:ind w:right="329"/>
      </w:pPr>
      <w:r>
        <w:rPr>
          <w:spacing w:val="-15"/>
          <w:w w:val="99"/>
        </w:rPr>
        <w:t>博娟</w:t>
      </w:r>
      <w:r>
        <w:rPr>
          <w:spacing w:val="-17"/>
          <w:w w:val="99"/>
        </w:rPr>
        <w:t>收</w:t>
      </w:r>
      <w:r>
        <w:rPr>
          <w:spacing w:val="-15"/>
          <w:w w:val="99"/>
        </w:rPr>
        <w:t>（</w:t>
      </w:r>
      <w:r>
        <w:rPr>
          <w:spacing w:val="-17"/>
          <w:w w:val="99"/>
        </w:rPr>
        <w:t>地</w:t>
      </w:r>
      <w:r>
        <w:rPr>
          <w:spacing w:val="-15"/>
          <w:w w:val="99"/>
        </w:rPr>
        <w:t>址</w:t>
      </w:r>
      <w:r>
        <w:rPr>
          <w:spacing w:val="-17"/>
          <w:w w:val="99"/>
        </w:rPr>
        <w:t>：广</w:t>
      </w:r>
      <w:r>
        <w:rPr>
          <w:spacing w:val="-15"/>
          <w:w w:val="99"/>
        </w:rPr>
        <w:t>州市</w:t>
      </w:r>
      <w:r>
        <w:rPr>
          <w:spacing w:val="-17"/>
          <w:w w:val="99"/>
        </w:rPr>
        <w:t>天</w:t>
      </w:r>
      <w:r>
        <w:rPr>
          <w:spacing w:val="-15"/>
          <w:w w:val="99"/>
        </w:rPr>
        <w:t>河</w:t>
      </w:r>
      <w:r>
        <w:rPr>
          <w:spacing w:val="-16"/>
          <w:w w:val="99"/>
        </w:rPr>
        <w:t>区</w:t>
      </w:r>
      <w:r>
        <w:rPr>
          <w:spacing w:val="-15"/>
          <w:w w:val="99"/>
        </w:rPr>
        <w:t>体</w:t>
      </w:r>
      <w:r>
        <w:rPr>
          <w:spacing w:val="-17"/>
          <w:w w:val="99"/>
        </w:rPr>
        <w:t>育西</w:t>
      </w:r>
      <w:r>
        <w:rPr>
          <w:w w:val="99"/>
        </w:rPr>
        <w:t>路</w:t>
      </w:r>
      <w:r>
        <w:rPr>
          <w:spacing w:val="-97"/>
        </w:rPr>
        <w:t> </w:t>
      </w:r>
      <w:r>
        <w:rPr>
          <w:spacing w:val="-9"/>
          <w:w w:val="99"/>
        </w:rPr>
        <w:t>5</w:t>
      </w:r>
      <w:r>
        <w:rPr>
          <w:w w:val="99"/>
        </w:rPr>
        <w:t>7</w:t>
      </w:r>
      <w:r>
        <w:rPr>
          <w:spacing w:val="-92"/>
        </w:rPr>
        <w:t> </w:t>
      </w:r>
      <w:r>
        <w:rPr>
          <w:spacing w:val="-15"/>
          <w:w w:val="99"/>
        </w:rPr>
        <w:t>号</w:t>
      </w:r>
      <w:r>
        <w:rPr>
          <w:spacing w:val="-17"/>
          <w:w w:val="99"/>
        </w:rPr>
        <w:t>红</w:t>
      </w:r>
      <w:r>
        <w:rPr>
          <w:spacing w:val="-15"/>
          <w:w w:val="99"/>
        </w:rPr>
        <w:t>盾</w:t>
      </w:r>
      <w:r>
        <w:rPr>
          <w:spacing w:val="-17"/>
          <w:w w:val="99"/>
        </w:rPr>
        <w:t>大</w:t>
      </w:r>
      <w:r>
        <w:rPr>
          <w:w w:val="99"/>
        </w:rPr>
        <w:t>厦</w:t>
      </w:r>
      <w:r>
        <w:rPr>
          <w:spacing w:val="-100"/>
        </w:rPr>
        <w:t> </w:t>
      </w:r>
      <w:r>
        <w:rPr>
          <w:spacing w:val="-9"/>
          <w:w w:val="99"/>
        </w:rPr>
        <w:t>2</w:t>
      </w:r>
      <w:r>
        <w:rPr>
          <w:w w:val="99"/>
        </w:rPr>
        <w:t>0</w:t>
      </w:r>
      <w:r>
        <w:rPr>
          <w:spacing w:val="-92"/>
        </w:rPr>
        <w:t> </w:t>
      </w:r>
      <w:r>
        <w:rPr>
          <w:spacing w:val="-15"/>
          <w:w w:val="99"/>
        </w:rPr>
        <w:t>楼</w:t>
      </w:r>
      <w:r>
        <w:rPr>
          <w:spacing w:val="-166"/>
          <w:w w:val="99"/>
        </w:rPr>
        <w:t>）</w:t>
      </w:r>
      <w:r>
        <w:rPr>
          <w:spacing w:val="-17"/>
          <w:w w:val="99"/>
        </w:rPr>
        <w:t>，</w:t>
      </w:r>
      <w:r>
        <w:rPr>
          <w:w w:val="99"/>
        </w:rPr>
        <w:t>电</w:t>
      </w:r>
      <w:r>
        <w:rPr>
          <w:spacing w:val="-15"/>
        </w:rPr>
        <w:t>话</w:t>
      </w:r>
      <w:r>
        <w:rPr>
          <w:spacing w:val="-9"/>
        </w:rPr>
        <w:t>：020-38835316</w:t>
        <w:tab/>
      </w:r>
      <w:r>
        <w:rPr/>
        <w:t>。</w:t>
      </w:r>
    </w:p>
    <w:sectPr>
      <w:pgSz w:w="11910" w:h="16840"/>
      <w:pgMar w:top="1580" w:bottom="280" w:left="126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Arial Unicode MS">
    <w:altName w:val="Arial Unicode MS"/>
    <w:charset w:val="86"/>
    <w:family w:val="swiss"/>
    <w:pitch w:val="variable"/>
  </w:font>
  <w:font w:name="Microsoft JhengHei">
    <w:altName w:val="Microsoft JhengHe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ind w:left="442"/>
    </w:pPr>
    <w:rPr>
      <w:rFonts w:ascii="宋体" w:hAnsi="宋体" w:eastAsia="宋体" w:cs="宋体"/>
      <w:sz w:val="32"/>
      <w:szCs w:val="32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spacing w:line="278" w:lineRule="exact"/>
      <w:ind w:left="107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zshdjc@163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dc:title>关于进行“多式联运”系列国家标准项目调研的函</dc:title>
  <dcterms:created xsi:type="dcterms:W3CDTF">2020-08-13T14:37:10Z</dcterms:created>
  <dcterms:modified xsi:type="dcterms:W3CDTF">2020-08-13T14:37:10Z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2020-08-13T00:00:00Z</vt:filetime>
  </property>
</Properties>
</file>