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黑体" w:hAnsi="黑体"/>
          <w:sz w:val="26"/>
        </w:rPr>
        <w:t>4表</w:t>
      </w:r>
    </w:p>
    <w:p>
      <w:pPr>
        <w:jc w:val="center"/>
      </w:pPr>
      <w:r>
        <w:rPr>
          <w:rFonts w:ascii="黑体" w:hAnsi="黑体"/>
          <w:b/>
          <w:sz w:val="26"/>
        </w:rPr>
        <w:t>建议批准的检验检测能力表</w:t>
      </w:r>
    </w:p>
    <w:p>
      <w:pPr>
        <w:jc w:val="left"/>
      </w:pPr>
      <w:r>
        <w:rPr>
          <w:rFonts w:ascii="黑体" w:hAnsi="黑体"/>
          <w:i/>
          <w:sz w:val="26"/>
        </w:rPr>
        <w:t>检验检测场所地址:</w:t>
      </w:r>
      <w:r>
        <w:t>广州市南沙区东涌镇市南公路东涌段115号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领域序号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领域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类别序号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类别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对象序号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检测对象</w:t>
            </w:r>
          </w:p>
        </w:tc>
        <w:tc>
          <w:tcPr>
            <w:tcW w:type="dxa" w:w="2020"/>
            <w:gridSpan w:val="2"/>
            <w:vAlign w:val="center"/>
          </w:tcPr>
          <w:p>
            <w:pPr>
              <w:jc w:val="center"/>
            </w:pPr>
            <w:r>
              <w:t>项目/参数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依据的标准（方法）名称及编号（含年号）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限制范围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010"/>
            <w:vAlign w:val="center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1.1.1.1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位移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《大跨径混凝土桥梁的试验方法》1982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1.1.1.2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位移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《混凝土结构试验方法标准》GB/T 50152-2012《公路桥梁荷载试验规程》JTG/T J21-01-2015《公路桥梁承载能力检测评定规程》JTG/T J21-2011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1.1.1.3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冲击系数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1.1.1.4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冲击系数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《大跨径混凝土桥梁的试验方法》（1982）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1.1.1.5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几何尺寸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《公路工程质量检验评定标准 第一册 土建工程》JTG F80/1-2017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title of my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