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EBE" w:rsidRDefault="0030078E">
      <w:pPr>
        <w:pStyle w:val="Title"/>
      </w:pPr>
      <w:r>
        <w:t>Wyniki</w:t>
      </w:r>
    </w:p>
    <w:p w:rsidR="00981810" w:rsidRPr="00981810" w:rsidRDefault="00981810" w:rsidP="00981810">
      <w:pPr>
        <w:pStyle w:val="Heading1"/>
      </w:pPr>
      <w:r>
        <w:t xml:space="preserve">Wyniki </w:t>
      </w:r>
      <w:r w:rsidRPr="00981810">
        <w:t>heading</w:t>
      </w:r>
      <w:r>
        <w:t xml:space="preserve"> 2</w:t>
      </w:r>
    </w:p>
    <w:p w:rsidR="00AE3C0A" w:rsidRDefault="00AE3C0A" w:rsidP="00AE3C0A">
      <w:pPr>
        <w:pStyle w:val="SourceCode"/>
      </w:pPr>
      <w:r>
        <w:t xml:space="preserve">Code source text </w:t>
      </w:r>
      <w:r>
        <w:rPr>
          <w:rStyle w:val="VerbatimChar"/>
        </w:rPr>
        <w:t>Wszystkie analizy</w:t>
      </w:r>
    </w:p>
    <w:p w:rsidR="00802EBE" w:rsidRPr="00206750" w:rsidRDefault="0030078E" w:rsidP="00206750">
      <w:pPr>
        <w:pStyle w:val="FirstParagraph"/>
      </w:pPr>
      <w:r w:rsidRPr="00206750">
        <w:t>Wszystkie analizy zostały wykonane/zostały przeprowadzone/wykonano/przeprowadzono w programie statystycznym/za pomocą programu statystycznego/przy pomocy programu statystycznego IBM SPSS 25. Za próg istotności przyjęto p &lt; 0,05.</w:t>
      </w:r>
    </w:p>
    <w:p w:rsidR="00802EBE" w:rsidRPr="00EE2A05" w:rsidRDefault="0030078E" w:rsidP="00EE2A05">
      <w:pPr>
        <w:pStyle w:val="Heading2"/>
      </w:pPr>
      <w:bookmarkStart w:id="0" w:name="statystyki-opisowe"/>
      <w:r w:rsidRPr="00EE2A05">
        <w:t>Statystyki opisowe</w:t>
      </w:r>
      <w:bookmarkEnd w:id="0"/>
    </w:p>
    <w:p w:rsidR="00802EBE" w:rsidRDefault="0030078E" w:rsidP="00206750">
      <w:pPr>
        <w:pStyle w:val="FirstParagraph"/>
      </w:pPr>
      <w:r>
        <w:t>Na pierwszym etapie analiz dokonano opisu statystycznego badanych zmiennych zależnych. W tym celu policzono miary tendencji centralnej (średnią i medianę), miary dyspersji (odchylenie standardowe oraz wartości minimum i maksimum) i miary rozkładu (skośności i kurtozy) oraz przy pomocy testu Shapiro-Wilk’a sprawdzono normalność rozkładu reszt. Wyniki przedstawia tabela 1.</w:t>
      </w:r>
    </w:p>
    <w:p w:rsidR="00802EBE" w:rsidRPr="00AD54CE" w:rsidRDefault="0030078E" w:rsidP="00E112FE">
      <w:pPr>
        <w:pStyle w:val="TableCaption"/>
        <w:rPr>
          <w:vanish/>
          <w:specVanish/>
        </w:rPr>
      </w:pPr>
      <w:r w:rsidRPr="00E112FE">
        <w:t>Ta</w:t>
      </w:r>
      <w:bookmarkStart w:id="1" w:name="_GoBack"/>
      <w:bookmarkEnd w:id="1"/>
      <w:r w:rsidRPr="00E112FE">
        <w:t>bela 1</w:t>
      </w:r>
    </w:p>
    <w:p w:rsidR="00AD54CE" w:rsidRDefault="00AD54CE" w:rsidP="00E112FE">
      <w:pPr>
        <w:pStyle w:val="TableCaption"/>
      </w:pPr>
      <w:r>
        <w:t xml:space="preserve"> </w:t>
      </w:r>
    </w:p>
    <w:p w:rsidR="00802EBE" w:rsidRPr="00E112FE" w:rsidRDefault="0030078E" w:rsidP="00E112FE">
      <w:pPr>
        <w:pStyle w:val="TableCaption"/>
      </w:pPr>
      <w:r w:rsidRPr="00E112FE">
        <w:t>Szczegółowe statystyki opisowe oraz sprawdzenie normalności rozkładu reszt dla zmiennych zależnych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57"/>
        <w:gridCol w:w="778"/>
        <w:gridCol w:w="765"/>
        <w:gridCol w:w="839"/>
        <w:gridCol w:w="839"/>
        <w:gridCol w:w="839"/>
        <w:gridCol w:w="839"/>
        <w:gridCol w:w="961"/>
        <w:gridCol w:w="961"/>
        <w:gridCol w:w="839"/>
        <w:gridCol w:w="961"/>
      </w:tblGrid>
      <w:tr w:rsidR="00802EBE" w:rsidRPr="009A2AE4">
        <w:trPr>
          <w:cantSplit/>
          <w:tblHeader/>
          <w:jc w:val="center"/>
        </w:trPr>
        <w:tc>
          <w:tcPr>
            <w:tcW w:w="5057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  <w:i/>
              </w:rPr>
              <w:t>Zmienna</w:t>
            </w:r>
          </w:p>
        </w:tc>
        <w:tc>
          <w:tcPr>
            <w:tcW w:w="77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  <w:i/>
              </w:rPr>
              <w:t>N</w:t>
            </w:r>
          </w:p>
        </w:tc>
        <w:tc>
          <w:tcPr>
            <w:tcW w:w="76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  <w:i/>
              </w:rPr>
              <w:t>Min</w:t>
            </w:r>
          </w:p>
        </w:tc>
        <w:tc>
          <w:tcPr>
            <w:tcW w:w="83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  <w:i/>
              </w:rPr>
              <w:t>Max</w:t>
            </w:r>
          </w:p>
        </w:tc>
        <w:tc>
          <w:tcPr>
            <w:tcW w:w="83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  <w:i/>
              </w:rPr>
              <w:t>M</w:t>
            </w:r>
          </w:p>
        </w:tc>
        <w:tc>
          <w:tcPr>
            <w:tcW w:w="83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  <w:i/>
              </w:rPr>
              <w:t>SD</w:t>
            </w:r>
          </w:p>
        </w:tc>
        <w:tc>
          <w:tcPr>
            <w:tcW w:w="83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  <w:i/>
              </w:rPr>
              <w:t>Me</w:t>
            </w:r>
          </w:p>
        </w:tc>
        <w:tc>
          <w:tcPr>
            <w:tcW w:w="96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  <w:i/>
              </w:rPr>
              <w:t>Skos.</w:t>
            </w:r>
          </w:p>
        </w:tc>
        <w:tc>
          <w:tcPr>
            <w:tcW w:w="96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  <w:i/>
              </w:rPr>
              <w:t>Kurt.</w:t>
            </w:r>
          </w:p>
        </w:tc>
        <w:tc>
          <w:tcPr>
            <w:tcW w:w="83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  <w:i/>
              </w:rPr>
              <w:t>S-W</w:t>
            </w:r>
          </w:p>
        </w:tc>
        <w:tc>
          <w:tcPr>
            <w:tcW w:w="96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  <w:i/>
              </w:rPr>
              <w:t>p</w:t>
            </w:r>
          </w:p>
        </w:tc>
      </w:tr>
      <w:tr w:rsidR="00802EBE" w:rsidRPr="009A2AE4">
        <w:trPr>
          <w:cantSplit/>
          <w:tblHeader/>
          <w:jc w:val="center"/>
        </w:trPr>
        <w:tc>
          <w:tcPr>
            <w:tcW w:w="13678" w:type="dxa"/>
            <w:gridSpan w:val="11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  <w:color w:val="000000"/>
              </w:rPr>
              <w:t xml:space="preserve"> 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Emocje pierwotne pozytywne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136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5,25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2,71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0,92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2,75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-0,65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0,98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0,021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Emocje pierwotne negatywne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136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4,09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1,48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4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-0,07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-0,73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0,98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0,105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Emocje wtórne pozytywne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136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5,33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2,28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1,07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2,33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0,50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-0,60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0,96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Emocje wtórne negatywne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136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6,50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3,44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1,23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3,5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-0,04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-0,46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0,99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0,349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Zadbany wygląd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129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3,31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2,02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3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0,36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-1,18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0,96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Agresja słowna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129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6,54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0,93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-3,02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11,98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0,61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Agresja fizyczna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129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4,69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2,31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-0,47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-1,37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eastAsia="Times" w:cs="Times New Roman"/>
                <w:lang w:val="pl-PL"/>
              </w:rPr>
              <w:t>Agresja w stosunku do innej osoby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129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5,84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1,52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-1,50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1,68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0,84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eastAsia="Times" w:cs="Times New Roman"/>
                <w:lang w:val="pl-PL"/>
              </w:rPr>
              <w:lastRenderedPageBreak/>
              <w:t>Agresja w stosunku do otoczenia fizycznego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129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5,04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-0,70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-0,95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0,94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Zgodne z normami społecznymi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123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1,57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2,32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6,46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0,72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Uporządkowane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123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1,87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1,38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1,92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3,43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0,87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Empatyczne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123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1,62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1,56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1,59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0,81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Elegancki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120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1,27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0,73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4,73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31,34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0,49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Formalny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120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4,00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1,50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0,84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1,60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1,58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0,68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Złożony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120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1,48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1,15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3,49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13,34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0,59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Wyrafinowany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120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1,44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2,81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9,48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0,59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Umoralniająca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120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1,56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1,83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3,16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0,71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Szkodliwa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120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6,08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1,31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-1,58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2,24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0,74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Sensowna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120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1,84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1,37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1,56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1,60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0,77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Sprzyjają takim zachowniom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119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6,37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-1,80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4,30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0,80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eastAsia="Times" w:cs="Times New Roman"/>
                <w:lang w:val="pl-PL"/>
              </w:rPr>
              <w:t>Zwiększają poczucie bezkarności łamania norm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119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5,90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1,54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-1,74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2,47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0,76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Zwiększają akceptacje takich zachowań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119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6,09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1,09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-1,35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2,73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0,84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Wysokie prawdopodobieństwo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119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4,83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1,65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-0,58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-0,42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0,96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0,001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Chęć zarobienia pieniędzy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90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4,94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1,97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-0,61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-0,86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0,001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Chęć zaistnienia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90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3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6,63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0,71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-2,60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8,61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0,64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505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Problem z własną tożsamością</w:t>
            </w:r>
          </w:p>
        </w:tc>
        <w:tc>
          <w:tcPr>
            <w:tcW w:w="77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90</w:t>
            </w:r>
          </w:p>
        </w:tc>
        <w:tc>
          <w:tcPr>
            <w:tcW w:w="76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7,00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5,26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1,44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-0,53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-0,28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0,95</w:t>
            </w:r>
          </w:p>
        </w:tc>
        <w:tc>
          <w:tcPr>
            <w:tcW w:w="96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eastAsia="Times" w:cs="Times New Roman"/>
              </w:rPr>
              <w:t>0,001</w:t>
            </w:r>
          </w:p>
        </w:tc>
      </w:tr>
      <w:tr w:rsidR="00802EBE" w:rsidRPr="009A2AE4">
        <w:trPr>
          <w:cantSplit/>
          <w:jc w:val="center"/>
        </w:trPr>
        <w:tc>
          <w:tcPr>
            <w:tcW w:w="13678" w:type="dxa"/>
            <w:gridSpan w:val="11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eastAsia="Times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802EBE" w:rsidRPr="009A2AE4">
        <w:trPr>
          <w:cantSplit/>
          <w:jc w:val="center"/>
        </w:trPr>
        <w:tc>
          <w:tcPr>
            <w:tcW w:w="13678" w:type="dxa"/>
            <w:gridSpan w:val="11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spacing w:before="0" w:after="0"/>
              <w:ind w:left="0" w:right="0"/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eastAsia="Times" w:cs="Times New Roman"/>
                <w:i/>
                <w:color w:val="000000"/>
                <w:sz w:val="20"/>
                <w:szCs w:val="20"/>
                <w:lang w:val="pl-PL"/>
              </w:rPr>
              <w:t>Min</w:t>
            </w:r>
            <w:r w:rsidRPr="009A2AE4">
              <w:rPr>
                <w:rFonts w:eastAsia="Times" w:cs="Times New Roman"/>
                <w:color w:val="000000"/>
                <w:sz w:val="20"/>
                <w:szCs w:val="20"/>
                <w:lang w:val="pl-PL"/>
              </w:rPr>
              <w:t xml:space="preserve"> – wartość minimalna; </w:t>
            </w:r>
            <w:r w:rsidRPr="009A2AE4">
              <w:rPr>
                <w:rFonts w:eastAsia="Times" w:cs="Times New Roman"/>
                <w:i/>
                <w:color w:val="000000"/>
                <w:sz w:val="20"/>
                <w:szCs w:val="20"/>
                <w:lang w:val="pl-PL"/>
              </w:rPr>
              <w:t>Max</w:t>
            </w:r>
            <w:r w:rsidRPr="009A2AE4">
              <w:rPr>
                <w:rFonts w:eastAsia="Times" w:cs="Times New Roman"/>
                <w:color w:val="000000"/>
                <w:sz w:val="20"/>
                <w:szCs w:val="20"/>
                <w:lang w:val="pl-PL"/>
              </w:rPr>
              <w:t xml:space="preserve"> – wartość maksymalna; </w:t>
            </w:r>
            <w:r w:rsidRPr="009A2AE4">
              <w:rPr>
                <w:rFonts w:eastAsia="Times" w:cs="Times New Roman"/>
                <w:i/>
                <w:color w:val="000000"/>
                <w:sz w:val="20"/>
                <w:szCs w:val="20"/>
                <w:lang w:val="pl-PL"/>
              </w:rPr>
              <w:t>M</w:t>
            </w:r>
            <w:r w:rsidRPr="009A2AE4">
              <w:rPr>
                <w:rFonts w:eastAsia="Times" w:cs="Times New Roman"/>
                <w:color w:val="000000"/>
                <w:sz w:val="20"/>
                <w:szCs w:val="20"/>
                <w:lang w:val="pl-PL"/>
              </w:rPr>
              <w:t xml:space="preserve"> – średnia; </w:t>
            </w:r>
            <w:r w:rsidRPr="009A2AE4">
              <w:rPr>
                <w:rFonts w:eastAsia="Times" w:cs="Times New Roman"/>
                <w:i/>
                <w:color w:val="000000"/>
                <w:sz w:val="20"/>
                <w:szCs w:val="20"/>
                <w:lang w:val="pl-PL"/>
              </w:rPr>
              <w:t>SD</w:t>
            </w:r>
            <w:r w:rsidRPr="009A2AE4">
              <w:rPr>
                <w:rFonts w:eastAsia="Times" w:cs="Times New Roman"/>
                <w:color w:val="000000"/>
                <w:sz w:val="20"/>
                <w:szCs w:val="20"/>
                <w:lang w:val="pl-PL"/>
              </w:rPr>
              <w:t xml:space="preserve"> – odchylenie standardowe; </w:t>
            </w:r>
            <w:r w:rsidRPr="009A2AE4">
              <w:rPr>
                <w:rFonts w:eastAsia="Times" w:cs="Times New Roman"/>
                <w:i/>
                <w:color w:val="000000"/>
                <w:sz w:val="20"/>
                <w:szCs w:val="20"/>
                <w:lang w:val="pl-PL"/>
              </w:rPr>
              <w:t>Me</w:t>
            </w:r>
            <w:r w:rsidRPr="009A2AE4">
              <w:rPr>
                <w:rFonts w:eastAsia="Times" w:cs="Times New Roman"/>
                <w:color w:val="000000"/>
                <w:sz w:val="20"/>
                <w:szCs w:val="20"/>
                <w:lang w:val="pl-PL"/>
              </w:rPr>
              <w:t xml:space="preserve"> – mediana; </w:t>
            </w:r>
            <w:r w:rsidRPr="009A2AE4">
              <w:rPr>
                <w:rFonts w:eastAsia="Times" w:cs="Times New Roman"/>
                <w:i/>
                <w:color w:val="000000"/>
                <w:sz w:val="20"/>
                <w:szCs w:val="20"/>
                <w:lang w:val="pl-PL"/>
              </w:rPr>
              <w:t>Skoś.</w:t>
            </w:r>
            <w:r w:rsidRPr="009A2AE4">
              <w:rPr>
                <w:rFonts w:eastAsia="Times" w:cs="Times New Roman"/>
                <w:color w:val="000000"/>
                <w:sz w:val="20"/>
                <w:szCs w:val="20"/>
                <w:lang w:val="pl-PL"/>
              </w:rPr>
              <w:t xml:space="preserve"> – skośność; </w:t>
            </w:r>
            <w:r w:rsidRPr="009A2AE4">
              <w:rPr>
                <w:rFonts w:eastAsia="Times" w:cs="Times New Roman"/>
                <w:i/>
                <w:color w:val="000000"/>
                <w:sz w:val="20"/>
                <w:szCs w:val="20"/>
                <w:lang w:val="pl-PL"/>
              </w:rPr>
              <w:t>Kurt.</w:t>
            </w:r>
            <w:r w:rsidRPr="009A2AE4">
              <w:rPr>
                <w:rFonts w:eastAsia="Times" w:cs="Times New Roman"/>
                <w:color w:val="000000"/>
                <w:sz w:val="20"/>
                <w:szCs w:val="20"/>
                <w:lang w:val="pl-PL"/>
              </w:rPr>
              <w:t xml:space="preserve"> – kurtoza; </w:t>
            </w:r>
            <w:r w:rsidRPr="009A2AE4">
              <w:rPr>
                <w:rFonts w:eastAsia="Times" w:cs="Times New Roman"/>
                <w:i/>
                <w:color w:val="000000"/>
                <w:sz w:val="20"/>
                <w:szCs w:val="20"/>
                <w:lang w:val="pl-PL"/>
              </w:rPr>
              <w:t>S-W</w:t>
            </w:r>
            <w:r w:rsidRPr="009A2AE4">
              <w:rPr>
                <w:rFonts w:eastAsia="Times" w:cs="Times New Roman"/>
                <w:color w:val="000000"/>
                <w:sz w:val="20"/>
                <w:szCs w:val="20"/>
                <w:lang w:val="pl-PL"/>
              </w:rPr>
              <w:t xml:space="preserve"> – wynik testu Shapiro-Wilka </w:t>
            </w:r>
          </w:p>
        </w:tc>
      </w:tr>
    </w:tbl>
    <w:p w:rsidR="00802EBE" w:rsidRDefault="00802EBE" w:rsidP="00206750">
      <w:pPr>
        <w:pStyle w:val="BodyText"/>
      </w:pPr>
    </w:p>
    <w:p w:rsidR="00802EBE" w:rsidRDefault="0030078E" w:rsidP="00EE2A05">
      <w:pPr>
        <w:pStyle w:val="Heading2"/>
      </w:pPr>
      <w:bookmarkStart w:id="2" w:name="analizy-zależności"/>
      <w:r w:rsidRPr="00E112FE">
        <w:t>Analizy zależności</w:t>
      </w:r>
      <w:bookmarkEnd w:id="2"/>
    </w:p>
    <w:p w:rsidR="007D2B77" w:rsidRPr="007D2B77" w:rsidRDefault="007D2B77" w:rsidP="007D2B77">
      <w:pPr>
        <w:pStyle w:val="Heading3"/>
      </w:pPr>
      <w:r w:rsidRPr="007D2B77">
        <w:t>Korelacje między inteligencją emocjonalną, sprężystością psychiczną i wiekiem</w:t>
      </w:r>
    </w:p>
    <w:p w:rsidR="00802EBE" w:rsidRDefault="0030078E" w:rsidP="00206750">
      <w:pPr>
        <w:pStyle w:val="FirstParagraph"/>
      </w:pPr>
      <w:r>
        <w:t>Na drugim etapie analiz wykorzystano szereg testów statystycznych, żeby udzielić odpowiedzi na postawione pytania badawcze. Przy analizach, gdzie zmienne zależne były ilościowe, gdy założenie o normalności rozkładu reszt było spełnione, stosowano jednoczynnikową analizę wariancji, a w pozostałych przypadkach - nieparametryczny test Kruskal’a-Wallis’a.</w:t>
      </w:r>
    </w:p>
    <w:p w:rsidR="00802EBE" w:rsidRDefault="0030078E" w:rsidP="00206750">
      <w:pPr>
        <w:pStyle w:val="BodyText"/>
      </w:pPr>
      <w:r>
        <w:lastRenderedPageBreak/>
        <w:t xml:space="preserve">Aby udzielić </w:t>
      </w:r>
      <w:r w:rsidRPr="00206750">
        <w:t>odpowiedzi</w:t>
      </w:r>
      <w:r>
        <w:t xml:space="preserve"> na pytanie badawcze nr 1, o treści “</w:t>
      </w:r>
      <w:r>
        <w:rPr>
          <w:i/>
        </w:rPr>
        <w:t>czy rodzaj eksponowanego casu różnicuje częstość deklarowanych zachowań podejmowanych w związku z obejrzanym filmem?</w:t>
      </w:r>
      <w:r>
        <w:t>”, wykonano analizę testem chi-kwadrat. Wyniki przedstawia tabela 2.</w:t>
      </w:r>
    </w:p>
    <w:p w:rsidR="00802EBE" w:rsidRDefault="00802EBE" w:rsidP="00206750">
      <w:pPr>
        <w:pStyle w:val="BodyText"/>
      </w:pPr>
    </w:p>
    <w:p w:rsidR="00802EBE" w:rsidRDefault="0030078E" w:rsidP="00206750">
      <w:pPr>
        <w:pStyle w:val="BodyText"/>
      </w:pPr>
      <w:r>
        <w:t>Celem udzielenia odpowiedzi na pytanie badawcze nr 2, o treści “</w:t>
      </w:r>
      <w:r>
        <w:rPr>
          <w:i/>
        </w:rPr>
        <w:t>czy rodzaj case’u różnicuje nasilenie emocji?</w:t>
      </w:r>
      <w:r>
        <w:t>”, przeprowadzono analizy jednoczynnikową ANOVĄ (dla negatywnych emocji pierwotnych i wtórnych) oraz analizy testem Kruskal’a-Wallis’a (dla pozytywnych emocji pierwotnych i wtórnych). Wyniki przedstawiają tabele 3 - 4.</w:t>
      </w:r>
    </w:p>
    <w:p w:rsidR="00802EBE" w:rsidRDefault="00802EBE" w:rsidP="00206750">
      <w:pPr>
        <w:pStyle w:val="BodyText"/>
      </w:pPr>
    </w:p>
    <w:p w:rsidR="00802EBE" w:rsidRPr="00E112FE" w:rsidRDefault="0030078E" w:rsidP="00E112FE">
      <w:pPr>
        <w:pStyle w:val="TableCaption"/>
      </w:pPr>
      <w:r w:rsidRPr="00E112FE">
        <w:t>Tabela 3. Nasilenie emocji negatywnych a rodzaj case’u - jednoczynnikowa analiza wariancji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1080"/>
        <w:gridCol w:w="1080"/>
        <w:gridCol w:w="1080"/>
        <w:gridCol w:w="1080"/>
        <w:gridCol w:w="1080"/>
      </w:tblGrid>
      <w:tr w:rsidR="00802EBE" w:rsidRPr="009A2AE4">
        <w:trPr>
          <w:cantSplit/>
          <w:tblHeader/>
          <w:jc w:val="center"/>
        </w:trPr>
        <w:tc>
          <w:tcPr>
            <w:tcW w:w="28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 w:rsidP="00B216E7">
            <w:pPr>
              <w:rPr>
                <w:rFonts w:cs="Times New Roman"/>
                <w:lang w:val="pl-PL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Case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 w:rsidP="00B216E7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 w:rsidP="00B216E7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 w:rsidP="00B216E7">
            <w:pPr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 w:rsidP="00B216E7">
            <w:pPr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 w:rsidP="00B216E7">
            <w:pPr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 w:rsidP="00B216E7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Mężczyzna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Kobieta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Osoba nieletnia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 w:rsidP="00B216E7">
            <w:pPr>
              <w:rPr>
                <w:rFonts w:cs="Times New Roman"/>
              </w:rPr>
            </w:pP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 w:rsidP="00B216E7">
            <w:pPr>
              <w:rPr>
                <w:rFonts w:cs="Times New Roman"/>
              </w:rPr>
            </w:pP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 w:rsidP="00B216E7">
            <w:pPr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 w:rsidP="00B216E7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F (df1, df2)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p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η²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Emocje pierwotne negatywne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4,32 (1,33)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3,75 (1,44)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4,03 (1,67)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1,57 (2; 133)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0,213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0,02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Emocje wtórne negatywne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3,39 (1,13)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2,98 (1,14)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3,81 (1,31)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4,49 (2; 133)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0,013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 w:rsidP="00B216E7">
            <w:pPr>
              <w:rPr>
                <w:rFonts w:cs="Times New Roman"/>
              </w:rPr>
            </w:pPr>
            <w:r w:rsidRPr="009A2AE4">
              <w:rPr>
                <w:rFonts w:cs="Times New Roman"/>
              </w:rPr>
              <w:t>0,06</w:t>
            </w:r>
          </w:p>
        </w:tc>
      </w:tr>
      <w:tr w:rsidR="00802EBE" w:rsidRPr="009A2AE4">
        <w:trPr>
          <w:cantSplit/>
          <w:jc w:val="center"/>
        </w:trPr>
        <w:tc>
          <w:tcPr>
            <w:tcW w:w="9360" w:type="dxa"/>
            <w:gridSpan w:val="7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spacing w:before="0" w:after="0"/>
              <w:ind w:left="0" w:right="0"/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i/>
                <w:color w:val="000000"/>
                <w:sz w:val="20"/>
                <w:szCs w:val="20"/>
                <w:lang w:val="pl-PL"/>
              </w:rPr>
              <w:t>F</w:t>
            </w:r>
            <w:r w:rsidRPr="009A2AE4">
              <w:rPr>
                <w:rFonts w:cs="Times New Roman"/>
                <w:color w:val="000000"/>
                <w:sz w:val="20"/>
                <w:szCs w:val="20"/>
                <w:lang w:val="pl-PL"/>
              </w:rPr>
              <w:t xml:space="preserve"> - Statystyka ANOVY; </w:t>
            </w:r>
            <w:r w:rsidRPr="009A2AE4">
              <w:rPr>
                <w:rFonts w:cs="Times New Roman"/>
                <w:i/>
                <w:color w:val="000000"/>
                <w:sz w:val="20"/>
                <w:szCs w:val="20"/>
              </w:rPr>
              <w:t>η</w:t>
            </w:r>
            <w:r w:rsidRPr="009A2AE4">
              <w:rPr>
                <w:rFonts w:cs="Times New Roman"/>
                <w:i/>
                <w:color w:val="000000"/>
                <w:sz w:val="20"/>
                <w:szCs w:val="20"/>
                <w:lang w:val="pl-PL"/>
              </w:rPr>
              <w:t>²</w:t>
            </w:r>
            <w:r w:rsidRPr="009A2AE4">
              <w:rPr>
                <w:rFonts w:cs="Times New Roman"/>
                <w:color w:val="000000"/>
                <w:sz w:val="20"/>
                <w:szCs w:val="20"/>
                <w:lang w:val="pl-PL"/>
              </w:rPr>
              <w:t xml:space="preserve"> - wielkość efektu eta-kwadrat</w:t>
            </w:r>
          </w:p>
        </w:tc>
      </w:tr>
    </w:tbl>
    <w:p w:rsidR="00802EBE" w:rsidRPr="00E112FE" w:rsidRDefault="0030078E" w:rsidP="00E112FE">
      <w:pPr>
        <w:pStyle w:val="TableCaption"/>
      </w:pPr>
      <w:r w:rsidRPr="00E112FE">
        <w:t>Tabela 4. Nasilenie emocji pozytywnych a rodzaj case’u - test Kruskal’a-Wallis’a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1080"/>
        <w:gridCol w:w="1080"/>
        <w:gridCol w:w="1080"/>
        <w:gridCol w:w="1080"/>
      </w:tblGrid>
      <w:tr w:rsidR="00802EBE" w:rsidRPr="009A2AE4">
        <w:trPr>
          <w:cantSplit/>
          <w:tblHeader/>
          <w:jc w:val="center"/>
        </w:trPr>
        <w:tc>
          <w:tcPr>
            <w:tcW w:w="28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  <w:lang w:val="pl-PL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Case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Mężczyzna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Kobieta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Osoba nieletnia</w:t>
            </w: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χ² (df)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p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Emocje pierwotne pozytywne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2,69 (0,92)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2,32 (0,83)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2,99 (0,89)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9,33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0,009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Emocje wtórne pozytywne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2,21 (1,00)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2,02 (1,00)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2,55 (1,16)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4,67 (2)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0,097</w:t>
            </w:r>
          </w:p>
        </w:tc>
      </w:tr>
      <w:tr w:rsidR="00802EBE" w:rsidRPr="009A2AE4">
        <w:trPr>
          <w:cantSplit/>
          <w:jc w:val="center"/>
        </w:trPr>
        <w:tc>
          <w:tcPr>
            <w:tcW w:w="8280" w:type="dxa"/>
            <w:gridSpan w:val="6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spacing w:before="0" w:after="0"/>
              <w:ind w:left="0" w:right="0"/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i/>
                <w:color w:val="000000"/>
                <w:sz w:val="20"/>
                <w:szCs w:val="20"/>
              </w:rPr>
              <w:t>χ</w:t>
            </w:r>
            <w:r w:rsidRPr="009A2AE4">
              <w:rPr>
                <w:rFonts w:cs="Times New Roman"/>
                <w:i/>
                <w:color w:val="000000"/>
                <w:sz w:val="20"/>
                <w:szCs w:val="20"/>
                <w:lang w:val="pl-PL"/>
              </w:rPr>
              <w:t>²</w:t>
            </w:r>
            <w:r w:rsidRPr="009A2AE4">
              <w:rPr>
                <w:rFonts w:cs="Times New Roman"/>
                <w:color w:val="000000"/>
                <w:sz w:val="20"/>
                <w:szCs w:val="20"/>
                <w:lang w:val="pl-PL"/>
              </w:rPr>
              <w:t xml:space="preserve"> - Statystyka testu Kruskal'a-Wallis'a</w:t>
            </w:r>
          </w:p>
        </w:tc>
      </w:tr>
    </w:tbl>
    <w:p w:rsidR="00802EBE" w:rsidRDefault="0030078E" w:rsidP="00206750">
      <w:pPr>
        <w:pStyle w:val="BodyText"/>
      </w:pPr>
      <w:r>
        <w:lastRenderedPageBreak/>
        <w:t>Aby udzielić odpowiedzi na pytanie badawcze nr 3, o treści “</w:t>
      </w:r>
      <w:r>
        <w:rPr>
          <w:i/>
        </w:rPr>
        <w:t>czy rodzaj case’u różnicuje ocenę charakterystyki bohatera?</w:t>
      </w:r>
      <w:r>
        <w:t xml:space="preserve">”, wykonano serię analiz testem Kruskal’a-Wallis’a. Wyniki przedstawia tabela 5. </w:t>
      </w:r>
    </w:p>
    <w:p w:rsidR="00802EBE" w:rsidRPr="00E112FE" w:rsidRDefault="0030078E" w:rsidP="00E112FE">
      <w:pPr>
        <w:pStyle w:val="TableCaption"/>
      </w:pPr>
      <w:r w:rsidRPr="00E112FE">
        <w:t>Tabela 5. Ocena charakterystyki bohatera a rodzaj case’u - test Kruskal’a-Wallis’a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1080"/>
        <w:gridCol w:w="1080"/>
        <w:gridCol w:w="1080"/>
        <w:gridCol w:w="1080"/>
      </w:tblGrid>
      <w:tr w:rsidR="00802EBE" w:rsidRPr="009A2AE4">
        <w:trPr>
          <w:cantSplit/>
          <w:tblHeader/>
          <w:jc w:val="center"/>
        </w:trPr>
        <w:tc>
          <w:tcPr>
            <w:tcW w:w="28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  <w:lang w:val="pl-PL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Case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Mężczyzna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Kobieta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Osoba nieletnia</w:t>
            </w: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χ² (df)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p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Zadbany wygląd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1,75 (1,15)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4,87 (1,76)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4,31 (1,62)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63,26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Agresja słowna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6,63 (1,01)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6,53 (0,82)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6,43 (0,89)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3,56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0,169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Agresja fizyczna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6,53 (1,10)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3,70 (2,14)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2,90 (1,75)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72,35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lang w:val="pl-PL"/>
              </w:rPr>
              <w:t>Agresja w stosunku do innej osoby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5,53 (1,73)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5,97 (1,27)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6,17 (1,31)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4,22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0,121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lang w:val="pl-PL"/>
              </w:rPr>
              <w:t>Agresja w stosunku do otoczenia fizycznego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6,65 (0,81)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4,13 (2,19)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3,50 (1,90)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62,92 (2)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8280" w:type="dxa"/>
            <w:gridSpan w:val="6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spacing w:before="0" w:after="0"/>
              <w:ind w:left="0" w:right="0"/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i/>
                <w:color w:val="000000"/>
                <w:sz w:val="20"/>
                <w:szCs w:val="20"/>
              </w:rPr>
              <w:t>χ</w:t>
            </w:r>
            <w:r w:rsidRPr="009A2AE4">
              <w:rPr>
                <w:rFonts w:cs="Times New Roman"/>
                <w:i/>
                <w:color w:val="000000"/>
                <w:sz w:val="20"/>
                <w:szCs w:val="20"/>
                <w:lang w:val="pl-PL"/>
              </w:rPr>
              <w:t>²</w:t>
            </w:r>
            <w:r w:rsidRPr="009A2AE4">
              <w:rPr>
                <w:rFonts w:cs="Times New Roman"/>
                <w:color w:val="000000"/>
                <w:sz w:val="20"/>
                <w:szCs w:val="20"/>
                <w:lang w:val="pl-PL"/>
              </w:rPr>
              <w:t xml:space="preserve"> - Statystyka testu Kruskal'a-Wallis'a</w:t>
            </w:r>
          </w:p>
        </w:tc>
      </w:tr>
    </w:tbl>
    <w:p w:rsidR="00802EBE" w:rsidRDefault="0030078E" w:rsidP="00206750">
      <w:pPr>
        <w:pStyle w:val="BodyText"/>
      </w:pPr>
      <w:r>
        <w:t>Celem udzielenia odpowiedzi na pytanie badawcze nr 4, o treści “</w:t>
      </w:r>
      <w:r>
        <w:rPr>
          <w:i/>
        </w:rPr>
        <w:t>czy rodzaj case’u różnicuje ocenę zachowania eksponowanego przez bohatera?</w:t>
      </w:r>
      <w:r>
        <w:t xml:space="preserve">”, przeprowadzono serię analiz testem Kruskal’a-Wallis’a. Wyniki przedstawia tabela 6. </w:t>
      </w:r>
    </w:p>
    <w:p w:rsidR="00802EBE" w:rsidRPr="00E112FE" w:rsidRDefault="0030078E" w:rsidP="00E112FE">
      <w:pPr>
        <w:pStyle w:val="TableCaption"/>
      </w:pPr>
      <w:r w:rsidRPr="00E112FE">
        <w:t>Tabela 6. Ocena zachowania eksponowanego przez bohatera a rodzaj case’u - test Kruskal’a-Wallis’a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1080"/>
        <w:gridCol w:w="1080"/>
        <w:gridCol w:w="1080"/>
        <w:gridCol w:w="1080"/>
      </w:tblGrid>
      <w:tr w:rsidR="00802EBE" w:rsidRPr="009A2AE4">
        <w:trPr>
          <w:cantSplit/>
          <w:tblHeader/>
          <w:jc w:val="center"/>
        </w:trPr>
        <w:tc>
          <w:tcPr>
            <w:tcW w:w="28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  <w:lang w:val="pl-PL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Case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Mężczyzna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Kobieta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Osoba nieletnia</w:t>
            </w: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χ² (df)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p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Zgodne z normami społecznymi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1,46 (0,91)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1,79 (1,29)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1,55 (0,81)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1,49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0,476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Uporządkowane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1,26 (0,52)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1,72 (1,03)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2,80 (1,84)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26,22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lastRenderedPageBreak/>
              <w:t>Empatyczne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1,81 (1,12)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1,72 (1,07)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1,27 (0,45)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4,98 (2)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0,083</w:t>
            </w:r>
          </w:p>
        </w:tc>
      </w:tr>
      <w:tr w:rsidR="00802EBE" w:rsidRPr="009A2AE4">
        <w:trPr>
          <w:cantSplit/>
          <w:jc w:val="center"/>
        </w:trPr>
        <w:tc>
          <w:tcPr>
            <w:tcW w:w="8280" w:type="dxa"/>
            <w:gridSpan w:val="6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spacing w:before="0" w:after="0"/>
              <w:ind w:left="0" w:right="0"/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i/>
                <w:color w:val="000000"/>
                <w:sz w:val="20"/>
                <w:szCs w:val="20"/>
              </w:rPr>
              <w:t>χ</w:t>
            </w:r>
            <w:r w:rsidRPr="009A2AE4">
              <w:rPr>
                <w:rFonts w:cs="Times New Roman"/>
                <w:i/>
                <w:color w:val="000000"/>
                <w:sz w:val="20"/>
                <w:szCs w:val="20"/>
                <w:lang w:val="pl-PL"/>
              </w:rPr>
              <w:t>²</w:t>
            </w:r>
            <w:r w:rsidRPr="009A2AE4">
              <w:rPr>
                <w:rFonts w:cs="Times New Roman"/>
                <w:color w:val="000000"/>
                <w:sz w:val="20"/>
                <w:szCs w:val="20"/>
                <w:lang w:val="pl-PL"/>
              </w:rPr>
              <w:t xml:space="preserve"> - Statystyka testu Kruskal'a-Wallis'a</w:t>
            </w:r>
          </w:p>
        </w:tc>
      </w:tr>
    </w:tbl>
    <w:p w:rsidR="00802EBE" w:rsidRDefault="0030078E" w:rsidP="00206750">
      <w:pPr>
        <w:pStyle w:val="BodyText"/>
      </w:pPr>
      <w:r>
        <w:t>Aby udzielić odpowiedzi na pytanie badawcze nr 5, o treści “</w:t>
      </w:r>
      <w:r>
        <w:rPr>
          <w:i/>
        </w:rPr>
        <w:t>czy rodzaj case’u różnicuje ocenę języka używanego przez bohatera?</w:t>
      </w:r>
      <w:r>
        <w:t xml:space="preserve">”, wykonano serię analiz testem Kruskal’a-Wallis’a. Wyniki przedstawia tabela 7. </w:t>
      </w:r>
    </w:p>
    <w:p w:rsidR="00802EBE" w:rsidRPr="00E112FE" w:rsidRDefault="0030078E" w:rsidP="00E112FE">
      <w:pPr>
        <w:pStyle w:val="TableCaption"/>
      </w:pPr>
      <w:r w:rsidRPr="00E112FE">
        <w:t>Tabela 7. Ocena języka używanego przez bohatera a rodzaj case’u - test Kruskal’a-Wallis’a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1080"/>
        <w:gridCol w:w="1080"/>
        <w:gridCol w:w="1080"/>
        <w:gridCol w:w="1080"/>
      </w:tblGrid>
      <w:tr w:rsidR="00802EBE" w:rsidRPr="009A2AE4">
        <w:trPr>
          <w:cantSplit/>
          <w:tblHeader/>
          <w:jc w:val="center"/>
        </w:trPr>
        <w:tc>
          <w:tcPr>
            <w:tcW w:w="28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  <w:lang w:val="pl-PL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Case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Mężczyzna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Kobieta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Osoba nieletnia</w:t>
            </w: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χ² (df)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p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Elegancki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1,21 (0,87)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1,21 (0,41)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1,41 (0,72)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4,45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0,108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Formalny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1,56 (0,87)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1,45 (0,83)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1,46 (0,82)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0,46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0,795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Złożony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1,69 (1,58)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1,41 (0,78)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1,26 (0,50)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0,55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0,760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Wyrafinowany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1,33 (1,04)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1,48 (0,87)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1,56 (0,97)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4,42 (2)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0,109</w:t>
            </w:r>
          </w:p>
        </w:tc>
      </w:tr>
      <w:tr w:rsidR="00802EBE" w:rsidRPr="009A2AE4">
        <w:trPr>
          <w:cantSplit/>
          <w:jc w:val="center"/>
        </w:trPr>
        <w:tc>
          <w:tcPr>
            <w:tcW w:w="8280" w:type="dxa"/>
            <w:gridSpan w:val="6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spacing w:before="0" w:after="0"/>
              <w:ind w:left="0" w:right="0"/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i/>
                <w:color w:val="000000"/>
                <w:sz w:val="20"/>
                <w:szCs w:val="20"/>
              </w:rPr>
              <w:t>χ</w:t>
            </w:r>
            <w:r w:rsidRPr="009A2AE4">
              <w:rPr>
                <w:rFonts w:cs="Times New Roman"/>
                <w:i/>
                <w:color w:val="000000"/>
                <w:sz w:val="20"/>
                <w:szCs w:val="20"/>
                <w:lang w:val="pl-PL"/>
              </w:rPr>
              <w:t>²</w:t>
            </w:r>
            <w:r w:rsidRPr="009A2AE4">
              <w:rPr>
                <w:rFonts w:cs="Times New Roman"/>
                <w:color w:val="000000"/>
                <w:sz w:val="20"/>
                <w:szCs w:val="20"/>
                <w:lang w:val="pl-PL"/>
              </w:rPr>
              <w:t xml:space="preserve"> - Statystyka testu Kruskal'a-Wallis'a</w:t>
            </w:r>
          </w:p>
        </w:tc>
      </w:tr>
    </w:tbl>
    <w:p w:rsidR="00802EBE" w:rsidRDefault="0030078E" w:rsidP="00206750">
      <w:pPr>
        <w:pStyle w:val="BodyText"/>
      </w:pPr>
      <w:r>
        <w:t>Celem udzielenia odpowiedzi na pytanie badawcze nr 6, o treści “</w:t>
      </w:r>
      <w:r>
        <w:rPr>
          <w:i/>
        </w:rPr>
        <w:t>czy rodzaj case’u różnicuje ocenę całości filmu?</w:t>
      </w:r>
      <w:r>
        <w:t xml:space="preserve">”, przeprowadzono serię analiz testem Kruskal’a-Wallis’a. Wyniki przedstawia tabela 8. </w:t>
      </w:r>
    </w:p>
    <w:p w:rsidR="00802EBE" w:rsidRPr="00E112FE" w:rsidRDefault="0030078E" w:rsidP="00E112FE">
      <w:pPr>
        <w:pStyle w:val="TableCaption"/>
      </w:pPr>
      <w:r w:rsidRPr="00E112FE">
        <w:t>Tabela 8. Ocena całości filmu a rodzaj case’u - test Kruskal’a-Wallis’a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1080"/>
        <w:gridCol w:w="1080"/>
        <w:gridCol w:w="1080"/>
        <w:gridCol w:w="1080"/>
      </w:tblGrid>
      <w:tr w:rsidR="00802EBE" w:rsidRPr="009A2AE4">
        <w:trPr>
          <w:cantSplit/>
          <w:tblHeader/>
          <w:jc w:val="center"/>
        </w:trPr>
        <w:tc>
          <w:tcPr>
            <w:tcW w:w="28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  <w:lang w:val="pl-PL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Case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Mężczyzna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Kobieta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Osoba nieletnia</w:t>
            </w: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χ² (df)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p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lastRenderedPageBreak/>
              <w:t>Umoralniająca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1,62 (1,07)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1,59 (0,78)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1,46 (0,76)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0,74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0,691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Szkodliwa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6,10 (1,30)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6,07 (1,19)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6,08 (1,44)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0,30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0,859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Sensowna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1,65 (1,14)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2,21 (1,66)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1,82 (1,39)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1,82 (2)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0,403</w:t>
            </w:r>
          </w:p>
        </w:tc>
      </w:tr>
      <w:tr w:rsidR="00802EBE" w:rsidRPr="009A2AE4">
        <w:trPr>
          <w:cantSplit/>
          <w:jc w:val="center"/>
        </w:trPr>
        <w:tc>
          <w:tcPr>
            <w:tcW w:w="8280" w:type="dxa"/>
            <w:gridSpan w:val="6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spacing w:before="0" w:after="0"/>
              <w:ind w:left="0" w:right="0"/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i/>
                <w:color w:val="000000"/>
                <w:sz w:val="20"/>
                <w:szCs w:val="20"/>
              </w:rPr>
              <w:t>χ</w:t>
            </w:r>
            <w:r w:rsidRPr="009A2AE4">
              <w:rPr>
                <w:rFonts w:cs="Times New Roman"/>
                <w:i/>
                <w:color w:val="000000"/>
                <w:sz w:val="20"/>
                <w:szCs w:val="20"/>
                <w:lang w:val="pl-PL"/>
              </w:rPr>
              <w:t>²</w:t>
            </w:r>
            <w:r w:rsidRPr="009A2AE4">
              <w:rPr>
                <w:rFonts w:cs="Times New Roman"/>
                <w:color w:val="000000"/>
                <w:sz w:val="20"/>
                <w:szCs w:val="20"/>
                <w:lang w:val="pl-PL"/>
              </w:rPr>
              <w:t xml:space="preserve"> - Statystyka testu Kruskal'a-Wallis'a</w:t>
            </w:r>
          </w:p>
        </w:tc>
      </w:tr>
    </w:tbl>
    <w:p w:rsidR="00802EBE" w:rsidRDefault="0030078E" w:rsidP="00206750">
      <w:pPr>
        <w:pStyle w:val="BodyText"/>
      </w:pPr>
      <w:r>
        <w:t>Aby udzielić odpowiedzi na pytanie badawcze nr 7, o treści “</w:t>
      </w:r>
      <w:r>
        <w:rPr>
          <w:i/>
        </w:rPr>
        <w:t>czy rodzaj case’u różnicuje ocenę warunków przestrzeni internetowej specyficznej dla patotreści?</w:t>
      </w:r>
      <w:r>
        <w:t xml:space="preserve">”, wykonano serię analiz testem Kruskal’a-Wallis’a. Wyniki przedstawia tabela 9. </w:t>
      </w:r>
    </w:p>
    <w:p w:rsidR="00802EBE" w:rsidRPr="00E112FE" w:rsidRDefault="0030078E" w:rsidP="00E112FE">
      <w:pPr>
        <w:pStyle w:val="TableCaption"/>
      </w:pPr>
      <w:r w:rsidRPr="00E112FE">
        <w:t>Tabela 9. Ocena warunków przestrzeni internetowej a rodzaj case’u - test Kruskal’a-Wallis’a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1080"/>
        <w:gridCol w:w="1080"/>
        <w:gridCol w:w="1080"/>
        <w:gridCol w:w="1080"/>
      </w:tblGrid>
      <w:tr w:rsidR="00802EBE" w:rsidRPr="009A2AE4">
        <w:trPr>
          <w:cantSplit/>
          <w:tblHeader/>
          <w:jc w:val="center"/>
        </w:trPr>
        <w:tc>
          <w:tcPr>
            <w:tcW w:w="28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  <w:lang w:val="pl-PL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Case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Mężczyzna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Kobieta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Osoba nieletnia</w:t>
            </w: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χ² (df)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p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Sprzyjają takim zachowniom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6,20 (1,00)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6,45 (0,87)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6,54 (0,76)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3,99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0,136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lang w:val="pl-PL"/>
              </w:rPr>
              <w:t>Zwiększają poczucie bezkarności łamania norm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5,98 (1,29)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5,93 (1,75)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5,77 (1,69)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0,85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0,653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Zwiększają akceptacje takich zachowań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5,96 (1,22)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6,21 (1,01)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6,18 (0,97)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0,97 (2)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0,614</w:t>
            </w:r>
          </w:p>
        </w:tc>
      </w:tr>
      <w:tr w:rsidR="00802EBE" w:rsidRPr="009A2AE4">
        <w:trPr>
          <w:cantSplit/>
          <w:jc w:val="center"/>
        </w:trPr>
        <w:tc>
          <w:tcPr>
            <w:tcW w:w="8280" w:type="dxa"/>
            <w:gridSpan w:val="6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spacing w:before="0" w:after="0"/>
              <w:ind w:left="0" w:right="0"/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i/>
                <w:color w:val="000000"/>
                <w:sz w:val="20"/>
                <w:szCs w:val="20"/>
              </w:rPr>
              <w:t>χ</w:t>
            </w:r>
            <w:r w:rsidRPr="009A2AE4">
              <w:rPr>
                <w:rFonts w:cs="Times New Roman"/>
                <w:i/>
                <w:color w:val="000000"/>
                <w:sz w:val="20"/>
                <w:szCs w:val="20"/>
                <w:lang w:val="pl-PL"/>
              </w:rPr>
              <w:t>²</w:t>
            </w:r>
            <w:r w:rsidRPr="009A2AE4">
              <w:rPr>
                <w:rFonts w:cs="Times New Roman"/>
                <w:color w:val="000000"/>
                <w:sz w:val="20"/>
                <w:szCs w:val="20"/>
                <w:lang w:val="pl-PL"/>
              </w:rPr>
              <w:t xml:space="preserve"> - Statystyka testu Kruskal'a-Wallis'a</w:t>
            </w:r>
          </w:p>
        </w:tc>
      </w:tr>
    </w:tbl>
    <w:p w:rsidR="00802EBE" w:rsidRDefault="0030078E" w:rsidP="00206750">
      <w:pPr>
        <w:pStyle w:val="BodyText"/>
      </w:pPr>
      <w:r>
        <w:t>Celem udzielenia odpowiedzi na pytanie badawcze nr 8, o treści “</w:t>
      </w:r>
      <w:r>
        <w:rPr>
          <w:i/>
        </w:rPr>
        <w:t>czy rodzaj case’u różnicuje ocenę prawdopodobieństwa ekspozycji takich treści w przestrzeni realnej?</w:t>
      </w:r>
      <w:r>
        <w:t xml:space="preserve">”, przeprowadzono analizę testem Kruskal’a-Wallis’a. Wyniki przedstawia tabela 10. </w:t>
      </w:r>
    </w:p>
    <w:p w:rsidR="00802EBE" w:rsidRPr="00E112FE" w:rsidRDefault="0030078E" w:rsidP="00E112FE">
      <w:pPr>
        <w:pStyle w:val="TableCaption"/>
      </w:pPr>
      <w:r w:rsidRPr="00E112FE">
        <w:t>Tabela 10. Ocena prawdopodobieńśtwa ekspozycji takich treści w przestrzeni realnej a rodzaj case’u - test Kruskal’a-Wallis’a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1080"/>
        <w:gridCol w:w="1080"/>
        <w:gridCol w:w="1080"/>
        <w:gridCol w:w="1080"/>
      </w:tblGrid>
      <w:tr w:rsidR="00802EBE" w:rsidRPr="009A2AE4">
        <w:trPr>
          <w:cantSplit/>
          <w:tblHeader/>
          <w:jc w:val="center"/>
        </w:trPr>
        <w:tc>
          <w:tcPr>
            <w:tcW w:w="28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  <w:lang w:val="pl-PL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Case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Mężczyzna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Kobieta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Osoba nieletnia</w:t>
            </w: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χ² (df)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p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Wysokie prawdopodobieństwo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4,80 (1,58)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5,62 (1,29)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4,28 (1,78)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10,95 (2)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0,004</w:t>
            </w:r>
          </w:p>
        </w:tc>
      </w:tr>
      <w:tr w:rsidR="00802EBE" w:rsidRPr="009A2AE4">
        <w:trPr>
          <w:cantSplit/>
          <w:jc w:val="center"/>
        </w:trPr>
        <w:tc>
          <w:tcPr>
            <w:tcW w:w="8280" w:type="dxa"/>
            <w:gridSpan w:val="6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spacing w:before="0" w:after="0"/>
              <w:ind w:left="0" w:right="0"/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i/>
                <w:color w:val="000000"/>
                <w:sz w:val="20"/>
                <w:szCs w:val="20"/>
              </w:rPr>
              <w:t>χ</w:t>
            </w:r>
            <w:r w:rsidRPr="009A2AE4">
              <w:rPr>
                <w:rFonts w:cs="Times New Roman"/>
                <w:i/>
                <w:color w:val="000000"/>
                <w:sz w:val="20"/>
                <w:szCs w:val="20"/>
                <w:lang w:val="pl-PL"/>
              </w:rPr>
              <w:t>²</w:t>
            </w:r>
            <w:r w:rsidRPr="009A2AE4">
              <w:rPr>
                <w:rFonts w:cs="Times New Roman"/>
                <w:color w:val="000000"/>
                <w:sz w:val="20"/>
                <w:szCs w:val="20"/>
                <w:lang w:val="pl-PL"/>
              </w:rPr>
              <w:t xml:space="preserve"> - Statystyka testu Kruskal'a-Wallis'a</w:t>
            </w:r>
          </w:p>
        </w:tc>
      </w:tr>
    </w:tbl>
    <w:p w:rsidR="00802EBE" w:rsidRDefault="0030078E" w:rsidP="00206750">
      <w:pPr>
        <w:pStyle w:val="BodyText"/>
      </w:pPr>
      <w:r>
        <w:t>Ostateccznie, aby udzielić odpowiedzi na pytanie badawcze nr 9, o treści “</w:t>
      </w:r>
      <w:r>
        <w:rPr>
          <w:i/>
        </w:rPr>
        <w:t>czy rodzaj case’u różnicuje atrybuowane motywy eksponowania takich treści?</w:t>
      </w:r>
      <w:r>
        <w:t xml:space="preserve">”, wykonano serię analiz testem Kruskal’a-Wallis’a. Wyniki przedstawia tabela 11. </w:t>
      </w:r>
    </w:p>
    <w:p w:rsidR="00802EBE" w:rsidRPr="00E112FE" w:rsidRDefault="0030078E" w:rsidP="00E112FE">
      <w:pPr>
        <w:pStyle w:val="TableCaption"/>
      </w:pPr>
      <w:r w:rsidRPr="00E112FE">
        <w:t>Tabela 11. Atrybutowane motywy eksponowania takich treści a rodzaj case’u - test Kruskal’a-Wallis’a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080"/>
        <w:gridCol w:w="1080"/>
        <w:gridCol w:w="1080"/>
        <w:gridCol w:w="1080"/>
        <w:gridCol w:w="1080"/>
      </w:tblGrid>
      <w:tr w:rsidR="00802EBE" w:rsidRPr="009A2AE4">
        <w:trPr>
          <w:cantSplit/>
          <w:tblHeader/>
          <w:jc w:val="center"/>
        </w:trPr>
        <w:tc>
          <w:tcPr>
            <w:tcW w:w="28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  <w:lang w:val="pl-PL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Case</w:t>
            </w: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16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 w:val="restart"/>
            <w:tcBorders>
              <w:top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Mężczyzna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Kobieta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color w:val="000000"/>
              </w:rPr>
              <w:t>Osoba nieletnia</w:t>
            </w: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  <w:tc>
          <w:tcPr>
            <w:tcW w:w="1080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center"/>
              <w:rPr>
                <w:rFonts w:cs="Times New Roman"/>
              </w:rPr>
            </w:pPr>
          </w:p>
        </w:tc>
      </w:tr>
      <w:tr w:rsidR="00802EBE" w:rsidRPr="009A2AE4">
        <w:trPr>
          <w:cantSplit/>
          <w:tblHeader/>
          <w:jc w:val="center"/>
        </w:trPr>
        <w:tc>
          <w:tcPr>
            <w:tcW w:w="28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802EBE">
            <w:pPr>
              <w:jc w:val="left"/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M (SD)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χ² (df)</w:t>
            </w:r>
          </w:p>
        </w:tc>
        <w:tc>
          <w:tcPr>
            <w:tcW w:w="1080" w:type="dxa"/>
            <w:tcBorders>
              <w:top w:val="single" w:sz="8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  <w:i/>
                <w:color w:val="000000"/>
              </w:rPr>
              <w:t>p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Chęć zarobienia pieniędzy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6,05 (1,50)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5,55 (1,68)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3,87 (1,91)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21,71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0,000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Chęć zaistnienia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6,55 (0,67)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6,76 (0,79)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6,59 (0,68)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3,95 (2)</w:t>
            </w:r>
          </w:p>
        </w:tc>
        <w:tc>
          <w:tcPr>
            <w:tcW w:w="10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0,139</w:t>
            </w:r>
          </w:p>
        </w:tc>
      </w:tr>
      <w:tr w:rsidR="00802EBE" w:rsidRPr="009A2AE4">
        <w:trPr>
          <w:cantSplit/>
          <w:jc w:val="center"/>
        </w:trPr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left"/>
              <w:rPr>
                <w:rFonts w:cs="Times New Roman"/>
              </w:rPr>
            </w:pPr>
            <w:r w:rsidRPr="009A2AE4">
              <w:rPr>
                <w:rFonts w:cs="Times New Roman"/>
              </w:rPr>
              <w:t>Problem z własną tożsamością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5,45 (1,65)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5,45 (1,30)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5,00 (1,41)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2,73 (2)</w:t>
            </w:r>
          </w:p>
        </w:tc>
        <w:tc>
          <w:tcPr>
            <w:tcW w:w="10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jc w:val="center"/>
              <w:rPr>
                <w:rFonts w:cs="Times New Roman"/>
              </w:rPr>
            </w:pPr>
            <w:r w:rsidRPr="009A2AE4">
              <w:rPr>
                <w:rFonts w:cs="Times New Roman"/>
              </w:rPr>
              <w:t>0,255</w:t>
            </w:r>
          </w:p>
        </w:tc>
      </w:tr>
      <w:tr w:rsidR="00802EBE" w:rsidRPr="009A2AE4">
        <w:trPr>
          <w:cantSplit/>
          <w:jc w:val="center"/>
        </w:trPr>
        <w:tc>
          <w:tcPr>
            <w:tcW w:w="8280" w:type="dxa"/>
            <w:gridSpan w:val="6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02EBE" w:rsidRPr="009A2AE4" w:rsidRDefault="0030078E">
            <w:pPr>
              <w:spacing w:before="0" w:after="0"/>
              <w:ind w:left="0" w:right="0"/>
              <w:jc w:val="left"/>
              <w:rPr>
                <w:rFonts w:cs="Times New Roman"/>
                <w:lang w:val="pl-PL"/>
              </w:rPr>
            </w:pPr>
            <w:r w:rsidRPr="009A2AE4">
              <w:rPr>
                <w:rFonts w:cs="Times New Roman"/>
                <w:i/>
                <w:color w:val="000000"/>
                <w:sz w:val="20"/>
                <w:szCs w:val="20"/>
              </w:rPr>
              <w:t>χ</w:t>
            </w:r>
            <w:r w:rsidRPr="009A2AE4">
              <w:rPr>
                <w:rFonts w:cs="Times New Roman"/>
                <w:i/>
                <w:color w:val="000000"/>
                <w:sz w:val="20"/>
                <w:szCs w:val="20"/>
                <w:lang w:val="pl-PL"/>
              </w:rPr>
              <w:t>²</w:t>
            </w:r>
            <w:r w:rsidRPr="009A2AE4">
              <w:rPr>
                <w:rFonts w:cs="Times New Roman"/>
                <w:color w:val="000000"/>
                <w:sz w:val="20"/>
                <w:szCs w:val="20"/>
                <w:lang w:val="pl-PL"/>
              </w:rPr>
              <w:t xml:space="preserve"> - Statystyka testu Kruskal'a-Wallis'a</w:t>
            </w:r>
          </w:p>
        </w:tc>
      </w:tr>
    </w:tbl>
    <w:p w:rsidR="003144A3" w:rsidRDefault="003144A3" w:rsidP="003144A3">
      <w:pPr>
        <w:pStyle w:val="BodyText"/>
        <w:ind w:firstLine="0"/>
      </w:pPr>
    </w:p>
    <w:p w:rsidR="003144A3" w:rsidRDefault="003144A3" w:rsidP="003144A3">
      <w:pPr>
        <w:pStyle w:val="BodyText"/>
        <w:ind w:firstLine="0"/>
      </w:pPr>
    </w:p>
    <w:p w:rsidR="003144A3" w:rsidRDefault="003144A3" w:rsidP="003144A3">
      <w:pPr>
        <w:pStyle w:val="BodyText"/>
        <w:ind w:firstLine="0"/>
      </w:pPr>
      <w:r>
        <w:t>Poniżej formatowanie rysunku:</w:t>
      </w:r>
    </w:p>
    <w:p w:rsidR="003144A3" w:rsidRPr="00CF71A7" w:rsidRDefault="003144A3" w:rsidP="003144A3">
      <w:pPr>
        <w:pStyle w:val="ImageCaption"/>
        <w:rPr>
          <w:lang w:val="pl-PL"/>
        </w:rPr>
      </w:pPr>
      <w:r w:rsidRPr="00CF71A7">
        <w:rPr>
          <w:lang w:val="pl-PL"/>
        </w:rPr>
        <w:t>Jakiś tam tytuł rysunku</w:t>
      </w:r>
    </w:p>
    <w:sectPr w:rsidR="003144A3" w:rsidRPr="00CF71A7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7D8" w:rsidRDefault="005317D8">
      <w:pPr>
        <w:spacing w:before="0" w:after="0"/>
      </w:pPr>
      <w:r>
        <w:separator/>
      </w:r>
    </w:p>
  </w:endnote>
  <w:endnote w:type="continuationSeparator" w:id="0">
    <w:p w:rsidR="005317D8" w:rsidRDefault="005317D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7D8" w:rsidRDefault="005317D8">
      <w:r>
        <w:separator/>
      </w:r>
    </w:p>
  </w:footnote>
  <w:footnote w:type="continuationSeparator" w:id="0">
    <w:p w:rsidR="005317D8" w:rsidRDefault="005317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8AAEA4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082D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21C05C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E2B51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D018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1C63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F254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38E86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1EF7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102E6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EF4244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1E6E07"/>
    <w:rsid w:val="00206750"/>
    <w:rsid w:val="0025278B"/>
    <w:rsid w:val="0027412D"/>
    <w:rsid w:val="0030078E"/>
    <w:rsid w:val="003144A3"/>
    <w:rsid w:val="004E29B3"/>
    <w:rsid w:val="005317D8"/>
    <w:rsid w:val="00590D07"/>
    <w:rsid w:val="006129A2"/>
    <w:rsid w:val="00784D58"/>
    <w:rsid w:val="007D2B77"/>
    <w:rsid w:val="00802EBE"/>
    <w:rsid w:val="008D6863"/>
    <w:rsid w:val="00981810"/>
    <w:rsid w:val="009A2AE4"/>
    <w:rsid w:val="00A40F41"/>
    <w:rsid w:val="00AD54CE"/>
    <w:rsid w:val="00AE3C0A"/>
    <w:rsid w:val="00B216E7"/>
    <w:rsid w:val="00B23484"/>
    <w:rsid w:val="00B86B75"/>
    <w:rsid w:val="00BC48D5"/>
    <w:rsid w:val="00C36279"/>
    <w:rsid w:val="00CF71A7"/>
    <w:rsid w:val="00DD7AD5"/>
    <w:rsid w:val="00DF4C35"/>
    <w:rsid w:val="00E112FE"/>
    <w:rsid w:val="00E22A5A"/>
    <w:rsid w:val="00E315A3"/>
    <w:rsid w:val="00ED15C7"/>
    <w:rsid w:val="00ED3E75"/>
    <w:rsid w:val="00EE2A05"/>
    <w:rsid w:val="00F82BD1"/>
    <w:rsid w:val="00FE474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FDEB8-D542-4B4D-A17A-71907DA9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16E7"/>
    <w:pPr>
      <w:spacing w:before="40" w:after="40"/>
      <w:ind w:left="100" w:right="100"/>
      <w:jc w:val="both"/>
    </w:pPr>
    <w:rPr>
      <w:rFonts w:ascii="Times New Roman" w:eastAsia="Arial" w:hAnsi="Times New Roman" w:cs="Arial"/>
      <w:color w:val="111111"/>
      <w:szCs w:val="22"/>
    </w:rPr>
  </w:style>
  <w:style w:type="paragraph" w:styleId="Heading1">
    <w:name w:val="heading 1"/>
    <w:basedOn w:val="Normal"/>
    <w:next w:val="BodyText"/>
    <w:uiPriority w:val="9"/>
    <w:qFormat/>
    <w:rsid w:val="00981810"/>
    <w:pPr>
      <w:keepNext/>
      <w:keepLines/>
      <w:spacing w:before="480" w:after="0"/>
      <w:ind w:left="0" w:right="0"/>
      <w:outlineLvl w:val="0"/>
    </w:pPr>
    <w:rPr>
      <w:rFonts w:eastAsiaTheme="majorEastAsia" w:cstheme="majorBidi"/>
      <w:b/>
      <w:bCs/>
      <w:color w:val="000000" w:themeColor="text1"/>
      <w:sz w:val="32"/>
      <w:szCs w:val="32"/>
      <w:lang w:val="pl-PL"/>
    </w:rPr>
  </w:style>
  <w:style w:type="paragraph" w:styleId="Heading2">
    <w:name w:val="heading 2"/>
    <w:basedOn w:val="Normal"/>
    <w:next w:val="BodyText"/>
    <w:uiPriority w:val="9"/>
    <w:unhideWhenUsed/>
    <w:qFormat/>
    <w:rsid w:val="00EE2A05"/>
    <w:pPr>
      <w:keepNext/>
      <w:keepLines/>
      <w:spacing w:before="120" w:after="0" w:line="480" w:lineRule="auto"/>
      <w:ind w:left="0" w:right="0"/>
      <w:outlineLvl w:val="1"/>
    </w:pPr>
    <w:rPr>
      <w:rFonts w:eastAsiaTheme="majorEastAsia" w:cstheme="majorBidi"/>
      <w:bCs/>
      <w:sz w:val="28"/>
      <w:szCs w:val="32"/>
      <w:lang w:val="pl-PL"/>
    </w:rPr>
  </w:style>
  <w:style w:type="paragraph" w:styleId="Heading3">
    <w:name w:val="heading 3"/>
    <w:basedOn w:val="Normal"/>
    <w:next w:val="BodyText"/>
    <w:uiPriority w:val="9"/>
    <w:unhideWhenUsed/>
    <w:qFormat/>
    <w:rsid w:val="007D2B77"/>
    <w:pPr>
      <w:keepNext/>
      <w:keepLines/>
      <w:spacing w:before="0" w:after="0" w:line="480" w:lineRule="auto"/>
      <w:ind w:left="0"/>
      <w:outlineLvl w:val="2"/>
    </w:pPr>
    <w:rPr>
      <w:rFonts w:eastAsiaTheme="majorEastAsia" w:cs="Times New Roman"/>
      <w:bCs/>
      <w:i/>
      <w:color w:val="auto"/>
      <w:sz w:val="26"/>
      <w:szCs w:val="26"/>
      <w:lang w:val="pl-PL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216E7"/>
    <w:pPr>
      <w:spacing w:after="0" w:line="480" w:lineRule="auto"/>
      <w:ind w:left="0" w:right="0" w:firstLine="720"/>
    </w:pPr>
    <w:rPr>
      <w:color w:val="000000" w:themeColor="text1"/>
      <w:lang w:val="pl-PL"/>
    </w:rPr>
  </w:style>
  <w:style w:type="paragraph" w:customStyle="1" w:styleId="FirstParagraph">
    <w:name w:val="First Paragraph"/>
    <w:basedOn w:val="BodyText"/>
    <w:next w:val="BodyText"/>
    <w:qFormat/>
    <w:rsid w:val="00B216E7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7C48B5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000000" w:themeColor="text1"/>
      <w:sz w:val="32"/>
      <w:szCs w:val="36"/>
      <w:lang w:val="pl-PL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7C48B5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7C48B5"/>
    <w:pPr>
      <w:keepNext/>
      <w:keepLines/>
      <w:jc w:val="center"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F4C35"/>
    <w:pPr>
      <w:keepNext/>
      <w:spacing w:before="0" w:after="0" w:line="480" w:lineRule="auto"/>
      <w:ind w:left="0" w:right="0"/>
    </w:pPr>
    <w:rPr>
      <w:lang w:val="pl-PL"/>
    </w:rPr>
  </w:style>
  <w:style w:type="paragraph" w:customStyle="1" w:styleId="ImageCaption">
    <w:name w:val="Image Caption"/>
    <w:basedOn w:val="Caption"/>
    <w:rsid w:val="003144A3"/>
    <w:pPr>
      <w:spacing w:before="0" w:after="0" w:line="480" w:lineRule="auto"/>
      <w:ind w:left="0" w:right="0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DD7AD5"/>
    <w:rPr>
      <w:rFonts w:ascii="Times New Roman" w:eastAsia="Arial" w:hAnsi="Times New Roman" w:cs="Arial"/>
      <w:color w:val="000000" w:themeColor="text1"/>
      <w:szCs w:val="22"/>
      <w:lang w:val="pl-PL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FirstParagraph"/>
    <w:link w:val="VerbatimChar"/>
    <w:rsid w:val="00AE3C0A"/>
  </w:style>
  <w:style w:type="character" w:customStyle="1" w:styleId="KeywordTok">
    <w:name w:val="KeywordTok"/>
    <w:basedOn w:val="VerbatimChar"/>
    <w:rPr>
      <w:rFonts w:ascii="Consolas" w:eastAsia="Arial" w:hAnsi="Consolas" w:cs="Arial"/>
      <w:b/>
      <w:color w:val="204A87"/>
      <w:sz w:val="22"/>
      <w:szCs w:val="22"/>
      <w:shd w:val="clear" w:color="auto" w:fill="F8F8F8"/>
      <w:lang w:val="pl-PL"/>
    </w:rPr>
  </w:style>
  <w:style w:type="character" w:customStyle="1" w:styleId="DataTypeTok">
    <w:name w:val="DataTypeTok"/>
    <w:basedOn w:val="VerbatimChar"/>
    <w:rPr>
      <w:rFonts w:ascii="Consolas" w:eastAsia="Arial" w:hAnsi="Consolas" w:cs="Arial"/>
      <w:b w:val="0"/>
      <w:color w:val="204A87"/>
      <w:sz w:val="22"/>
      <w:szCs w:val="22"/>
      <w:shd w:val="clear" w:color="auto" w:fill="F8F8F8"/>
      <w:lang w:val="pl-PL"/>
    </w:rPr>
  </w:style>
  <w:style w:type="character" w:customStyle="1" w:styleId="DecValTok">
    <w:name w:val="DecValTok"/>
    <w:basedOn w:val="VerbatimChar"/>
    <w:rPr>
      <w:rFonts w:ascii="Consolas" w:eastAsia="Arial" w:hAnsi="Consolas" w:cs="Arial"/>
      <w:b w:val="0"/>
      <w:color w:val="0000CF"/>
      <w:sz w:val="22"/>
      <w:szCs w:val="22"/>
      <w:shd w:val="clear" w:color="auto" w:fill="F8F8F8"/>
      <w:lang w:val="pl-PL"/>
    </w:rPr>
  </w:style>
  <w:style w:type="character" w:customStyle="1" w:styleId="BaseNTok">
    <w:name w:val="BaseNTok"/>
    <w:basedOn w:val="VerbatimChar"/>
    <w:rPr>
      <w:rFonts w:ascii="Consolas" w:eastAsia="Arial" w:hAnsi="Consolas" w:cs="Arial"/>
      <w:b w:val="0"/>
      <w:color w:val="0000CF"/>
      <w:sz w:val="22"/>
      <w:szCs w:val="22"/>
      <w:shd w:val="clear" w:color="auto" w:fill="F8F8F8"/>
      <w:lang w:val="pl-PL"/>
    </w:rPr>
  </w:style>
  <w:style w:type="character" w:customStyle="1" w:styleId="FloatTok">
    <w:name w:val="FloatTok"/>
    <w:basedOn w:val="VerbatimChar"/>
    <w:rPr>
      <w:rFonts w:ascii="Consolas" w:eastAsia="Arial" w:hAnsi="Consolas" w:cs="Arial"/>
      <w:b w:val="0"/>
      <w:color w:val="0000CF"/>
      <w:sz w:val="22"/>
      <w:szCs w:val="22"/>
      <w:shd w:val="clear" w:color="auto" w:fill="F8F8F8"/>
      <w:lang w:val="pl-PL"/>
    </w:rPr>
  </w:style>
  <w:style w:type="character" w:customStyle="1" w:styleId="ConstantTok">
    <w:name w:val="ConstantTok"/>
    <w:basedOn w:val="VerbatimChar"/>
    <w:rPr>
      <w:rFonts w:ascii="Consolas" w:eastAsia="Arial" w:hAnsi="Consolas" w:cs="Arial"/>
      <w:b w:val="0"/>
      <w:color w:val="000000"/>
      <w:sz w:val="22"/>
      <w:szCs w:val="22"/>
      <w:shd w:val="clear" w:color="auto" w:fill="F8F8F8"/>
      <w:lang w:val="pl-PL"/>
    </w:rPr>
  </w:style>
  <w:style w:type="character" w:customStyle="1" w:styleId="CharTok">
    <w:name w:val="CharTok"/>
    <w:basedOn w:val="VerbatimChar"/>
    <w:rPr>
      <w:rFonts w:ascii="Consolas" w:eastAsia="Arial" w:hAnsi="Consolas" w:cs="Arial"/>
      <w:b w:val="0"/>
      <w:color w:val="4E9A06"/>
      <w:sz w:val="22"/>
      <w:szCs w:val="22"/>
      <w:shd w:val="clear" w:color="auto" w:fill="F8F8F8"/>
      <w:lang w:val="pl-PL"/>
    </w:rPr>
  </w:style>
  <w:style w:type="character" w:customStyle="1" w:styleId="SpecialCharTok">
    <w:name w:val="SpecialCharTok"/>
    <w:basedOn w:val="VerbatimChar"/>
    <w:rPr>
      <w:rFonts w:ascii="Consolas" w:eastAsia="Arial" w:hAnsi="Consolas" w:cs="Arial"/>
      <w:b w:val="0"/>
      <w:color w:val="000000"/>
      <w:sz w:val="22"/>
      <w:szCs w:val="22"/>
      <w:shd w:val="clear" w:color="auto" w:fill="F8F8F8"/>
      <w:lang w:val="pl-PL"/>
    </w:rPr>
  </w:style>
  <w:style w:type="character" w:customStyle="1" w:styleId="StringTok">
    <w:name w:val="StringTok"/>
    <w:basedOn w:val="VerbatimChar"/>
    <w:rPr>
      <w:rFonts w:ascii="Consolas" w:eastAsia="Arial" w:hAnsi="Consolas" w:cs="Arial"/>
      <w:b w:val="0"/>
      <w:color w:val="4E9A06"/>
      <w:sz w:val="22"/>
      <w:szCs w:val="22"/>
      <w:shd w:val="clear" w:color="auto" w:fill="F8F8F8"/>
      <w:lang w:val="pl-PL"/>
    </w:rPr>
  </w:style>
  <w:style w:type="character" w:customStyle="1" w:styleId="VerbatimStringTok">
    <w:name w:val="VerbatimStringTok"/>
    <w:basedOn w:val="VerbatimChar"/>
    <w:rPr>
      <w:rFonts w:ascii="Consolas" w:eastAsia="Arial" w:hAnsi="Consolas" w:cs="Arial"/>
      <w:b w:val="0"/>
      <w:color w:val="4E9A06"/>
      <w:sz w:val="22"/>
      <w:szCs w:val="22"/>
      <w:shd w:val="clear" w:color="auto" w:fill="F8F8F8"/>
      <w:lang w:val="pl-PL"/>
    </w:rPr>
  </w:style>
  <w:style w:type="character" w:customStyle="1" w:styleId="SpecialStringTok">
    <w:name w:val="SpecialStringTok"/>
    <w:basedOn w:val="VerbatimChar"/>
    <w:rPr>
      <w:rFonts w:ascii="Consolas" w:eastAsia="Arial" w:hAnsi="Consolas" w:cs="Arial"/>
      <w:b w:val="0"/>
      <w:color w:val="4E9A06"/>
      <w:sz w:val="22"/>
      <w:szCs w:val="22"/>
      <w:shd w:val="clear" w:color="auto" w:fill="F8F8F8"/>
      <w:lang w:val="pl-PL"/>
    </w:rPr>
  </w:style>
  <w:style w:type="character" w:customStyle="1" w:styleId="ImportTok">
    <w:name w:val="ImportTok"/>
    <w:basedOn w:val="VerbatimChar"/>
    <w:rPr>
      <w:rFonts w:ascii="Consolas" w:eastAsia="Arial" w:hAnsi="Consolas" w:cs="Arial"/>
      <w:b w:val="0"/>
      <w:color w:val="111111"/>
      <w:sz w:val="22"/>
      <w:szCs w:val="22"/>
      <w:shd w:val="clear" w:color="auto" w:fill="F8F8F8"/>
      <w:lang w:val="pl-PL"/>
    </w:rPr>
  </w:style>
  <w:style w:type="character" w:customStyle="1" w:styleId="CommentTok">
    <w:name w:val="CommentTok"/>
    <w:basedOn w:val="VerbatimChar"/>
    <w:rPr>
      <w:rFonts w:ascii="Consolas" w:eastAsia="Arial" w:hAnsi="Consolas" w:cs="Arial"/>
      <w:b w:val="0"/>
      <w:i/>
      <w:color w:val="8F5902"/>
      <w:sz w:val="22"/>
      <w:szCs w:val="22"/>
      <w:shd w:val="clear" w:color="auto" w:fill="F8F8F8"/>
      <w:lang w:val="pl-PL"/>
    </w:rPr>
  </w:style>
  <w:style w:type="character" w:customStyle="1" w:styleId="DocumentationTok">
    <w:name w:val="DocumentationTok"/>
    <w:basedOn w:val="VerbatimChar"/>
    <w:rPr>
      <w:rFonts w:ascii="Consolas" w:eastAsia="Arial" w:hAnsi="Consolas" w:cs="Arial"/>
      <w:b/>
      <w:i/>
      <w:color w:val="8F5902"/>
      <w:sz w:val="22"/>
      <w:szCs w:val="22"/>
      <w:shd w:val="clear" w:color="auto" w:fill="F8F8F8"/>
      <w:lang w:val="pl-PL"/>
    </w:rPr>
  </w:style>
  <w:style w:type="character" w:customStyle="1" w:styleId="AnnotationTok">
    <w:name w:val="AnnotationTok"/>
    <w:basedOn w:val="VerbatimChar"/>
    <w:rPr>
      <w:rFonts w:ascii="Consolas" w:eastAsia="Arial" w:hAnsi="Consolas" w:cs="Arial"/>
      <w:b/>
      <w:i/>
      <w:color w:val="8F5902"/>
      <w:sz w:val="22"/>
      <w:szCs w:val="22"/>
      <w:shd w:val="clear" w:color="auto" w:fill="F8F8F8"/>
      <w:lang w:val="pl-PL"/>
    </w:rPr>
  </w:style>
  <w:style w:type="character" w:customStyle="1" w:styleId="CommentVarTok">
    <w:name w:val="CommentVarTok"/>
    <w:basedOn w:val="VerbatimChar"/>
    <w:rPr>
      <w:rFonts w:ascii="Consolas" w:eastAsia="Arial" w:hAnsi="Consolas" w:cs="Arial"/>
      <w:b/>
      <w:i/>
      <w:color w:val="8F5902"/>
      <w:sz w:val="22"/>
      <w:szCs w:val="22"/>
      <w:shd w:val="clear" w:color="auto" w:fill="F8F8F8"/>
      <w:lang w:val="pl-PL"/>
    </w:rPr>
  </w:style>
  <w:style w:type="character" w:customStyle="1" w:styleId="OtherTok">
    <w:name w:val="OtherTok"/>
    <w:basedOn w:val="VerbatimChar"/>
    <w:rPr>
      <w:rFonts w:ascii="Consolas" w:eastAsia="Arial" w:hAnsi="Consolas" w:cs="Arial"/>
      <w:b w:val="0"/>
      <w:color w:val="8F5902"/>
      <w:sz w:val="22"/>
      <w:szCs w:val="22"/>
      <w:shd w:val="clear" w:color="auto" w:fill="F8F8F8"/>
      <w:lang w:val="pl-PL"/>
    </w:rPr>
  </w:style>
  <w:style w:type="character" w:customStyle="1" w:styleId="FunctionTok">
    <w:name w:val="FunctionTok"/>
    <w:basedOn w:val="VerbatimChar"/>
    <w:rPr>
      <w:rFonts w:ascii="Consolas" w:eastAsia="Arial" w:hAnsi="Consolas" w:cs="Arial"/>
      <w:b w:val="0"/>
      <w:color w:val="000000"/>
      <w:sz w:val="22"/>
      <w:szCs w:val="22"/>
      <w:shd w:val="clear" w:color="auto" w:fill="F8F8F8"/>
      <w:lang w:val="pl-PL"/>
    </w:rPr>
  </w:style>
  <w:style w:type="character" w:customStyle="1" w:styleId="VariableTok">
    <w:name w:val="VariableTok"/>
    <w:basedOn w:val="VerbatimChar"/>
    <w:rPr>
      <w:rFonts w:ascii="Consolas" w:eastAsia="Arial" w:hAnsi="Consolas" w:cs="Arial"/>
      <w:b w:val="0"/>
      <w:color w:val="000000"/>
      <w:sz w:val="22"/>
      <w:szCs w:val="22"/>
      <w:shd w:val="clear" w:color="auto" w:fill="F8F8F8"/>
      <w:lang w:val="pl-PL"/>
    </w:rPr>
  </w:style>
  <w:style w:type="character" w:customStyle="1" w:styleId="ControlFlowTok">
    <w:name w:val="ControlFlowTok"/>
    <w:basedOn w:val="VerbatimChar"/>
    <w:rPr>
      <w:rFonts w:ascii="Consolas" w:eastAsia="Arial" w:hAnsi="Consolas" w:cs="Arial"/>
      <w:b/>
      <w:color w:val="204A87"/>
      <w:sz w:val="22"/>
      <w:szCs w:val="22"/>
      <w:shd w:val="clear" w:color="auto" w:fill="F8F8F8"/>
      <w:lang w:val="pl-PL"/>
    </w:rPr>
  </w:style>
  <w:style w:type="character" w:customStyle="1" w:styleId="OperatorTok">
    <w:name w:val="OperatorTok"/>
    <w:basedOn w:val="VerbatimChar"/>
    <w:rPr>
      <w:rFonts w:ascii="Consolas" w:eastAsia="Arial" w:hAnsi="Consolas" w:cs="Arial"/>
      <w:b/>
      <w:color w:val="CE5C00"/>
      <w:sz w:val="22"/>
      <w:szCs w:val="22"/>
      <w:shd w:val="clear" w:color="auto" w:fill="F8F8F8"/>
      <w:lang w:val="pl-PL"/>
    </w:rPr>
  </w:style>
  <w:style w:type="character" w:customStyle="1" w:styleId="BuiltInTok">
    <w:name w:val="BuiltInTok"/>
    <w:basedOn w:val="VerbatimChar"/>
    <w:rPr>
      <w:rFonts w:ascii="Consolas" w:eastAsia="Arial" w:hAnsi="Consolas" w:cs="Arial"/>
      <w:b w:val="0"/>
      <w:color w:val="111111"/>
      <w:sz w:val="22"/>
      <w:szCs w:val="22"/>
      <w:shd w:val="clear" w:color="auto" w:fill="F8F8F8"/>
      <w:lang w:val="pl-PL"/>
    </w:rPr>
  </w:style>
  <w:style w:type="character" w:customStyle="1" w:styleId="ExtensionTok">
    <w:name w:val="ExtensionTok"/>
    <w:basedOn w:val="VerbatimChar"/>
    <w:rPr>
      <w:rFonts w:ascii="Consolas" w:eastAsia="Arial" w:hAnsi="Consolas" w:cs="Arial"/>
      <w:b w:val="0"/>
      <w:color w:val="111111"/>
      <w:sz w:val="22"/>
      <w:szCs w:val="22"/>
      <w:shd w:val="clear" w:color="auto" w:fill="F8F8F8"/>
      <w:lang w:val="pl-PL"/>
    </w:rPr>
  </w:style>
  <w:style w:type="character" w:customStyle="1" w:styleId="PreprocessorTok">
    <w:name w:val="PreprocessorTok"/>
    <w:basedOn w:val="VerbatimChar"/>
    <w:rPr>
      <w:rFonts w:ascii="Consolas" w:eastAsia="Arial" w:hAnsi="Consolas" w:cs="Arial"/>
      <w:b w:val="0"/>
      <w:i/>
      <w:color w:val="8F5902"/>
      <w:sz w:val="22"/>
      <w:szCs w:val="22"/>
      <w:shd w:val="clear" w:color="auto" w:fill="F8F8F8"/>
      <w:lang w:val="pl-PL"/>
    </w:rPr>
  </w:style>
  <w:style w:type="character" w:customStyle="1" w:styleId="AttributeTok">
    <w:name w:val="AttributeTok"/>
    <w:basedOn w:val="VerbatimChar"/>
    <w:rPr>
      <w:rFonts w:ascii="Consolas" w:eastAsia="Arial" w:hAnsi="Consolas" w:cs="Arial"/>
      <w:b w:val="0"/>
      <w:color w:val="C4A000"/>
      <w:sz w:val="22"/>
      <w:szCs w:val="22"/>
      <w:shd w:val="clear" w:color="auto" w:fill="F8F8F8"/>
      <w:lang w:val="pl-PL"/>
    </w:rPr>
  </w:style>
  <w:style w:type="character" w:customStyle="1" w:styleId="RegionMarkerTok">
    <w:name w:val="RegionMarkerTok"/>
    <w:basedOn w:val="VerbatimChar"/>
    <w:rPr>
      <w:rFonts w:ascii="Consolas" w:eastAsia="Arial" w:hAnsi="Consolas" w:cs="Arial"/>
      <w:b w:val="0"/>
      <w:color w:val="111111"/>
      <w:sz w:val="22"/>
      <w:szCs w:val="22"/>
      <w:shd w:val="clear" w:color="auto" w:fill="F8F8F8"/>
      <w:lang w:val="pl-PL"/>
    </w:rPr>
  </w:style>
  <w:style w:type="character" w:customStyle="1" w:styleId="InformationTok">
    <w:name w:val="InformationTok"/>
    <w:basedOn w:val="VerbatimChar"/>
    <w:rPr>
      <w:rFonts w:ascii="Consolas" w:eastAsia="Arial" w:hAnsi="Consolas" w:cs="Arial"/>
      <w:b/>
      <w:i/>
      <w:color w:val="8F5902"/>
      <w:sz w:val="22"/>
      <w:szCs w:val="22"/>
      <w:shd w:val="clear" w:color="auto" w:fill="F8F8F8"/>
      <w:lang w:val="pl-PL"/>
    </w:rPr>
  </w:style>
  <w:style w:type="character" w:customStyle="1" w:styleId="WarningTok">
    <w:name w:val="WarningTok"/>
    <w:basedOn w:val="VerbatimChar"/>
    <w:rPr>
      <w:rFonts w:ascii="Consolas" w:eastAsia="Arial" w:hAnsi="Consolas" w:cs="Arial"/>
      <w:b/>
      <w:i/>
      <w:color w:val="8F5902"/>
      <w:sz w:val="22"/>
      <w:szCs w:val="22"/>
      <w:shd w:val="clear" w:color="auto" w:fill="F8F8F8"/>
      <w:lang w:val="pl-PL"/>
    </w:rPr>
  </w:style>
  <w:style w:type="character" w:customStyle="1" w:styleId="AlertTok">
    <w:name w:val="AlertTok"/>
    <w:basedOn w:val="VerbatimChar"/>
    <w:rPr>
      <w:rFonts w:ascii="Consolas" w:eastAsia="Arial" w:hAnsi="Consolas" w:cs="Arial"/>
      <w:b w:val="0"/>
      <w:color w:val="EF2929"/>
      <w:sz w:val="22"/>
      <w:szCs w:val="22"/>
      <w:shd w:val="clear" w:color="auto" w:fill="F8F8F8"/>
      <w:lang w:val="pl-PL"/>
    </w:rPr>
  </w:style>
  <w:style w:type="character" w:customStyle="1" w:styleId="ErrorTok">
    <w:name w:val="ErrorTok"/>
    <w:basedOn w:val="VerbatimChar"/>
    <w:rPr>
      <w:rFonts w:ascii="Consolas" w:eastAsia="Arial" w:hAnsi="Consolas" w:cs="Arial"/>
      <w:b/>
      <w:color w:val="A40000"/>
      <w:sz w:val="22"/>
      <w:szCs w:val="22"/>
      <w:shd w:val="clear" w:color="auto" w:fill="F8F8F8"/>
      <w:lang w:val="pl-PL"/>
    </w:rPr>
  </w:style>
  <w:style w:type="character" w:customStyle="1" w:styleId="NormalTok">
    <w:name w:val="NormalTok"/>
    <w:basedOn w:val="VerbatimChar"/>
    <w:rPr>
      <w:rFonts w:ascii="Consolas" w:eastAsia="Arial" w:hAnsi="Consolas" w:cs="Arial"/>
      <w:b w:val="0"/>
      <w:color w:val="111111"/>
      <w:sz w:val="22"/>
      <w:szCs w:val="22"/>
      <w:shd w:val="clear" w:color="auto" w:fill="F8F8F8"/>
      <w:lang w:val="pl-PL"/>
    </w:rPr>
  </w:style>
  <w:style w:type="paragraph" w:styleId="BodyTextIndent">
    <w:name w:val="Body Text Indent"/>
    <w:basedOn w:val="Normal"/>
    <w:link w:val="BodyTextIndentChar"/>
    <w:rsid w:val="000D32CC"/>
    <w:pPr>
      <w:spacing w:after="120"/>
      <w:ind w:left="283"/>
    </w:pPr>
  </w:style>
  <w:style w:type="character" w:customStyle="1" w:styleId="BodyTextChar">
    <w:name w:val="Body Text Char"/>
    <w:basedOn w:val="DefaultParagraphFont"/>
    <w:link w:val="BodyText"/>
    <w:rsid w:val="00B216E7"/>
    <w:rPr>
      <w:rFonts w:ascii="Times New Roman" w:eastAsia="Arial" w:hAnsi="Times New Roman" w:cs="Arial"/>
      <w:color w:val="000000" w:themeColor="text1"/>
      <w:szCs w:val="22"/>
      <w:lang w:val="pl-PL"/>
    </w:rPr>
  </w:style>
  <w:style w:type="character" w:customStyle="1" w:styleId="BodyTextIndentChar">
    <w:name w:val="Body Text Indent Char"/>
    <w:basedOn w:val="DefaultParagraphFont"/>
    <w:link w:val="BodyTextIndent"/>
    <w:rsid w:val="000D32CC"/>
    <w:rPr>
      <w:rFonts w:ascii="Times New Roman" w:eastAsia="Arial" w:hAnsi="Times New Roman" w:cs="Arial"/>
      <w:color w:val="1111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3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1332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Wyniki</vt:lpstr>
    </vt:vector>
  </TitlesOfParts>
  <Company/>
  <LinksUpToDate>false</LinksUpToDate>
  <CharactersWithSpaces>9311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</dc:title>
  <dc:creator>Anonymous</dc:creator>
  <cp:lastModifiedBy>Microsoft account</cp:lastModifiedBy>
  <cp:revision>18</cp:revision>
  <dcterms:created xsi:type="dcterms:W3CDTF">2020-08-24T15:36:00Z</dcterms:created>
  <dcterms:modified xsi:type="dcterms:W3CDTF">2026-02-27T17:15:00Z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