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P2 – Quy trình kĩ thuật &amp; nghiệm thu (bản thuyết trình)</w:t>
      </w:r>
    </w:p>
    <w:p>
      <w:pPr/>
      <w:r>
        <w:rPr>
          <w:i/>
        </w:rPr>
        <w:t xml:space="preserve">Rút gọn từ bản chi tiết, dùng để lên slide/nói. Số liệu là khoảng tham khảo, nhớ đối chiếu nguồn trước khi trình bày.</w:t>
      </w:r>
    </w:p>
    <w:p>
      <w:pPr>
        <w:pStyle w:val="Heading2"/>
      </w:pPr>
      <w:r>
        <w:t xml:space="preserve">1. Chuẩn đầu ra (mục tiêu của quy trình)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Rừng:</w:t>
      </w:r>
      <w:r>
        <w:t xml:space="preserve"> đước sống ≥ 85%, che phủ ~60%, phòng hộ tốt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Tôm:</w:t>
      </w:r>
      <w:r>
        <w:t xml:space="preserve"> giống sạch bệnh, cỡ 25–40 con/kg, không tồn dư kháng sinh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Kinh tế:</w:t>
      </w:r>
      <w:r>
        <w:t xml:space="preserve"> có lãi ổn định từ tôm + lâm sản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Môi trường:</w:t>
      </w:r>
      <w:r>
        <w:t xml:space="preserve"> nước đạt chuẩn, chu trình dinh dưỡng khép kín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Chứng nhận:</w:t>
      </w:r>
      <w:r>
        <w:t xml:space="preserve"> hướng tới VietGAP (TCVN 11892-1), nâng lên ASC / Naturland</w:t>
      </w:r>
    </w:p>
    <w:p>
      <w:pPr>
        <w:pStyle w:val="Heading2"/>
      </w:pPr>
      <w:r>
        <w:t xml:space="preserve">2. Điều kiện áp dụng</w:t>
      </w:r>
    </w:p>
    <w:p>
      <w:pPr>
        <w:pStyle w:val="ListParagraph"/>
        <w:numPr>
          <w:ilvl w:val="0"/>
          <w:numId w:val="3"/>
        </w:numPr>
      </w:pPr>
      <w:r>
        <w:t xml:space="preserve">Vùng ven biển, ngập triều; đất bùn/sét pha</w:t>
      </w:r>
    </w:p>
    <w:p>
      <w:pPr>
        <w:pStyle w:val="ListParagraph"/>
        <w:numPr>
          <w:ilvl w:val="0"/>
          <w:numId w:val="3"/>
        </w:numPr>
      </w:pPr>
      <w:r>
        <w:t xml:space="preserve">Nước lợ, độ mặn 10–25‰, không ô nhiễm</w:t>
      </w:r>
    </w:p>
    <w:p>
      <w:pPr>
        <w:pStyle w:val="ListParagraph"/>
        <w:numPr>
          <w:ilvl w:val="0"/>
          <w:numId w:val="3"/>
        </w:numPr>
      </w:pPr>
      <w:r>
        <w:t xml:space="preserve">Đất/rừng hợp pháp; rừng ~60–70%, mặt nước ~30–40%</w:t>
      </w:r>
    </w:p>
    <w:p>
      <w:pPr>
        <w:pStyle w:val="Heading2"/>
      </w:pPr>
      <w:r>
        <w:t xml:space="preserve">3. Chọn giống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Đối tượng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Lựa chọn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Đước</w:t>
            </w:r>
          </w:p>
        </w:tc>
        <w:tc>
          <w:tcPr>
            <w:tcW w:w="4680" w:type="dxa"/>
          </w:tcPr>
          <w:p>
            <w:pPr/>
            <w:r>
              <w:t xml:space="preserve">Đước đôi; trụ mầm chín, 30–45 cm, cây mẹ khỏe, nguồn gốc rõ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Tôm sú</w:t>
            </w:r>
          </w:p>
        </w:tc>
        <w:tc>
          <w:tcPr>
            <w:tcW w:w="4680" w:type="dxa"/>
          </w:tcPr>
          <w:p>
            <w:pPr/>
            <w:r>
              <w:t xml:space="preserve">PL12–PL15, PCR âm tính, cơ sở giống có phép; thả 2–5 con/m²</w:t>
            </w:r>
          </w:p>
        </w:tc>
      </w:tr>
    </w:tbl>
    <w:p>
      <w:pPr>
        <w:pStyle w:val="Heading2"/>
      </w:pPr>
      <w:r>
        <w:t xml:space="preserve">4. Quy trình 6 giai đoạn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Giai đoạn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Thời gian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Việc chính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Thiết kế &amp; làm công trình</w:t>
            </w:r>
          </w:p>
        </w:tc>
        <w:tc>
          <w:tcPr>
            <w:tcW w:w="3120" w:type="dxa"/>
          </w:tcPr>
          <w:p>
            <w:pPr/>
            <w:r>
              <w:t xml:space="preserve">T1–5</w:t>
            </w:r>
          </w:p>
        </w:tc>
        <w:tc>
          <w:tcPr>
            <w:tcW w:w="3120" w:type="dxa"/>
          </w:tcPr>
          <w:p>
            <w:pPr/>
            <w:r>
              <w:t xml:space="preserve">Khảo sát, đào mương bao + mương xẻ lòng rừng, lắp cống cấp/xả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Trồng đước</w:t>
            </w:r>
          </w:p>
        </w:tc>
        <w:tc>
          <w:tcPr>
            <w:tcW w:w="3120" w:type="dxa"/>
          </w:tcPr>
          <w:p>
            <w:pPr/>
            <w:r>
              <w:t xml:space="preserve">Đầu mùa mưa</w:t>
            </w:r>
          </w:p>
        </w:tc>
        <w:tc>
          <w:tcPr>
            <w:tcW w:w="3120" w:type="dxa"/>
          </w:tcPr>
          <w:p>
            <w:pPr/>
            <w:r>
              <w:t xml:space="preserve">Cắm trụ mầm ~1×1 m, trồng dặm, chăm sóc năm 1–3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Xử lí mương &amp; nước</w:t>
            </w:r>
          </w:p>
        </w:tc>
        <w:tc>
          <w:tcPr>
            <w:tcW w:w="3120" w:type="dxa"/>
          </w:tcPr>
          <w:p>
            <w:pPr/>
            <w:r>
              <w:t xml:space="preserve">2–4 tuần trước thả</w:t>
            </w:r>
          </w:p>
        </w:tc>
        <w:tc>
          <w:tcPr>
            <w:tcW w:w="3120" w:type="dxa"/>
          </w:tcPr>
          <w:p>
            <w:pPr/>
            <w:r>
              <w:t xml:space="preserve">Nạo vét, bón vôi, lọc nước, gây màu nước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Thả &amp; nuôi tôm</w:t>
            </w:r>
          </w:p>
        </w:tc>
        <w:tc>
          <w:tcPr>
            <w:tcW w:w="3120" w:type="dxa"/>
          </w:tcPr>
          <w:p>
            <w:pPr/>
            <w:r>
              <w:t xml:space="preserve">4–5 tháng/vụ</w:t>
            </w:r>
          </w:p>
        </w:tc>
        <w:tc>
          <w:tcPr>
            <w:tcW w:w="3120" w:type="dxa"/>
          </w:tcPr>
          <w:p>
            <w:pPr/>
            <w:r>
              <w:t xml:space="preserve">Thả giống, lấy nước theo triều, thức ăn tự nhiên là chính, ghi nhật kí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Thu hoạch</w:t>
            </w:r>
          </w:p>
        </w:tc>
        <w:tc>
          <w:tcPr>
            <w:tcW w:w="3120" w:type="dxa"/>
          </w:tcPr>
          <w:p>
            <w:pPr/>
            <w:r>
              <w:t xml:space="preserve">Cuối vụ</w:t>
            </w:r>
          </w:p>
        </w:tc>
        <w:tc>
          <w:tcPr>
            <w:tcW w:w="3120" w:type="dxa"/>
          </w:tcPr>
          <w:p>
            <w:pPr/>
            <w:r>
              <w:t xml:space="preserve">Thu tỉa/thu toàn bộ, bảo quản lạnh, ghi sản lượng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 Tỉa thưa &amp; khai thác rừng</w:t>
            </w:r>
          </w:p>
        </w:tc>
        <w:tc>
          <w:tcPr>
            <w:tcW w:w="3120" w:type="dxa"/>
          </w:tcPr>
          <w:p>
            <w:pPr/>
            <w:r>
              <w:t xml:space="preserve">Năm 6–12 tỉa thưa; 15–25 năm khai thác</w:t>
            </w:r>
          </w:p>
        </w:tc>
        <w:tc>
          <w:tcPr>
            <w:tcW w:w="3120" w:type="dxa"/>
          </w:tcPr>
          <w:p>
            <w:pPr/>
            <w:r>
              <w:t xml:space="preserve">Giữ che phủ ~60%, thu cọc/củi, trồng lại</w:t>
            </w:r>
          </w:p>
        </w:tc>
      </w:tr>
    </w:tbl>
    <w:p>
      <w:pPr/>
      <w:r>
        <w:rPr>
          <w:b/>
        </w:rPr>
        <w:t xml:space="preserve">Chu trình sinh thái:</w:t>
      </w:r>
      <w:r>
        <w:t xml:space="preserve"> lá đước → mùn bã → vi sinh vật → phiêu sinh/giáp xác → tôm → phân tôm → dinh dưỡng cho đước.</w:t>
      </w:r>
    </w:p>
    <w:p>
      <w:pPr>
        <w:pStyle w:val="Heading2"/>
      </w:pPr>
      <w:r>
        <w:t xml:space="preserve">5. Nghiệm thu</w:t>
      </w:r>
    </w:p>
    <w:p>
      <w:pPr/>
      <w:r>
        <w:rPr>
          <w:b/>
        </w:rPr>
        <w:t xml:space="preserve">Cách làm:</w:t>
      </w:r>
      <w:r>
        <w:t xml:space="preserve"> nghiệm thu theo giai đoạn, đo bằng ô tiêu chuẩn/mẫu đại diện, có biên bản và hồ sơ truy xuất.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Nhóm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Tiêu chí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Ngưỡng đạt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Rừng</w:t>
            </w:r>
          </w:p>
        </w:tc>
        <w:tc>
          <w:tcPr>
            <w:tcW w:w="3120" w:type="dxa"/>
          </w:tcPr>
          <w:p>
            <w:pPr/>
            <w:r>
              <w:t xml:space="preserve">Tỉ lệ sống, sinh trưởng, che phủ</w:t>
            </w:r>
          </w:p>
        </w:tc>
        <w:tc>
          <w:tcPr>
            <w:tcW w:w="3120" w:type="dxa"/>
          </w:tcPr>
          <w:p>
            <w:pPr/>
            <w:r>
              <w:t xml:space="preserve">≥ 85%; đạt theo tuổi; ~60%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Nước</w:t>
            </w:r>
          </w:p>
        </w:tc>
        <w:tc>
          <w:tcPr>
            <w:tcW w:w="3120" w:type="dxa"/>
          </w:tcPr>
          <w:p>
            <w:pPr/>
            <w:r>
              <w:t xml:space="preserve">pH, độ mặn, DO</w:t>
            </w:r>
          </w:p>
        </w:tc>
        <w:tc>
          <w:tcPr>
            <w:tcW w:w="3120" w:type="dxa"/>
          </w:tcPr>
          <w:p>
            <w:pPr/>
            <w:r>
              <w:t xml:space="preserve">7,5–8,5; 10–25‰; ≥ 4 mg/L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Tôm</w:t>
            </w:r>
          </w:p>
        </w:tc>
        <w:tc>
          <w:tcPr>
            <w:tcW w:w="3120" w:type="dxa"/>
          </w:tcPr>
          <w:p>
            <w:pPr/>
            <w:r>
              <w:t xml:space="preserve">Tỉ lệ sống, sản lượng, cỡ</w:t>
            </w:r>
          </w:p>
        </w:tc>
        <w:tc>
          <w:tcPr>
            <w:tcW w:w="3120" w:type="dxa"/>
          </w:tcPr>
          <w:p>
            <w:pPr/>
            <w:r>
              <w:t xml:space="preserve">~50–70%; 200–500 kg/ha/vụ; 25–40 con/kg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 toàn</w:t>
            </w:r>
          </w:p>
        </w:tc>
        <w:tc>
          <w:tcPr>
            <w:tcW w:w="3120" w:type="dxa"/>
          </w:tcPr>
          <w:p>
            <w:pPr/>
            <w:r>
              <w:t xml:space="preserve">Tồn dư kháng sinh</w:t>
            </w:r>
          </w:p>
        </w:tc>
        <w:tc>
          <w:tcPr>
            <w:tcW w:w="3120" w:type="dxa"/>
          </w:tcPr>
          <w:p>
            <w:pPr/>
            <w:r>
              <w:t xml:space="preserve">Không phát hiện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Kinh tế</w:t>
            </w:r>
          </w:p>
        </w:tc>
        <w:tc>
          <w:tcPr>
            <w:tcW w:w="3120" w:type="dxa"/>
          </w:tcPr>
          <w:p>
            <w:pPr/>
            <w:r>
              <w:t xml:space="preserve">Lợi nhuận, ROI</w:t>
            </w:r>
          </w:p>
        </w:tc>
        <w:tc>
          <w:tcPr>
            <w:tcW w:w="3120" w:type="dxa"/>
          </w:tcPr>
          <w:p>
            <w:pPr/>
            <w:r>
              <w:t xml:space="preserve">Dương, đạt mục tiêu nhóm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Môi trường</w:t>
            </w:r>
          </w:p>
        </w:tc>
        <w:tc>
          <w:tcPr>
            <w:tcW w:w="3120" w:type="dxa"/>
          </w:tcPr>
          <w:p>
            <w:pPr/>
            <w:r>
              <w:t xml:space="preserve">Xả thải, đa dạng sinh học</w:t>
            </w:r>
          </w:p>
        </w:tc>
        <w:tc>
          <w:tcPr>
            <w:tcW w:w="3120" w:type="dxa"/>
          </w:tcPr>
          <w:p>
            <w:pPr/>
            <w:r>
              <w:t xml:space="preserve">Không xả nước bẩn; có sinh vật quay lại</w:t>
            </w:r>
          </w:p>
        </w:tc>
      </w:tr>
    </w:tbl>
    <w:p>
      <w:pPr>
        <w:pStyle w:val="Heading2"/>
      </w:pPr>
      <w:r>
        <w:t xml:space="preserve">6. Tiêu chuẩn đối chiếu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Lâm nghiệp:</w:t>
      </w:r>
      <w:r>
        <w:t xml:space="preserve"> Luật Lâm nghiệp 2017; TT 29/2018/TT-BNNPTNT (biện pháp lâm sinh); FSC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Thủy sản:</w:t>
      </w:r>
      <w:r>
        <w:t xml:space="preserve"> QCVN 02-19:2014/BNNPTNT; VietGAP TCVN 11892-1:2017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Quốc tế:</w:t>
      </w:r>
      <w:r>
        <w:t xml:space="preserve"> ASC, GlobalG.A.P., Naturland</w:t>
      </w:r>
    </w:p>
    <w:p>
      <w:pPr>
        <w:pStyle w:val="Heading2"/>
      </w:pPr>
      <w:r>
        <w:t xml:space="preserve">7. Rủi ro chính</w:t>
      </w:r>
    </w:p>
    <w:p>
      <w:pPr>
        <w:pStyle w:val="ListParagraph"/>
        <w:numPr>
          <w:ilvl w:val="0"/>
          <w:numId w:val="5"/>
        </w:numPr>
      </w:pPr>
      <w:r>
        <w:t xml:space="preserve">Bệnh tôm → giống PCR sạch, giữ nước tốt</w:t>
      </w:r>
    </w:p>
    <w:p>
      <w:pPr>
        <w:pStyle w:val="ListParagraph"/>
        <w:numPr>
          <w:ilvl w:val="0"/>
          <w:numId w:val="5"/>
        </w:numPr>
      </w:pPr>
      <w:r>
        <w:t xml:space="preserve">Độ mặn/phèn biến động → điều tiết cống, bón vôi</w:t>
      </w:r>
    </w:p>
    <w:p>
      <w:pPr>
        <w:pStyle w:val="ListParagraph"/>
        <w:numPr>
          <w:ilvl w:val="0"/>
          <w:numId w:val="5"/>
        </w:numPr>
      </w:pPr>
      <w:r>
        <w:t xml:space="preserve">Xói lở bờ → giữ băng rừng, gia cố bờ</w:t>
      </w:r>
    </w:p>
    <w:p>
      <w:pPr>
        <w:pStyle w:val="ListParagraph"/>
        <w:numPr>
          <w:ilvl w:val="0"/>
          <w:numId w:val="5"/>
        </w:numPr>
      </w:pPr>
      <w:r>
        <w:t xml:space="preserve">Giá tôm biến động → đa dạng hóa, chứng nhận, hợp đồng bao tiêu</w:t>
      </w:r>
    </w:p>
    <w:p>
      <w:pPr>
        <w:pStyle w:val="Heading2"/>
      </w:pPr>
      <w:r>
        <w:t xml:space="preserve">Gợi ý lời trình bày (~2–3 phút)</w:t>
      </w:r>
    </w:p>
    <w:p>
      <w:pPr>
        <w:pStyle w:val="ListParagraph"/>
        <w:numPr>
          <w:ilvl w:val="0"/>
          <w:numId w:val="6"/>
        </w:numPr>
      </w:pPr>
      <w:r>
        <w:t xml:space="preserve">Nêu chuẩn đầu ra trước, rồi nói quy trình được thiết kế ngược từ chuẩn đó.</w:t>
      </w:r>
    </w:p>
    <w:p>
      <w:pPr>
        <w:pStyle w:val="ListParagraph"/>
        <w:numPr>
          <w:ilvl w:val="0"/>
          <w:numId w:val="6"/>
        </w:numPr>
      </w:pPr>
      <w:r>
        <w:t xml:space="preserve">Đi qua 6 giai đoạn, nhấn mạnh giống sạch và chu trình sinh thái.</w:t>
      </w:r>
    </w:p>
    <w:p>
      <w:pPr>
        <w:pStyle w:val="ListParagraph"/>
        <w:numPr>
          <w:ilvl w:val="0"/>
          <w:numId w:val="6"/>
        </w:numPr>
      </w:pPr>
      <w:r>
        <w:t xml:space="preserve">Kết thúc bằng nghiệm thu: đo được, có chuẩn, có hồ sơ.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P2 – Quy trình kĩ thuật &amp; nghiệm thu (bản thuyết trình)</dc:title>
  <dc:description>Claude Docs node/11771011-09eb@1 docx-w6</dc:description>
  <cp:revision>1</cp:revision>
</cp:coreProperties>
</file>