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E33F4" w14:textId="77777777" w:rsidR="00BF4225" w:rsidRPr="00BF4225" w:rsidRDefault="00BF4225" w:rsidP="00C85FF4">
      <w:pPr>
        <w:ind w:right="28"/>
        <w:rPr>
          <w:rFonts w:ascii="Arial" w:hAnsi="Arial" w:cs="Arial"/>
          <w:b/>
          <w:caps/>
          <w:sz w:val="22"/>
          <w:szCs w:val="22"/>
          <w:lang w:val="en-GB"/>
        </w:rPr>
      </w:pPr>
      <w:r w:rsidRPr="00BF4225">
        <w:rPr>
          <w:rFonts w:ascii="Arial" w:hAnsi="Arial" w:cs="Arial"/>
          <w:b/>
          <w:caps/>
          <w:sz w:val="22"/>
          <w:szCs w:val="22"/>
          <w:lang w:val="en-GB"/>
        </w:rPr>
        <w:t>Vertebrate Animals</w:t>
      </w:r>
      <w:r w:rsidRPr="00BF4225">
        <w:rPr>
          <w:rFonts w:ascii="Arial" w:hAnsi="Arial" w:cs="Arial"/>
          <w:b/>
          <w:caps/>
          <w:sz w:val="22"/>
          <w:szCs w:val="22"/>
          <w:lang w:val="en-US"/>
        </w:rPr>
        <w:t xml:space="preserve"> – </w:t>
      </w:r>
      <w:r>
        <w:rPr>
          <w:rFonts w:ascii="Arial" w:hAnsi="Arial" w:cs="Arial"/>
          <w:b/>
          <w:caps/>
          <w:sz w:val="22"/>
          <w:szCs w:val="22"/>
          <w:lang w:val="en-US"/>
        </w:rPr>
        <w:t>INFORMATICS AND ANALYTICS CORE (IAC)</w:t>
      </w:r>
    </w:p>
    <w:p w14:paraId="569C23D5" w14:textId="77777777" w:rsidR="00BF4225" w:rsidRPr="00BF4225" w:rsidRDefault="00BF4225" w:rsidP="00C85FF4">
      <w:pPr>
        <w:ind w:right="28"/>
        <w:rPr>
          <w:rFonts w:ascii="Arial" w:hAnsi="Arial" w:cs="Arial"/>
          <w:b/>
          <w:i/>
          <w:sz w:val="22"/>
          <w:szCs w:val="22"/>
          <w:lang w:val="en-GB"/>
        </w:rPr>
      </w:pPr>
    </w:p>
    <w:p w14:paraId="3F177686" w14:textId="77777777" w:rsidR="00BF4225" w:rsidRPr="00BF4225" w:rsidRDefault="00BF4225" w:rsidP="00C85FF4">
      <w:pPr>
        <w:numPr>
          <w:ilvl w:val="0"/>
          <w:numId w:val="1"/>
        </w:numPr>
        <w:ind w:left="284" w:hanging="284"/>
        <w:rPr>
          <w:rFonts w:ascii="Arial" w:hAnsi="Arial" w:cs="Arial"/>
          <w:b/>
          <w:sz w:val="22"/>
          <w:szCs w:val="22"/>
          <w:lang w:val="en-GB"/>
        </w:rPr>
      </w:pPr>
      <w:r w:rsidRPr="00BF4225">
        <w:rPr>
          <w:rFonts w:ascii="Arial" w:hAnsi="Arial" w:cs="Arial"/>
          <w:b/>
          <w:sz w:val="22"/>
          <w:szCs w:val="22"/>
          <w:lang w:val="en-GB"/>
        </w:rPr>
        <w:t>Description of animals and how they will be used [University of Kuopio (UEF), University of Melbourne</w:t>
      </w:r>
      <w:r>
        <w:rPr>
          <w:rFonts w:ascii="Arial" w:hAnsi="Arial" w:cs="Arial"/>
          <w:b/>
          <w:sz w:val="22"/>
          <w:szCs w:val="22"/>
          <w:lang w:val="en-GB"/>
        </w:rPr>
        <w:t xml:space="preserve"> (UM), University of California, Los Angeles </w:t>
      </w:r>
      <w:r w:rsidRPr="00BF4225">
        <w:rPr>
          <w:rFonts w:ascii="Arial" w:hAnsi="Arial" w:cs="Arial"/>
          <w:b/>
          <w:sz w:val="22"/>
          <w:szCs w:val="22"/>
          <w:lang w:val="en-GB"/>
        </w:rPr>
        <w:t>(UCLA)]</w:t>
      </w:r>
    </w:p>
    <w:p w14:paraId="022ACBD9" w14:textId="77777777" w:rsidR="00BF4225" w:rsidRPr="00BF4225" w:rsidRDefault="00BF4225" w:rsidP="00C85FF4">
      <w:pPr>
        <w:rPr>
          <w:rFonts w:ascii="Arial" w:hAnsi="Arial" w:cs="Arial"/>
          <w:b/>
          <w:sz w:val="22"/>
          <w:szCs w:val="22"/>
          <w:lang w:val="en-GB"/>
        </w:rPr>
      </w:pPr>
    </w:p>
    <w:p w14:paraId="3EDAFD27" w14:textId="77777777" w:rsidR="00BF4225" w:rsidRPr="00BF4225" w:rsidRDefault="00BF4225" w:rsidP="00C85FF4">
      <w:pPr>
        <w:ind w:right="28"/>
        <w:rPr>
          <w:rFonts w:ascii="Arial" w:hAnsi="Arial" w:cs="Arial"/>
          <w:sz w:val="22"/>
          <w:szCs w:val="22"/>
          <w:lang w:val="en-GB"/>
        </w:rPr>
      </w:pPr>
      <w:r w:rsidRPr="00BF4225">
        <w:rPr>
          <w:rFonts w:ascii="Arial" w:hAnsi="Arial" w:cs="Arial"/>
          <w:sz w:val="22"/>
          <w:szCs w:val="22"/>
          <w:lang w:val="en-GB"/>
        </w:rPr>
        <w:t>Rats will be</w:t>
      </w:r>
      <w:bookmarkStart w:id="0" w:name="_GoBack"/>
      <w:bookmarkEnd w:id="0"/>
      <w:r w:rsidRPr="00BF4225">
        <w:rPr>
          <w:rFonts w:ascii="Arial" w:hAnsi="Arial" w:cs="Arial"/>
          <w:sz w:val="22"/>
          <w:szCs w:val="22"/>
          <w:lang w:val="en-GB"/>
        </w:rPr>
        <w:t xml:space="preserve"> used to identify biomarkers for the development of epilepsy after traumatic brain injury (TBI). Animals will undergo TBI with lateral fluid-percussion injury (FPI). Thereafter they will be examined in clinically translatable way by collecting blood samples, performing magnetic resonance imaging (MRI), and video-electroencephalogram (EEG) monitoring.</w:t>
      </w:r>
    </w:p>
    <w:p w14:paraId="722E9949" w14:textId="77777777" w:rsidR="00BF4225" w:rsidRPr="00BF4225" w:rsidRDefault="00BF4225" w:rsidP="00C85FF4">
      <w:pPr>
        <w:ind w:right="28"/>
        <w:rPr>
          <w:rFonts w:ascii="Arial" w:hAnsi="Arial" w:cs="Arial"/>
          <w:sz w:val="22"/>
          <w:szCs w:val="22"/>
          <w:lang w:val="en-GB"/>
        </w:rPr>
      </w:pPr>
    </w:p>
    <w:p w14:paraId="00BB6761" w14:textId="77777777" w:rsidR="00BF4225" w:rsidRPr="00BF4225" w:rsidRDefault="00BF4225" w:rsidP="00C85FF4">
      <w:pPr>
        <w:ind w:right="28"/>
        <w:rPr>
          <w:rFonts w:ascii="Arial" w:hAnsi="Arial" w:cs="Arial"/>
          <w:sz w:val="22"/>
          <w:szCs w:val="22"/>
          <w:lang w:val="en-GB"/>
        </w:rPr>
      </w:pPr>
      <w:r w:rsidRPr="00BF4225">
        <w:rPr>
          <w:rFonts w:ascii="Arial" w:hAnsi="Arial" w:cs="Arial"/>
          <w:sz w:val="22"/>
          <w:szCs w:val="22"/>
          <w:lang w:val="en-GB"/>
        </w:rPr>
        <w:t xml:space="preserve">Animals are anesthetized during the induction of TBI either using inhalation (2% </w:t>
      </w:r>
      <w:proofErr w:type="spellStart"/>
      <w:r w:rsidRPr="00BF4225">
        <w:rPr>
          <w:rFonts w:ascii="Arial" w:hAnsi="Arial" w:cs="Arial"/>
          <w:sz w:val="22"/>
          <w:szCs w:val="22"/>
          <w:lang w:val="en-GB"/>
        </w:rPr>
        <w:t>isoflurane</w:t>
      </w:r>
      <w:proofErr w:type="spellEnd"/>
      <w:r w:rsidRPr="00BF4225">
        <w:rPr>
          <w:rFonts w:ascii="Arial" w:hAnsi="Arial" w:cs="Arial"/>
          <w:sz w:val="22"/>
          <w:szCs w:val="22"/>
          <w:lang w:val="en-GB"/>
        </w:rPr>
        <w:t xml:space="preserve">) </w:t>
      </w:r>
      <w:proofErr w:type="spellStart"/>
      <w:r w:rsidRPr="00BF4225">
        <w:rPr>
          <w:rFonts w:ascii="Arial" w:hAnsi="Arial" w:cs="Arial"/>
          <w:sz w:val="22"/>
          <w:szCs w:val="22"/>
          <w:lang w:val="en-GB"/>
        </w:rPr>
        <w:t>anesthetics</w:t>
      </w:r>
      <w:proofErr w:type="spellEnd"/>
      <w:r w:rsidRPr="00BF4225">
        <w:rPr>
          <w:rFonts w:ascii="Arial" w:hAnsi="Arial" w:cs="Arial"/>
          <w:sz w:val="22"/>
          <w:szCs w:val="22"/>
          <w:lang w:val="en-GB"/>
        </w:rPr>
        <w:t xml:space="preserve">. During MRI animals are anesthetized with 2% </w:t>
      </w:r>
      <w:proofErr w:type="spellStart"/>
      <w:r w:rsidRPr="00BF4225">
        <w:rPr>
          <w:rFonts w:ascii="Arial" w:hAnsi="Arial" w:cs="Arial"/>
          <w:sz w:val="22"/>
          <w:szCs w:val="22"/>
          <w:lang w:val="en-GB"/>
        </w:rPr>
        <w:t>isoflurane</w:t>
      </w:r>
      <w:proofErr w:type="spellEnd"/>
      <w:r w:rsidRPr="00BF4225">
        <w:rPr>
          <w:rFonts w:ascii="Arial" w:hAnsi="Arial" w:cs="Arial"/>
          <w:sz w:val="22"/>
          <w:szCs w:val="22"/>
          <w:lang w:val="en-GB"/>
        </w:rPr>
        <w:t xml:space="preserve">. Blood will be collected from lateral tail vein according to 3R recommendations </w:t>
      </w:r>
      <w:r w:rsidRPr="00BF4225">
        <w:rPr>
          <w:rFonts w:ascii="Arial" w:hAnsi="Arial" w:cs="Arial"/>
          <w:color w:val="000000"/>
          <w:sz w:val="22"/>
          <w:szCs w:val="22"/>
          <w:lang w:val="en-US"/>
        </w:rPr>
        <w:t>(</w:t>
      </w:r>
      <w:hyperlink r:id="rId6" w:history="1">
        <w:r w:rsidRPr="00BF4225">
          <w:rPr>
            <w:rStyle w:val="Hyperlink"/>
            <w:rFonts w:ascii="Arial" w:hAnsi="Arial" w:cs="Arial"/>
            <w:sz w:val="22"/>
            <w:szCs w:val="22"/>
            <w:lang w:val="en-US"/>
          </w:rPr>
          <w:t>http://www.nc3rs.org.uk/bloodsamplingmicrosite/page.asp?id=420</w:t>
        </w:r>
      </w:hyperlink>
      <w:r w:rsidRPr="00BF4225">
        <w:rPr>
          <w:rStyle w:val="Hyperlink"/>
          <w:rFonts w:ascii="Arial" w:hAnsi="Arial" w:cs="Arial"/>
          <w:sz w:val="22"/>
          <w:szCs w:val="22"/>
          <w:lang w:val="en-US"/>
        </w:rPr>
        <w:t xml:space="preserve">) </w:t>
      </w:r>
      <w:r w:rsidRPr="00BF4225">
        <w:rPr>
          <w:rStyle w:val="Hyperlink"/>
          <w:rFonts w:ascii="Arial" w:hAnsi="Arial" w:cs="Arial"/>
          <w:color w:val="000000"/>
          <w:sz w:val="22"/>
          <w:szCs w:val="22"/>
          <w:lang w:val="en-US"/>
        </w:rPr>
        <w:t xml:space="preserve">while being anesthetized with </w:t>
      </w:r>
      <w:proofErr w:type="spellStart"/>
      <w:r w:rsidRPr="00BF4225">
        <w:rPr>
          <w:rStyle w:val="Hyperlink"/>
          <w:rFonts w:ascii="Arial" w:hAnsi="Arial" w:cs="Arial"/>
          <w:color w:val="000000"/>
          <w:sz w:val="22"/>
          <w:szCs w:val="22"/>
          <w:lang w:val="en-US"/>
        </w:rPr>
        <w:t>isoflurane</w:t>
      </w:r>
      <w:proofErr w:type="spellEnd"/>
      <w:r w:rsidRPr="00BF4225">
        <w:rPr>
          <w:rStyle w:val="Hyperlink"/>
          <w:rFonts w:ascii="Arial" w:hAnsi="Arial" w:cs="Arial"/>
          <w:color w:val="000000"/>
          <w:sz w:val="22"/>
          <w:szCs w:val="22"/>
          <w:lang w:val="en-US"/>
        </w:rPr>
        <w:t xml:space="preserve">. </w:t>
      </w:r>
      <w:proofErr w:type="spellStart"/>
      <w:r w:rsidRPr="00BF4225">
        <w:rPr>
          <w:rFonts w:ascii="Arial" w:hAnsi="Arial" w:cs="Arial"/>
          <w:sz w:val="22"/>
          <w:szCs w:val="22"/>
          <w:lang w:val="en-GB"/>
        </w:rPr>
        <w:t>Xylocain</w:t>
      </w:r>
      <w:proofErr w:type="spellEnd"/>
      <w:r w:rsidRPr="00BF4225">
        <w:rPr>
          <w:rFonts w:ascii="Arial" w:hAnsi="Arial" w:cs="Arial"/>
          <w:sz w:val="22"/>
          <w:szCs w:val="22"/>
          <w:lang w:val="en-GB"/>
        </w:rPr>
        <w:t xml:space="preserve"> cream will be used for local pain-relief around the wound. If any sign of infection is seen, wound will be treated with antibiotics (</w:t>
      </w:r>
      <w:proofErr w:type="spellStart"/>
      <w:r w:rsidRPr="00BF4225">
        <w:rPr>
          <w:rFonts w:ascii="Arial" w:hAnsi="Arial" w:cs="Arial"/>
          <w:sz w:val="22"/>
          <w:szCs w:val="22"/>
          <w:lang w:val="en-GB"/>
        </w:rPr>
        <w:t>Basibact</w:t>
      </w:r>
      <w:proofErr w:type="spellEnd"/>
      <w:r w:rsidRPr="00BF4225">
        <w:rPr>
          <w:rFonts w:ascii="Arial" w:hAnsi="Arial" w:cs="Arial"/>
          <w:sz w:val="22"/>
          <w:szCs w:val="22"/>
          <w:lang w:val="en-GB"/>
        </w:rPr>
        <w:t xml:space="preserve">). During the first days after TBI, rats will receive subcutaneous injections of saline and glucose. </w:t>
      </w:r>
      <w:r w:rsidRPr="00BF4225">
        <w:rPr>
          <w:rFonts w:ascii="Arial" w:hAnsi="Arial" w:cs="Arial"/>
          <w:kern w:val="12"/>
          <w:sz w:val="22"/>
          <w:szCs w:val="22"/>
          <w:lang w:val="en-US"/>
        </w:rPr>
        <w:t xml:space="preserve">Animals are allowed to recover fully from the effects of general anesthesia in a </w:t>
      </w:r>
      <w:proofErr w:type="spellStart"/>
      <w:r w:rsidRPr="00BF4225">
        <w:rPr>
          <w:rFonts w:ascii="Arial" w:hAnsi="Arial" w:cs="Arial"/>
          <w:kern w:val="12"/>
          <w:sz w:val="22"/>
          <w:szCs w:val="22"/>
          <w:lang w:val="en-US"/>
        </w:rPr>
        <w:t>normothermic</w:t>
      </w:r>
      <w:proofErr w:type="spellEnd"/>
      <w:r w:rsidRPr="00BF4225">
        <w:rPr>
          <w:rFonts w:ascii="Arial" w:hAnsi="Arial" w:cs="Arial"/>
          <w:kern w:val="12"/>
          <w:sz w:val="22"/>
          <w:szCs w:val="22"/>
          <w:lang w:val="en-US"/>
        </w:rPr>
        <w:t xml:space="preserve"> chamber before being returned to the animal care facility.  </w:t>
      </w:r>
    </w:p>
    <w:p w14:paraId="3079B068" w14:textId="77777777" w:rsidR="00BF4225" w:rsidRPr="00BF4225" w:rsidRDefault="00BF4225" w:rsidP="00C85FF4">
      <w:pPr>
        <w:ind w:right="28"/>
        <w:rPr>
          <w:rFonts w:ascii="Arial" w:hAnsi="Arial" w:cs="Arial"/>
          <w:sz w:val="22"/>
          <w:szCs w:val="22"/>
          <w:lang w:val="en-GB"/>
        </w:rPr>
      </w:pPr>
    </w:p>
    <w:p w14:paraId="47715A27" w14:textId="77777777" w:rsidR="00BF4225" w:rsidRPr="00BF4225" w:rsidRDefault="00BF4225" w:rsidP="00C85FF4">
      <w:pPr>
        <w:ind w:right="28"/>
        <w:rPr>
          <w:rFonts w:ascii="Arial" w:hAnsi="Arial" w:cs="Arial"/>
          <w:sz w:val="22"/>
          <w:szCs w:val="22"/>
          <w:lang w:val="en-GB"/>
        </w:rPr>
      </w:pPr>
      <w:r w:rsidRPr="00BF4225">
        <w:rPr>
          <w:rFonts w:ascii="Arial" w:hAnsi="Arial" w:cs="Arial"/>
          <w:sz w:val="22"/>
          <w:szCs w:val="22"/>
          <w:lang w:val="en-GB"/>
        </w:rPr>
        <w:t xml:space="preserve">Adult (11 </w:t>
      </w:r>
      <w:proofErr w:type="spellStart"/>
      <w:r w:rsidRPr="00BF4225">
        <w:rPr>
          <w:rFonts w:ascii="Arial" w:hAnsi="Arial" w:cs="Arial"/>
          <w:sz w:val="22"/>
          <w:szCs w:val="22"/>
          <w:lang w:val="en-GB"/>
        </w:rPr>
        <w:t>wk</w:t>
      </w:r>
      <w:proofErr w:type="spellEnd"/>
      <w:r w:rsidRPr="00BF4225">
        <w:rPr>
          <w:rFonts w:ascii="Arial" w:hAnsi="Arial" w:cs="Arial"/>
          <w:sz w:val="22"/>
          <w:szCs w:val="22"/>
          <w:lang w:val="en-GB"/>
        </w:rPr>
        <w:t xml:space="preserve"> old in the beginning of study, 325 </w:t>
      </w:r>
      <w:r w:rsidRPr="00BF4225">
        <w:rPr>
          <w:rFonts w:ascii="Arial" w:hAnsi="Arial" w:cs="Arial"/>
          <w:sz w:val="22"/>
          <w:szCs w:val="22"/>
          <w:u w:val="single"/>
          <w:lang w:val="en-GB"/>
        </w:rPr>
        <w:t>+</w:t>
      </w:r>
      <w:r w:rsidRPr="00BF4225">
        <w:rPr>
          <w:rFonts w:ascii="Arial" w:hAnsi="Arial" w:cs="Arial"/>
          <w:sz w:val="22"/>
          <w:szCs w:val="22"/>
          <w:lang w:val="en-GB"/>
        </w:rPr>
        <w:t xml:space="preserve"> 25 g) male Sprague-</w:t>
      </w:r>
      <w:proofErr w:type="spellStart"/>
      <w:r w:rsidRPr="00BF4225">
        <w:rPr>
          <w:rFonts w:ascii="Arial" w:hAnsi="Arial" w:cs="Arial"/>
          <w:sz w:val="22"/>
          <w:szCs w:val="22"/>
          <w:lang w:val="en-GB"/>
        </w:rPr>
        <w:t>Dawley</w:t>
      </w:r>
      <w:proofErr w:type="spellEnd"/>
      <w:r w:rsidRPr="00BF4225">
        <w:rPr>
          <w:rFonts w:ascii="Arial" w:hAnsi="Arial" w:cs="Arial"/>
          <w:sz w:val="22"/>
          <w:szCs w:val="22"/>
          <w:lang w:val="en-GB"/>
        </w:rPr>
        <w:t xml:space="preserve"> rats (UEF - Harlan, The Netherlands; UM – Animal Resources Centre, Canning Vale, WA, Australia; UCLA – Harlan, Livermore, CA, USA) will be used.  </w:t>
      </w:r>
    </w:p>
    <w:p w14:paraId="629C5D60" w14:textId="77777777" w:rsidR="00BF4225" w:rsidRPr="00BF4225" w:rsidRDefault="00BF4225" w:rsidP="00C85FF4">
      <w:pPr>
        <w:ind w:right="28"/>
        <w:rPr>
          <w:rFonts w:ascii="Arial" w:hAnsi="Arial" w:cs="Arial"/>
          <w:sz w:val="22"/>
          <w:szCs w:val="22"/>
          <w:lang w:val="en-GB"/>
        </w:rPr>
      </w:pPr>
    </w:p>
    <w:p w14:paraId="23B70DE2" w14:textId="77777777" w:rsidR="00BF4225" w:rsidRPr="00BF4225" w:rsidRDefault="00BF4225" w:rsidP="00C85FF4">
      <w:pPr>
        <w:ind w:right="28"/>
        <w:rPr>
          <w:rFonts w:ascii="Arial" w:hAnsi="Arial" w:cs="Arial"/>
          <w:sz w:val="22"/>
          <w:szCs w:val="22"/>
          <w:lang w:val="en-GB"/>
        </w:rPr>
      </w:pPr>
      <w:r w:rsidRPr="00BF4225">
        <w:rPr>
          <w:rFonts w:ascii="Arial" w:hAnsi="Arial" w:cs="Arial"/>
          <w:sz w:val="22"/>
          <w:szCs w:val="22"/>
          <w:lang w:val="en-GB"/>
        </w:rPr>
        <w:t>Power analysis shows that we need 21 TBI rats with epilepsy, 63 TBI rats without epilepsy, and to control the experiment, we need 21 sham-operated controls per cohort (total two cohorts). Consequently, at each of the 3 study sites (UEF, UM, UCLA) total of 65 rats (55 TBI, 10 sham) will be included in each of the 2 cohorts (SA1 1</w:t>
      </w:r>
      <w:r w:rsidRPr="00BF4225">
        <w:rPr>
          <w:rFonts w:ascii="Arial" w:hAnsi="Arial" w:cs="Arial"/>
          <w:sz w:val="22"/>
          <w:szCs w:val="22"/>
          <w:vertAlign w:val="superscript"/>
          <w:lang w:val="en-GB"/>
        </w:rPr>
        <w:t>st</w:t>
      </w:r>
      <w:r w:rsidRPr="00BF4225">
        <w:rPr>
          <w:rFonts w:ascii="Arial" w:hAnsi="Arial" w:cs="Arial"/>
          <w:sz w:val="22"/>
          <w:szCs w:val="22"/>
          <w:lang w:val="en-GB"/>
        </w:rPr>
        <w:t xml:space="preserve"> cohort, SA2 2</w:t>
      </w:r>
      <w:r w:rsidRPr="00BF4225">
        <w:rPr>
          <w:rFonts w:ascii="Arial" w:hAnsi="Arial" w:cs="Arial"/>
          <w:sz w:val="22"/>
          <w:szCs w:val="22"/>
          <w:vertAlign w:val="superscript"/>
          <w:lang w:val="en-GB"/>
        </w:rPr>
        <w:t>nd</w:t>
      </w:r>
      <w:r w:rsidRPr="00BF4225">
        <w:rPr>
          <w:rFonts w:ascii="Arial" w:hAnsi="Arial" w:cs="Arial"/>
          <w:sz w:val="22"/>
          <w:szCs w:val="22"/>
          <w:lang w:val="en-GB"/>
        </w:rPr>
        <w:t xml:space="preserve"> cohort) as we expect acute (&lt;48 h) post-TBI mortality to be about 30 % (17 rats) and follow-up mortality 25% (10 rats; due to injury, </w:t>
      </w:r>
      <w:proofErr w:type="spellStart"/>
      <w:r w:rsidRPr="00BF4225">
        <w:rPr>
          <w:rFonts w:ascii="Arial" w:hAnsi="Arial" w:cs="Arial"/>
          <w:sz w:val="22"/>
          <w:szCs w:val="22"/>
          <w:lang w:val="en-GB"/>
        </w:rPr>
        <w:t>anesthesia</w:t>
      </w:r>
      <w:proofErr w:type="spellEnd"/>
      <w:r w:rsidRPr="00BF4225">
        <w:rPr>
          <w:rFonts w:ascii="Arial" w:hAnsi="Arial" w:cs="Arial"/>
          <w:sz w:val="22"/>
          <w:szCs w:val="22"/>
          <w:lang w:val="en-GB"/>
        </w:rPr>
        <w:t xml:space="preserve"> for MRI; loss of electrode headset leading to euthanasia) resulting in 28 TBI rats (7 with epilepsy, 21 without epilepsy) and 7 sham-operated animals to be analysed per site per SA. To achieve statistical power, data from the 3 study sites (UEF, UM, UCLA) will be combined. All experiments have been designed to minimize the number of animals, but not sacrificing the </w:t>
      </w:r>
      <w:r w:rsidRPr="00BF4225">
        <w:rPr>
          <w:rFonts w:ascii="Arial" w:hAnsi="Arial" w:cs="Arial"/>
          <w:color w:val="000000"/>
          <w:sz w:val="22"/>
          <w:szCs w:val="22"/>
          <w:lang w:val="en-US"/>
        </w:rPr>
        <w:t>r</w:t>
      </w:r>
      <w:r w:rsidRPr="00BF4225">
        <w:rPr>
          <w:rFonts w:ascii="Arial" w:hAnsi="Arial" w:cs="Arial"/>
          <w:sz w:val="22"/>
          <w:szCs w:val="22"/>
          <w:lang w:val="en-US"/>
        </w:rPr>
        <w:t>igorous experimental designs for robust and unbiased results</w:t>
      </w:r>
      <w:r w:rsidRPr="00BF4225">
        <w:rPr>
          <w:rFonts w:ascii="Arial" w:hAnsi="Arial" w:cs="Arial"/>
          <w:sz w:val="22"/>
          <w:szCs w:val="22"/>
          <w:lang w:val="en-GB"/>
        </w:rPr>
        <w:t xml:space="preserve"> (power analysis for plasma molecules, video-EEG, MRI) using 3R principles.</w:t>
      </w:r>
    </w:p>
    <w:p w14:paraId="409C610E" w14:textId="77777777" w:rsidR="00BF4225" w:rsidRPr="00BF4225" w:rsidRDefault="00BF4225" w:rsidP="00C85FF4">
      <w:pPr>
        <w:rPr>
          <w:rFonts w:ascii="Arial" w:hAnsi="Arial" w:cs="Arial"/>
          <w:b/>
          <w:sz w:val="22"/>
          <w:szCs w:val="22"/>
          <w:lang w:val="en-GB"/>
        </w:rPr>
      </w:pPr>
    </w:p>
    <w:p w14:paraId="4A443AA4" w14:textId="77777777" w:rsidR="00BF4225" w:rsidRPr="00BF4225" w:rsidRDefault="00BF4225" w:rsidP="00C85FF4">
      <w:pPr>
        <w:numPr>
          <w:ilvl w:val="0"/>
          <w:numId w:val="1"/>
        </w:numPr>
        <w:ind w:left="284" w:hanging="284"/>
        <w:rPr>
          <w:rFonts w:ascii="Arial" w:hAnsi="Arial" w:cs="Arial"/>
          <w:b/>
          <w:sz w:val="22"/>
          <w:szCs w:val="22"/>
          <w:lang w:val="en-GB"/>
        </w:rPr>
      </w:pPr>
      <w:r w:rsidRPr="00BF4225">
        <w:rPr>
          <w:rFonts w:ascii="Arial" w:hAnsi="Arial" w:cs="Arial"/>
          <w:b/>
          <w:sz w:val="22"/>
          <w:szCs w:val="22"/>
          <w:lang w:val="en-GB"/>
        </w:rPr>
        <w:t>Justification of use of animals [University of Kuopio (UEF), University of Melbourne</w:t>
      </w:r>
      <w:r>
        <w:rPr>
          <w:rFonts w:ascii="Arial" w:hAnsi="Arial" w:cs="Arial"/>
          <w:b/>
          <w:sz w:val="22"/>
          <w:szCs w:val="22"/>
          <w:lang w:val="en-GB"/>
        </w:rPr>
        <w:t xml:space="preserve"> (UM), University of California, Los Angeles </w:t>
      </w:r>
      <w:r w:rsidRPr="00BF4225">
        <w:rPr>
          <w:rFonts w:ascii="Arial" w:hAnsi="Arial" w:cs="Arial"/>
          <w:b/>
          <w:sz w:val="22"/>
          <w:szCs w:val="22"/>
          <w:lang w:val="en-GB"/>
        </w:rPr>
        <w:t>(UCLA)]</w:t>
      </w:r>
    </w:p>
    <w:p w14:paraId="368A7647" w14:textId="77777777" w:rsidR="00BF4225" w:rsidRPr="00BF4225" w:rsidRDefault="00BF4225" w:rsidP="00C85FF4">
      <w:pPr>
        <w:ind w:right="28"/>
        <w:rPr>
          <w:rFonts w:ascii="Arial" w:hAnsi="Arial" w:cs="Arial"/>
          <w:b/>
          <w:sz w:val="22"/>
          <w:szCs w:val="22"/>
          <w:lang w:val="en-GB"/>
        </w:rPr>
      </w:pPr>
    </w:p>
    <w:p w14:paraId="78E84D51" w14:textId="77777777" w:rsidR="00BF4225" w:rsidRPr="00BF4225" w:rsidRDefault="00BF4225" w:rsidP="00C85FF4">
      <w:pPr>
        <w:ind w:right="28"/>
        <w:rPr>
          <w:rFonts w:ascii="Arial" w:hAnsi="Arial" w:cs="Arial"/>
          <w:sz w:val="22"/>
          <w:szCs w:val="22"/>
          <w:lang w:val="en-GB"/>
        </w:rPr>
      </w:pPr>
      <w:r w:rsidRPr="00BF4225">
        <w:rPr>
          <w:rFonts w:ascii="Arial" w:hAnsi="Arial" w:cs="Arial"/>
          <w:sz w:val="22"/>
          <w:szCs w:val="22"/>
          <w:lang w:val="en-GB"/>
        </w:rPr>
        <w:t xml:space="preserve">Rats will be used due to 4 main reasons: </w:t>
      </w:r>
      <w:r w:rsidRPr="00BF4225">
        <w:rPr>
          <w:rFonts w:ascii="Arial" w:hAnsi="Arial" w:cs="Arial"/>
          <w:b/>
          <w:sz w:val="22"/>
          <w:szCs w:val="22"/>
          <w:lang w:val="en-GB"/>
        </w:rPr>
        <w:t>(1)</w:t>
      </w:r>
      <w:r w:rsidRPr="00BF4225">
        <w:rPr>
          <w:rFonts w:ascii="Arial" w:hAnsi="Arial" w:cs="Arial"/>
          <w:sz w:val="22"/>
          <w:szCs w:val="22"/>
          <w:lang w:val="en-GB"/>
        </w:rPr>
        <w:t xml:space="preserve"> </w:t>
      </w:r>
      <w:r w:rsidRPr="00BF4225">
        <w:rPr>
          <w:rFonts w:ascii="Arial" w:hAnsi="Arial" w:cs="Arial"/>
          <w:kern w:val="12"/>
          <w:sz w:val="22"/>
          <w:szCs w:val="22"/>
          <w:lang w:val="en-US"/>
        </w:rPr>
        <w:t xml:space="preserve">These studies attempt to examine the mechanistic factors that signal about pathologic changes which gradually develop after TBI, such as </w:t>
      </w:r>
      <w:proofErr w:type="spellStart"/>
      <w:r w:rsidRPr="00BF4225">
        <w:rPr>
          <w:rFonts w:ascii="Arial" w:hAnsi="Arial" w:cs="Arial"/>
          <w:kern w:val="12"/>
          <w:sz w:val="22"/>
          <w:szCs w:val="22"/>
          <w:lang w:val="en-US"/>
        </w:rPr>
        <w:t>neurodegeneration</w:t>
      </w:r>
      <w:proofErr w:type="spellEnd"/>
      <w:r w:rsidRPr="00BF4225">
        <w:rPr>
          <w:rFonts w:ascii="Arial" w:hAnsi="Arial" w:cs="Arial"/>
          <w:kern w:val="12"/>
          <w:sz w:val="22"/>
          <w:szCs w:val="22"/>
          <w:lang w:val="en-US"/>
        </w:rPr>
        <w:t xml:space="preserve">, </w:t>
      </w:r>
      <w:proofErr w:type="spellStart"/>
      <w:r w:rsidRPr="00BF4225">
        <w:rPr>
          <w:rFonts w:ascii="Arial" w:hAnsi="Arial" w:cs="Arial"/>
          <w:kern w:val="12"/>
          <w:sz w:val="22"/>
          <w:szCs w:val="22"/>
          <w:lang w:val="en-US"/>
        </w:rPr>
        <w:t>neuroinflammation</w:t>
      </w:r>
      <w:proofErr w:type="spellEnd"/>
      <w:r w:rsidRPr="00BF4225">
        <w:rPr>
          <w:rFonts w:ascii="Arial" w:hAnsi="Arial" w:cs="Arial"/>
          <w:kern w:val="12"/>
          <w:sz w:val="22"/>
          <w:szCs w:val="22"/>
          <w:lang w:val="en-US"/>
        </w:rPr>
        <w:t xml:space="preserve">, axonal/dendritic damage/growth, and metabolic changes. Since these relationships are unknown in the living brain, they cannot be adequately simulated using computer models, and the complex interplay of brain activity and the anatomical substrate(s) of neuroplasticity after injury cannot be modeled in cell cultures. </w:t>
      </w:r>
      <w:r w:rsidRPr="00BF4225">
        <w:rPr>
          <w:rFonts w:ascii="Arial" w:hAnsi="Arial" w:cs="Arial"/>
          <w:b/>
          <w:kern w:val="12"/>
          <w:sz w:val="22"/>
          <w:szCs w:val="22"/>
          <w:lang w:val="en-US"/>
        </w:rPr>
        <w:t>(2)</w:t>
      </w:r>
      <w:r w:rsidRPr="00BF4225">
        <w:rPr>
          <w:rFonts w:ascii="Arial" w:hAnsi="Arial" w:cs="Arial"/>
          <w:kern w:val="12"/>
          <w:sz w:val="22"/>
          <w:szCs w:val="22"/>
          <w:lang w:val="en-US"/>
        </w:rPr>
        <w:t xml:space="preserve"> </w:t>
      </w:r>
      <w:r w:rsidRPr="00BF4225">
        <w:rPr>
          <w:rFonts w:ascii="Arial" w:hAnsi="Arial" w:cs="Arial"/>
          <w:sz w:val="22"/>
          <w:szCs w:val="22"/>
          <w:lang w:val="en-US"/>
        </w:rPr>
        <w:t>The assessment of epileptogenesis requires a live animal that is capable of generating spontaneous recurrent seizures, and therefore cannot be achieved with in-vitro or ex-vivo methods</w:t>
      </w:r>
      <w:r w:rsidRPr="00BF4225">
        <w:rPr>
          <w:rFonts w:ascii="Arial" w:hAnsi="Arial" w:cs="Arial"/>
          <w:sz w:val="22"/>
          <w:szCs w:val="22"/>
          <w:lang w:val="en-GB"/>
        </w:rPr>
        <w:t xml:space="preserve">. </w:t>
      </w:r>
      <w:r w:rsidRPr="00BF4225">
        <w:rPr>
          <w:rFonts w:ascii="Arial" w:hAnsi="Arial" w:cs="Arial"/>
          <w:b/>
          <w:sz w:val="22"/>
          <w:szCs w:val="22"/>
          <w:lang w:val="en-GB"/>
        </w:rPr>
        <w:t>(3)</w:t>
      </w:r>
      <w:r w:rsidRPr="00BF4225">
        <w:rPr>
          <w:rFonts w:ascii="Arial" w:hAnsi="Arial" w:cs="Arial"/>
          <w:sz w:val="22"/>
          <w:szCs w:val="22"/>
          <w:lang w:val="en-GB"/>
        </w:rPr>
        <w:t xml:space="preserve"> Studies presented here, including long-term video-EEG follow-up of epileptogenesis and combined assessment of histology with imaging are not possible in humans. </w:t>
      </w:r>
      <w:r w:rsidRPr="00BF4225">
        <w:rPr>
          <w:rFonts w:ascii="Arial" w:hAnsi="Arial" w:cs="Arial"/>
          <w:b/>
          <w:sz w:val="22"/>
          <w:szCs w:val="22"/>
          <w:lang w:val="en-GB"/>
        </w:rPr>
        <w:t>(4)</w:t>
      </w:r>
      <w:r w:rsidRPr="00BF4225">
        <w:rPr>
          <w:rFonts w:ascii="Arial" w:hAnsi="Arial" w:cs="Arial"/>
          <w:sz w:val="22"/>
          <w:szCs w:val="22"/>
          <w:lang w:val="en-GB"/>
        </w:rPr>
        <w:t xml:space="preserve"> TBI in rats recapitulates many of the key features of human TBI including similar histopathology, motor impairment, memory decline and epileptogenesis, making the model proposed as feasible for studies that are relevant for the aftermath of human TBI. </w:t>
      </w:r>
      <w:r w:rsidRPr="00BF4225">
        <w:rPr>
          <w:rFonts w:ascii="Arial" w:hAnsi="Arial" w:cs="Arial"/>
          <w:b/>
          <w:sz w:val="22"/>
          <w:szCs w:val="22"/>
          <w:lang w:val="en-GB"/>
        </w:rPr>
        <w:t>(5)</w:t>
      </w:r>
      <w:r w:rsidRPr="00BF4225">
        <w:rPr>
          <w:rFonts w:ascii="Arial" w:hAnsi="Arial" w:cs="Arial"/>
          <w:sz w:val="22"/>
          <w:szCs w:val="22"/>
          <w:lang w:val="en-GB"/>
        </w:rPr>
        <w:t xml:space="preserve"> Exploration of promising novel treatments requires preclinical testing of drugs in animal models, which is most often done in rat models. This justifies the use of rats in the present experiment as biomarkers identified would not only be useful for clinical studies, but also for stratification of animals for preclinical studies of investigational new treatments. </w:t>
      </w:r>
      <w:r w:rsidRPr="00BF4225">
        <w:rPr>
          <w:rFonts w:ascii="Arial" w:hAnsi="Arial" w:cs="Arial"/>
          <w:b/>
          <w:sz w:val="22"/>
          <w:szCs w:val="22"/>
          <w:lang w:val="en-GB"/>
        </w:rPr>
        <w:t>(6)</w:t>
      </w:r>
      <w:r w:rsidRPr="00BF4225">
        <w:rPr>
          <w:rFonts w:ascii="Arial" w:hAnsi="Arial" w:cs="Arial"/>
          <w:sz w:val="22"/>
          <w:szCs w:val="22"/>
          <w:lang w:val="en-GB"/>
        </w:rPr>
        <w:t xml:space="preserve"> Spontaneous seizures are the gold-standard outcome measure to classify animals to epilepsy vs. no-epilepsy groups, and are needed for assessment of biomarker sensitivity and specificity. Current video-EEG systems </w:t>
      </w:r>
      <w:proofErr w:type="gramStart"/>
      <w:r w:rsidRPr="00BF4225">
        <w:rPr>
          <w:rFonts w:ascii="Arial" w:hAnsi="Arial" w:cs="Arial"/>
          <w:sz w:val="22"/>
          <w:szCs w:val="22"/>
          <w:lang w:val="en-GB"/>
        </w:rPr>
        <w:t>head pieces</w:t>
      </w:r>
      <w:proofErr w:type="gramEnd"/>
      <w:r w:rsidRPr="00BF4225">
        <w:rPr>
          <w:rFonts w:ascii="Arial" w:hAnsi="Arial" w:cs="Arial"/>
          <w:sz w:val="22"/>
          <w:szCs w:val="22"/>
          <w:lang w:val="en-GB"/>
        </w:rPr>
        <w:t xml:space="preserve"> are still relatively heavy and would cause extra discomfort and restriction of mobility if, for example, mice would be used instead of rats.  </w:t>
      </w:r>
      <w:r w:rsidRPr="00BF4225">
        <w:rPr>
          <w:rFonts w:ascii="Arial" w:hAnsi="Arial" w:cs="Arial"/>
          <w:b/>
          <w:sz w:val="22"/>
          <w:szCs w:val="22"/>
          <w:lang w:val="en-GB"/>
        </w:rPr>
        <w:t>(7)</w:t>
      </w:r>
      <w:r w:rsidRPr="00BF4225">
        <w:rPr>
          <w:rFonts w:ascii="Arial" w:hAnsi="Arial" w:cs="Arial"/>
          <w:sz w:val="22"/>
          <w:szCs w:val="22"/>
          <w:lang w:val="en-GB"/>
        </w:rPr>
        <w:t xml:space="preserve"> The relatively large size of the rat brain (e.g., as compared to the mouse brain) makes it significantly easier to obtain good signal-to-noise MRI data. Furthermore it poses much less problems regarding to magnetic field </w:t>
      </w:r>
      <w:proofErr w:type="spellStart"/>
      <w:r w:rsidRPr="00BF4225">
        <w:rPr>
          <w:rFonts w:ascii="Arial" w:hAnsi="Arial" w:cs="Arial"/>
          <w:sz w:val="22"/>
          <w:szCs w:val="22"/>
          <w:lang w:val="en-GB"/>
        </w:rPr>
        <w:t>inhomogeneities</w:t>
      </w:r>
      <w:proofErr w:type="spellEnd"/>
      <w:r w:rsidRPr="00BF4225">
        <w:rPr>
          <w:rFonts w:ascii="Arial" w:hAnsi="Arial" w:cs="Arial"/>
          <w:sz w:val="22"/>
          <w:szCs w:val="22"/>
          <w:lang w:val="en-GB"/>
        </w:rPr>
        <w:t xml:space="preserve"> caused by </w:t>
      </w:r>
      <w:proofErr w:type="gramStart"/>
      <w:r w:rsidRPr="00BF4225">
        <w:rPr>
          <w:rFonts w:ascii="Arial" w:hAnsi="Arial" w:cs="Arial"/>
          <w:sz w:val="22"/>
          <w:szCs w:val="22"/>
          <w:lang w:val="en-GB"/>
        </w:rPr>
        <w:t xml:space="preserve">different  </w:t>
      </w:r>
      <w:r w:rsidRPr="00BF4225">
        <w:rPr>
          <w:rFonts w:ascii="Arial" w:hAnsi="Arial" w:cs="Arial"/>
          <w:sz w:val="22"/>
          <w:szCs w:val="22"/>
          <w:lang w:val="en-GB"/>
        </w:rPr>
        <w:lastRenderedPageBreak/>
        <w:t>magnetic</w:t>
      </w:r>
      <w:proofErr w:type="gramEnd"/>
      <w:r w:rsidRPr="00BF4225">
        <w:rPr>
          <w:rFonts w:ascii="Arial" w:hAnsi="Arial" w:cs="Arial"/>
          <w:sz w:val="22"/>
          <w:szCs w:val="22"/>
          <w:lang w:val="en-GB"/>
        </w:rPr>
        <w:t xml:space="preserve"> susceptibilities in tissue interfaces than the smaller mouse brain, which is critical factor for data quality in EPI based DTI approaches.</w:t>
      </w:r>
    </w:p>
    <w:p w14:paraId="02EB203B" w14:textId="77777777" w:rsidR="00BF4225" w:rsidRPr="00BF4225" w:rsidRDefault="00BF4225" w:rsidP="00C85FF4">
      <w:pPr>
        <w:pStyle w:val="ListParagraph"/>
        <w:ind w:left="284" w:hanging="284"/>
        <w:rPr>
          <w:rFonts w:ascii="Arial" w:hAnsi="Arial" w:cs="Arial"/>
          <w:b/>
          <w:sz w:val="22"/>
          <w:szCs w:val="22"/>
          <w:lang w:val="en-GB"/>
        </w:rPr>
      </w:pPr>
    </w:p>
    <w:p w14:paraId="11401808" w14:textId="77777777" w:rsidR="00BF4225" w:rsidRPr="00BF4225" w:rsidRDefault="00BF4225" w:rsidP="00C85FF4">
      <w:pPr>
        <w:numPr>
          <w:ilvl w:val="0"/>
          <w:numId w:val="1"/>
        </w:numPr>
        <w:ind w:left="284" w:hanging="284"/>
        <w:rPr>
          <w:rFonts w:ascii="Arial" w:hAnsi="Arial" w:cs="Arial"/>
          <w:b/>
          <w:sz w:val="22"/>
          <w:szCs w:val="22"/>
          <w:lang w:val="en-GB"/>
        </w:rPr>
      </w:pPr>
      <w:r w:rsidRPr="00BF4225">
        <w:rPr>
          <w:rFonts w:ascii="Arial" w:hAnsi="Arial" w:cs="Arial"/>
          <w:b/>
          <w:sz w:val="22"/>
          <w:szCs w:val="22"/>
          <w:lang w:val="en-GB"/>
        </w:rPr>
        <w:t>Veterinary care [University of Kuopio (UEF), University of Melbourne (U</w:t>
      </w:r>
      <w:r>
        <w:rPr>
          <w:rFonts w:ascii="Arial" w:hAnsi="Arial" w:cs="Arial"/>
          <w:b/>
          <w:sz w:val="22"/>
          <w:szCs w:val="22"/>
          <w:lang w:val="en-GB"/>
        </w:rPr>
        <w:t xml:space="preserve">M), University of California, Los Angeles </w:t>
      </w:r>
      <w:r w:rsidRPr="00BF4225">
        <w:rPr>
          <w:rFonts w:ascii="Arial" w:hAnsi="Arial" w:cs="Arial"/>
          <w:b/>
          <w:sz w:val="22"/>
          <w:szCs w:val="22"/>
          <w:lang w:val="en-GB"/>
        </w:rPr>
        <w:t>(UCLA)]</w:t>
      </w:r>
    </w:p>
    <w:p w14:paraId="62E69EE8" w14:textId="77777777" w:rsidR="00BF4225" w:rsidRPr="00BF4225" w:rsidRDefault="00BF4225" w:rsidP="00C85FF4">
      <w:pPr>
        <w:rPr>
          <w:rFonts w:ascii="Arial" w:hAnsi="Arial" w:cs="Arial"/>
          <w:b/>
          <w:sz w:val="22"/>
          <w:szCs w:val="22"/>
          <w:lang w:val="en-GB"/>
        </w:rPr>
      </w:pPr>
    </w:p>
    <w:p w14:paraId="446B1D5F" w14:textId="77777777" w:rsidR="00BF4225" w:rsidRPr="00BF4225" w:rsidRDefault="00BF4225" w:rsidP="00C85FF4">
      <w:pPr>
        <w:rPr>
          <w:rFonts w:ascii="Arial" w:hAnsi="Arial" w:cs="Arial"/>
          <w:sz w:val="22"/>
          <w:szCs w:val="22"/>
          <w:lang w:val="en-GB"/>
        </w:rPr>
      </w:pPr>
      <w:r w:rsidRPr="00BF4225">
        <w:rPr>
          <w:rFonts w:ascii="Arial" w:hAnsi="Arial" w:cs="Arial"/>
          <w:kern w:val="12"/>
          <w:sz w:val="22"/>
          <w:szCs w:val="22"/>
          <w:lang w:val="en-US"/>
        </w:rPr>
        <w:t xml:space="preserve">The animals will be housed in an approved animal facility, which is maintained under supervision of the vivarium staff. </w:t>
      </w:r>
      <w:r w:rsidRPr="00BF4225">
        <w:rPr>
          <w:rFonts w:ascii="Arial" w:hAnsi="Arial" w:cs="Arial"/>
          <w:sz w:val="22"/>
          <w:szCs w:val="22"/>
          <w:lang w:val="en-GB"/>
        </w:rPr>
        <w:t xml:space="preserve">Veterinary expertise is continuously available. </w:t>
      </w:r>
      <w:r w:rsidRPr="00BF4225">
        <w:rPr>
          <w:rFonts w:ascii="Arial" w:hAnsi="Arial" w:cs="Arial"/>
          <w:kern w:val="12"/>
          <w:sz w:val="22"/>
          <w:szCs w:val="22"/>
          <w:lang w:val="en-US"/>
        </w:rPr>
        <w:t xml:space="preserve">Animals are single-housed together in a clear plastic bin (20X10X10 inches) that is lined with bedding material. Food and water are available </w:t>
      </w:r>
      <w:r w:rsidRPr="00BF4225">
        <w:rPr>
          <w:rFonts w:ascii="Arial" w:hAnsi="Arial" w:cs="Arial"/>
          <w:i/>
          <w:kern w:val="12"/>
          <w:sz w:val="22"/>
          <w:szCs w:val="22"/>
          <w:lang w:val="en-US"/>
        </w:rPr>
        <w:t>ad libitum</w:t>
      </w:r>
      <w:r w:rsidRPr="00BF4225">
        <w:rPr>
          <w:rFonts w:ascii="Arial" w:hAnsi="Arial" w:cs="Arial"/>
          <w:kern w:val="12"/>
          <w:sz w:val="22"/>
          <w:szCs w:val="22"/>
          <w:lang w:val="en-US"/>
        </w:rPr>
        <w:t xml:space="preserve">. Cages are cleaned twice weekly and food and water are checked daily. </w:t>
      </w:r>
      <w:r w:rsidRPr="00BF4225">
        <w:rPr>
          <w:rFonts w:ascii="Arial" w:hAnsi="Arial" w:cs="Arial"/>
          <w:sz w:val="22"/>
          <w:szCs w:val="22"/>
          <w:lang w:val="en-US"/>
        </w:rPr>
        <w:t xml:space="preserve">Daily monitoring of rats includes (a) general </w:t>
      </w:r>
      <w:proofErr w:type="gramStart"/>
      <w:r w:rsidRPr="00BF4225">
        <w:rPr>
          <w:rFonts w:ascii="Arial" w:hAnsi="Arial" w:cs="Arial"/>
          <w:sz w:val="22"/>
          <w:szCs w:val="22"/>
          <w:lang w:val="en-US"/>
        </w:rPr>
        <w:t>well-being</w:t>
      </w:r>
      <w:proofErr w:type="gramEnd"/>
      <w:r w:rsidRPr="00BF4225">
        <w:rPr>
          <w:rFonts w:ascii="Arial" w:hAnsi="Arial" w:cs="Arial"/>
          <w:sz w:val="22"/>
          <w:szCs w:val="22"/>
          <w:lang w:val="en-US"/>
        </w:rPr>
        <w:t xml:space="preserve"> of animals using the standardized form provided by Animal Center, (b) weight (once per week), (c) rectal temperature (once per week). </w:t>
      </w:r>
      <w:r w:rsidRPr="00BF4225">
        <w:rPr>
          <w:rFonts w:ascii="Arial" w:hAnsi="Arial" w:cs="Arial"/>
          <w:kern w:val="12"/>
          <w:sz w:val="22"/>
          <w:szCs w:val="22"/>
          <w:lang w:val="en-US"/>
        </w:rPr>
        <w:t xml:space="preserve">Each animal is checked daily for loss of stereospecific behavior and coat color – any wound incisions/sutures are also examined daily. </w:t>
      </w:r>
      <w:r w:rsidRPr="00BF4225">
        <w:rPr>
          <w:rFonts w:ascii="Arial" w:hAnsi="Arial" w:cs="Arial"/>
          <w:sz w:val="22"/>
          <w:szCs w:val="22"/>
          <w:lang w:val="en-US"/>
        </w:rPr>
        <w:t>I</w:t>
      </w:r>
      <w:r w:rsidRPr="00BF4225">
        <w:rPr>
          <w:rFonts w:ascii="Arial" w:hAnsi="Arial" w:cs="Arial"/>
          <w:sz w:val="22"/>
          <w:szCs w:val="22"/>
          <w:lang w:val="en-GB"/>
        </w:rPr>
        <w:t xml:space="preserve">f any major health problems are noticed (over 15% weight loss, reduced grooming, signs of reduced well-being beyond what is expected to be TBI-related), animal will be euthanized, and excluded from the study. </w:t>
      </w:r>
    </w:p>
    <w:p w14:paraId="5C529F59" w14:textId="77777777" w:rsidR="00BF4225" w:rsidRPr="00BF4225" w:rsidRDefault="00BF4225" w:rsidP="00C85FF4">
      <w:pPr>
        <w:pStyle w:val="ListParagraph"/>
        <w:ind w:left="284" w:hanging="284"/>
        <w:rPr>
          <w:rFonts w:ascii="Arial" w:hAnsi="Arial" w:cs="Arial"/>
          <w:b/>
          <w:sz w:val="22"/>
          <w:szCs w:val="22"/>
          <w:lang w:val="en-GB"/>
        </w:rPr>
      </w:pPr>
    </w:p>
    <w:p w14:paraId="68B8115D" w14:textId="77777777" w:rsidR="00BF4225" w:rsidRPr="00BF4225" w:rsidRDefault="00BF4225" w:rsidP="00C85FF4">
      <w:pPr>
        <w:numPr>
          <w:ilvl w:val="0"/>
          <w:numId w:val="1"/>
        </w:numPr>
        <w:ind w:left="284" w:hanging="284"/>
        <w:rPr>
          <w:rFonts w:ascii="Arial" w:hAnsi="Arial" w:cs="Arial"/>
          <w:b/>
          <w:sz w:val="22"/>
          <w:szCs w:val="22"/>
          <w:lang w:val="en-GB"/>
        </w:rPr>
      </w:pPr>
      <w:r w:rsidRPr="00BF4225">
        <w:rPr>
          <w:rFonts w:ascii="Arial" w:hAnsi="Arial" w:cs="Arial"/>
          <w:b/>
          <w:sz w:val="22"/>
          <w:szCs w:val="22"/>
          <w:lang w:val="en-GB"/>
        </w:rPr>
        <w:t>Provisions to minimize discomfort, distress, pain and injury [University of Kuopio (UEF), University of Melbourne (UM), University of California</w:t>
      </w:r>
      <w:r>
        <w:rPr>
          <w:rFonts w:ascii="Arial" w:hAnsi="Arial" w:cs="Arial"/>
          <w:b/>
          <w:sz w:val="22"/>
          <w:szCs w:val="22"/>
          <w:lang w:val="en-GB"/>
        </w:rPr>
        <w:t xml:space="preserve">, Los Angeles </w:t>
      </w:r>
      <w:r w:rsidRPr="00BF4225">
        <w:rPr>
          <w:rFonts w:ascii="Arial" w:hAnsi="Arial" w:cs="Arial"/>
          <w:b/>
          <w:sz w:val="22"/>
          <w:szCs w:val="22"/>
          <w:lang w:val="en-GB"/>
        </w:rPr>
        <w:t>(UCLA)]</w:t>
      </w:r>
    </w:p>
    <w:p w14:paraId="787F1C89" w14:textId="77777777" w:rsidR="00BF4225" w:rsidRPr="00BF4225" w:rsidRDefault="00BF4225" w:rsidP="00C85FF4">
      <w:pPr>
        <w:pStyle w:val="ListParagraph"/>
        <w:ind w:left="0"/>
        <w:rPr>
          <w:rFonts w:ascii="Arial" w:hAnsi="Arial" w:cs="Arial"/>
          <w:b/>
          <w:sz w:val="22"/>
          <w:szCs w:val="22"/>
          <w:lang w:val="en-GB"/>
        </w:rPr>
      </w:pPr>
    </w:p>
    <w:p w14:paraId="3F76A85C" w14:textId="77777777" w:rsidR="00BF4225" w:rsidRPr="00BF4225" w:rsidRDefault="00BF4225" w:rsidP="00C85FF4">
      <w:pPr>
        <w:pStyle w:val="ListParagraph"/>
        <w:ind w:left="0"/>
        <w:rPr>
          <w:rFonts w:ascii="Arial" w:hAnsi="Arial" w:cs="Arial"/>
          <w:sz w:val="22"/>
          <w:szCs w:val="22"/>
          <w:lang w:val="en-US"/>
        </w:rPr>
      </w:pPr>
      <w:r w:rsidRPr="00BF4225">
        <w:rPr>
          <w:rFonts w:ascii="Arial" w:hAnsi="Arial" w:cs="Arial"/>
          <w:kern w:val="12"/>
          <w:sz w:val="22"/>
          <w:szCs w:val="22"/>
          <w:lang w:val="en-US"/>
        </w:rPr>
        <w:t xml:space="preserve">All surgical procedures are conducted under deep anesthesia (e.g., induction of craniotomies, collection of blood via tail vein). After completion of surgery for induction of brain injury, bupivacaine (0.25%) is locally infiltrated into all wound margins and topical antibiotic ointment is applied. </w:t>
      </w:r>
    </w:p>
    <w:p w14:paraId="46259D2D" w14:textId="77777777" w:rsidR="00BF4225" w:rsidRPr="00BF4225" w:rsidRDefault="00BF4225" w:rsidP="00C85FF4">
      <w:pPr>
        <w:pStyle w:val="ListParagraph"/>
        <w:ind w:left="0" w:firstLine="142"/>
        <w:rPr>
          <w:rFonts w:ascii="Arial" w:hAnsi="Arial" w:cs="Arial"/>
          <w:b/>
          <w:sz w:val="22"/>
          <w:szCs w:val="22"/>
          <w:lang w:val="en-GB"/>
        </w:rPr>
      </w:pPr>
    </w:p>
    <w:p w14:paraId="2C0B9354" w14:textId="77777777" w:rsidR="00BF4225" w:rsidRPr="00BF4225" w:rsidRDefault="00BF4225" w:rsidP="00C85FF4">
      <w:pPr>
        <w:numPr>
          <w:ilvl w:val="0"/>
          <w:numId w:val="1"/>
        </w:numPr>
        <w:ind w:left="284" w:hanging="284"/>
        <w:rPr>
          <w:rFonts w:ascii="Arial" w:hAnsi="Arial" w:cs="Arial"/>
          <w:b/>
          <w:sz w:val="22"/>
          <w:szCs w:val="22"/>
          <w:lang w:val="en-GB"/>
        </w:rPr>
      </w:pPr>
      <w:r w:rsidRPr="00BF4225">
        <w:rPr>
          <w:rFonts w:ascii="Arial" w:hAnsi="Arial" w:cs="Arial"/>
          <w:b/>
          <w:sz w:val="22"/>
          <w:szCs w:val="22"/>
          <w:lang w:val="en-GB"/>
        </w:rPr>
        <w:t>Euthanasia [University of Kuopio (UEF), University of Melbourne</w:t>
      </w:r>
      <w:r>
        <w:rPr>
          <w:rFonts w:ascii="Arial" w:hAnsi="Arial" w:cs="Arial"/>
          <w:b/>
          <w:sz w:val="22"/>
          <w:szCs w:val="22"/>
          <w:lang w:val="en-GB"/>
        </w:rPr>
        <w:t xml:space="preserve"> (UM), University of California, Los Angeles </w:t>
      </w:r>
      <w:r w:rsidRPr="00BF4225">
        <w:rPr>
          <w:rFonts w:ascii="Arial" w:hAnsi="Arial" w:cs="Arial"/>
          <w:b/>
          <w:sz w:val="22"/>
          <w:szCs w:val="22"/>
          <w:lang w:val="en-GB"/>
        </w:rPr>
        <w:t>(UCLA)]</w:t>
      </w:r>
    </w:p>
    <w:p w14:paraId="531FB809" w14:textId="77777777" w:rsidR="00BF4225" w:rsidRPr="00BF4225" w:rsidRDefault="00BF4225" w:rsidP="00C85FF4">
      <w:pPr>
        <w:rPr>
          <w:rFonts w:ascii="Arial" w:hAnsi="Arial" w:cs="Arial"/>
          <w:b/>
          <w:sz w:val="22"/>
          <w:szCs w:val="22"/>
          <w:lang w:val="en-GB"/>
        </w:rPr>
      </w:pPr>
    </w:p>
    <w:p w14:paraId="02E405CB" w14:textId="77777777" w:rsidR="00BF4225" w:rsidRPr="00BF4225" w:rsidRDefault="00BF4225" w:rsidP="00C85FF4">
      <w:pPr>
        <w:autoSpaceDE w:val="0"/>
        <w:autoSpaceDN w:val="0"/>
        <w:adjustRightInd w:val="0"/>
        <w:rPr>
          <w:rFonts w:ascii="Arial" w:hAnsi="Arial" w:cs="Arial"/>
          <w:sz w:val="22"/>
          <w:szCs w:val="22"/>
          <w:lang w:val="en-US"/>
        </w:rPr>
      </w:pPr>
      <w:proofErr w:type="spellStart"/>
      <w:r w:rsidRPr="00BF4225">
        <w:rPr>
          <w:rFonts w:ascii="Arial" w:hAnsi="Arial" w:cs="Arial"/>
          <w:kern w:val="12"/>
          <w:sz w:val="22"/>
          <w:szCs w:val="22"/>
        </w:rPr>
        <w:t>Euthanasia</w:t>
      </w:r>
      <w:proofErr w:type="spellEnd"/>
      <w:r w:rsidRPr="00BF4225">
        <w:rPr>
          <w:rFonts w:ascii="Arial" w:hAnsi="Arial" w:cs="Arial"/>
          <w:kern w:val="12"/>
          <w:sz w:val="22"/>
          <w:szCs w:val="22"/>
        </w:rPr>
        <w:t xml:space="preserve"> of </w:t>
      </w:r>
      <w:proofErr w:type="spellStart"/>
      <w:r w:rsidRPr="00BF4225">
        <w:rPr>
          <w:rFonts w:ascii="Arial" w:hAnsi="Arial" w:cs="Arial"/>
          <w:kern w:val="12"/>
          <w:sz w:val="22"/>
          <w:szCs w:val="22"/>
        </w:rPr>
        <w:t>anesthetized</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rats</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will</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be</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performed</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by</w:t>
      </w:r>
      <w:proofErr w:type="spellEnd"/>
      <w:r w:rsidRPr="00BF4225">
        <w:rPr>
          <w:rFonts w:ascii="Arial" w:hAnsi="Arial" w:cs="Arial"/>
          <w:kern w:val="12"/>
          <w:sz w:val="22"/>
          <w:szCs w:val="22"/>
        </w:rPr>
        <w:t xml:space="preserve">: i) </w:t>
      </w:r>
      <w:proofErr w:type="spellStart"/>
      <w:r w:rsidRPr="00BF4225">
        <w:rPr>
          <w:rFonts w:ascii="Arial" w:hAnsi="Arial" w:cs="Arial"/>
          <w:kern w:val="12"/>
          <w:sz w:val="22"/>
          <w:szCs w:val="22"/>
        </w:rPr>
        <w:t>terminal</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intravenous</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or</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intraperitoneal</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injection</w:t>
      </w:r>
      <w:proofErr w:type="spellEnd"/>
      <w:r w:rsidRPr="00BF4225">
        <w:rPr>
          <w:rFonts w:ascii="Arial" w:hAnsi="Arial" w:cs="Arial"/>
          <w:kern w:val="12"/>
          <w:sz w:val="22"/>
          <w:szCs w:val="22"/>
        </w:rPr>
        <w:t xml:space="preserve"> of an </w:t>
      </w:r>
      <w:proofErr w:type="spellStart"/>
      <w:r w:rsidRPr="00BF4225">
        <w:rPr>
          <w:rFonts w:ascii="Arial" w:hAnsi="Arial" w:cs="Arial"/>
          <w:kern w:val="12"/>
          <w:sz w:val="22"/>
          <w:szCs w:val="22"/>
        </w:rPr>
        <w:t>overdose</w:t>
      </w:r>
      <w:proofErr w:type="spellEnd"/>
      <w:r w:rsidRPr="00BF4225">
        <w:rPr>
          <w:rFonts w:ascii="Arial" w:hAnsi="Arial" w:cs="Arial"/>
          <w:kern w:val="12"/>
          <w:sz w:val="22"/>
          <w:szCs w:val="22"/>
        </w:rPr>
        <w:t xml:space="preserve"> of </w:t>
      </w:r>
      <w:proofErr w:type="spellStart"/>
      <w:r w:rsidRPr="00BF4225">
        <w:rPr>
          <w:rFonts w:ascii="Arial" w:hAnsi="Arial" w:cs="Arial"/>
          <w:kern w:val="12"/>
          <w:sz w:val="22"/>
          <w:szCs w:val="22"/>
        </w:rPr>
        <w:t>sodium</w:t>
      </w:r>
      <w:proofErr w:type="spellEnd"/>
      <w:r w:rsidRPr="00BF4225">
        <w:rPr>
          <w:rFonts w:ascii="Arial" w:hAnsi="Arial" w:cs="Arial"/>
          <w:kern w:val="12"/>
          <w:sz w:val="22"/>
          <w:szCs w:val="22"/>
        </w:rPr>
        <w:t xml:space="preserve"> </w:t>
      </w:r>
      <w:proofErr w:type="spellStart"/>
      <w:r w:rsidRPr="00BF4225">
        <w:rPr>
          <w:rFonts w:ascii="Arial" w:hAnsi="Arial" w:cs="Arial"/>
          <w:kern w:val="12"/>
          <w:sz w:val="22"/>
          <w:szCs w:val="22"/>
        </w:rPr>
        <w:t>pentobarbital</w:t>
      </w:r>
      <w:proofErr w:type="spellEnd"/>
      <w:r w:rsidRPr="00BF4225">
        <w:rPr>
          <w:rFonts w:ascii="Arial" w:hAnsi="Arial" w:cs="Arial"/>
          <w:kern w:val="12"/>
          <w:sz w:val="22"/>
          <w:szCs w:val="22"/>
        </w:rPr>
        <w:t xml:space="preserve"> (75 mg/kg, </w:t>
      </w:r>
      <w:proofErr w:type="spellStart"/>
      <w:r w:rsidRPr="00BF4225">
        <w:rPr>
          <w:rFonts w:ascii="Arial" w:hAnsi="Arial" w:cs="Arial"/>
          <w:kern w:val="12"/>
          <w:sz w:val="22"/>
          <w:szCs w:val="22"/>
        </w:rPr>
        <w:t>i.v</w:t>
      </w:r>
      <w:proofErr w:type="spellEnd"/>
      <w:r w:rsidRPr="00BF4225">
        <w:rPr>
          <w:rFonts w:ascii="Arial" w:hAnsi="Arial" w:cs="Arial"/>
          <w:kern w:val="12"/>
          <w:sz w:val="22"/>
          <w:szCs w:val="22"/>
        </w:rPr>
        <w:t xml:space="preserve">.). </w:t>
      </w:r>
      <w:r w:rsidRPr="00BF4225">
        <w:rPr>
          <w:rFonts w:ascii="Arial" w:hAnsi="Arial" w:cs="Arial"/>
          <w:sz w:val="22"/>
          <w:szCs w:val="22"/>
          <w:lang w:val="en-US"/>
        </w:rPr>
        <w:t xml:space="preserve">This method has been selected because it is painless and rapid; the method is consistent with the recommendations of </w:t>
      </w:r>
    </w:p>
    <w:p w14:paraId="00BEEC08" w14:textId="77777777" w:rsidR="00BF4225" w:rsidRPr="00BF4225" w:rsidRDefault="00BF4225" w:rsidP="00C85FF4">
      <w:pPr>
        <w:numPr>
          <w:ilvl w:val="0"/>
          <w:numId w:val="2"/>
        </w:numPr>
        <w:ind w:right="28"/>
        <w:rPr>
          <w:rFonts w:ascii="Arial" w:hAnsi="Arial" w:cs="Arial"/>
          <w:sz w:val="22"/>
          <w:szCs w:val="22"/>
          <w:lang w:val="en-GB"/>
        </w:rPr>
      </w:pPr>
      <w:r w:rsidRPr="00BF4225">
        <w:rPr>
          <w:rFonts w:ascii="Arial" w:hAnsi="Arial" w:cs="Arial"/>
          <w:sz w:val="22"/>
          <w:szCs w:val="22"/>
          <w:u w:val="single"/>
          <w:lang w:val="en-US"/>
        </w:rPr>
        <w:t>UEF</w:t>
      </w:r>
      <w:r w:rsidRPr="00BF4225">
        <w:rPr>
          <w:rFonts w:ascii="Arial" w:hAnsi="Arial" w:cs="Arial"/>
          <w:sz w:val="22"/>
          <w:szCs w:val="22"/>
          <w:lang w:val="en-US"/>
        </w:rPr>
        <w:t xml:space="preserve">: </w:t>
      </w:r>
      <w:r w:rsidRPr="00BF4225">
        <w:rPr>
          <w:rFonts w:ascii="Arial" w:hAnsi="Arial" w:cs="Arial"/>
          <w:sz w:val="22"/>
          <w:szCs w:val="22"/>
          <w:lang w:val="en-GB"/>
        </w:rPr>
        <w:t>The Committee for the Welfare of Laboratory animals of the University of Kuopio and by the Provincial Government of Kuopio (</w:t>
      </w:r>
      <w:r w:rsidRPr="00BF4225">
        <w:rPr>
          <w:rFonts w:ascii="Arial" w:hAnsi="Arial" w:cs="Arial"/>
          <w:sz w:val="22"/>
          <w:szCs w:val="22"/>
          <w:lang w:val="en-US" w:eastAsia="en-US"/>
        </w:rPr>
        <w:t>ESAVI/5146/04.10.07/2014</w:t>
      </w:r>
      <w:r w:rsidRPr="00BF4225">
        <w:rPr>
          <w:rFonts w:ascii="Arial" w:hAnsi="Arial" w:cs="Arial"/>
          <w:sz w:val="22"/>
          <w:szCs w:val="22"/>
          <w:lang w:val="en-GB"/>
        </w:rPr>
        <w:t xml:space="preserve">) and </w:t>
      </w:r>
      <w:r w:rsidRPr="00BF4225">
        <w:rPr>
          <w:rFonts w:ascii="Arial" w:hAnsi="Arial" w:cs="Arial"/>
          <w:color w:val="000000"/>
          <w:sz w:val="22"/>
          <w:szCs w:val="22"/>
          <w:lang w:val="en-US"/>
        </w:rPr>
        <w:t xml:space="preserve">European Community Council Directive </w:t>
      </w:r>
      <w:r w:rsidRPr="00BF4225">
        <w:rPr>
          <w:rFonts w:ascii="Arial" w:hAnsi="Arial" w:cs="Arial"/>
          <w:sz w:val="22"/>
          <w:szCs w:val="22"/>
          <w:lang w:val="en-US"/>
        </w:rPr>
        <w:t>2010/63/EU</w:t>
      </w:r>
      <w:r w:rsidRPr="00BF4225">
        <w:rPr>
          <w:rFonts w:ascii="Arial" w:hAnsi="Arial" w:cs="Arial"/>
          <w:sz w:val="22"/>
          <w:szCs w:val="22"/>
          <w:lang w:val="en-GB"/>
        </w:rPr>
        <w:t>.</w:t>
      </w:r>
    </w:p>
    <w:p w14:paraId="377193A0" w14:textId="77777777" w:rsidR="00BF4225" w:rsidRPr="00BF4225" w:rsidRDefault="00BF4225" w:rsidP="00C85FF4">
      <w:pPr>
        <w:numPr>
          <w:ilvl w:val="0"/>
          <w:numId w:val="2"/>
        </w:numPr>
        <w:autoSpaceDE w:val="0"/>
        <w:autoSpaceDN w:val="0"/>
        <w:adjustRightInd w:val="0"/>
        <w:rPr>
          <w:rFonts w:ascii="Arial" w:hAnsi="Arial" w:cs="Arial"/>
          <w:noProof/>
          <w:sz w:val="22"/>
          <w:szCs w:val="22"/>
          <w:lang w:val="en-US"/>
        </w:rPr>
      </w:pPr>
      <w:r w:rsidRPr="00BF4225">
        <w:rPr>
          <w:rFonts w:ascii="Arial" w:hAnsi="Arial" w:cs="Arial"/>
          <w:sz w:val="22"/>
          <w:szCs w:val="22"/>
          <w:u w:val="single"/>
          <w:lang w:val="en-US"/>
        </w:rPr>
        <w:t>UM</w:t>
      </w:r>
      <w:r w:rsidRPr="00BF4225">
        <w:rPr>
          <w:rFonts w:ascii="Arial" w:hAnsi="Arial" w:cs="Arial"/>
          <w:sz w:val="22"/>
          <w:szCs w:val="22"/>
          <w:lang w:val="en-US"/>
        </w:rPr>
        <w:t xml:space="preserve">: </w:t>
      </w:r>
      <w:r w:rsidRPr="00BF4225">
        <w:rPr>
          <w:rFonts w:ascii="Arial" w:hAnsi="Arial" w:cs="Arial"/>
          <w:noProof/>
          <w:sz w:val="22"/>
          <w:szCs w:val="22"/>
          <w:lang w:val="en-US"/>
        </w:rPr>
        <w:t xml:space="preserve">The University of Melbourne/Florey Neurosciences Institute Animal Ethics Committee and the        </w:t>
      </w:r>
    </w:p>
    <w:p w14:paraId="1B392BC0" w14:textId="77777777" w:rsidR="00BF4225" w:rsidRPr="00BF4225" w:rsidRDefault="00BF4225" w:rsidP="00C85FF4">
      <w:pPr>
        <w:autoSpaceDE w:val="0"/>
        <w:autoSpaceDN w:val="0"/>
        <w:adjustRightInd w:val="0"/>
        <w:ind w:left="60"/>
        <w:rPr>
          <w:rFonts w:ascii="Arial" w:hAnsi="Arial" w:cs="Arial"/>
          <w:sz w:val="22"/>
          <w:szCs w:val="22"/>
          <w:lang w:val="en-US"/>
        </w:rPr>
      </w:pPr>
      <w:r w:rsidRPr="00BF4225">
        <w:rPr>
          <w:rFonts w:ascii="Arial" w:hAnsi="Arial" w:cs="Arial"/>
          <w:noProof/>
          <w:sz w:val="22"/>
          <w:szCs w:val="22"/>
          <w:lang w:val="en-US"/>
        </w:rPr>
        <w:t xml:space="preserve">      Australian and New Zealand Council for the Care of Animals in Research and Teaching.</w:t>
      </w:r>
    </w:p>
    <w:p w14:paraId="7B50282F" w14:textId="77777777" w:rsidR="00B74922" w:rsidRPr="00BF4225" w:rsidRDefault="00BF4225" w:rsidP="00C85FF4">
      <w:pPr>
        <w:autoSpaceDE w:val="0"/>
        <w:autoSpaceDN w:val="0"/>
        <w:adjustRightInd w:val="0"/>
        <w:ind w:left="392" w:hanging="364"/>
        <w:rPr>
          <w:rFonts w:ascii="Arial" w:hAnsi="Arial" w:cs="Arial"/>
          <w:sz w:val="22"/>
          <w:szCs w:val="22"/>
          <w:lang w:val="en-US"/>
        </w:rPr>
      </w:pPr>
      <w:r w:rsidRPr="00BF4225">
        <w:rPr>
          <w:rFonts w:ascii="Arial" w:hAnsi="Arial" w:cs="Arial"/>
          <w:sz w:val="22"/>
          <w:szCs w:val="22"/>
          <w:lang w:val="en-US"/>
        </w:rPr>
        <w:t xml:space="preserve">(c) </w:t>
      </w:r>
      <w:r w:rsidRPr="00BF4225">
        <w:rPr>
          <w:rFonts w:ascii="Arial" w:hAnsi="Arial" w:cs="Arial"/>
          <w:sz w:val="22"/>
          <w:szCs w:val="22"/>
          <w:u w:val="single"/>
          <w:lang w:val="en-US"/>
        </w:rPr>
        <w:t>UCLA</w:t>
      </w:r>
      <w:r w:rsidRPr="00BF4225">
        <w:rPr>
          <w:rFonts w:ascii="Arial" w:hAnsi="Arial" w:cs="Arial"/>
          <w:sz w:val="22"/>
          <w:szCs w:val="22"/>
          <w:lang w:val="en-US"/>
        </w:rPr>
        <w:t xml:space="preserve">: The University of California, Los Angeles, (UCLA) Chancellor’s Animal Research Committee and the Public Health Service Policy on Humane Care and Use of Laboratory Animals. </w:t>
      </w:r>
    </w:p>
    <w:sectPr w:rsidR="00B74922" w:rsidRPr="00BF4225" w:rsidSect="00062456">
      <w:pgSz w:w="12242" w:h="15842" w:code="1"/>
      <w:pgMar w:top="720" w:right="720" w:bottom="720" w:left="72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D6F6F"/>
    <w:multiLevelType w:val="hybridMultilevel"/>
    <w:tmpl w:val="FFA60926"/>
    <w:lvl w:ilvl="0" w:tplc="59B4ACA6">
      <w:start w:val="1"/>
      <w:numFmt w:val="lowerLetter"/>
      <w:lvlText w:val="(%1)"/>
      <w:lvlJc w:val="left"/>
      <w:pPr>
        <w:ind w:left="420" w:hanging="360"/>
      </w:pPr>
      <w:rPr>
        <w:rFonts w:hint="default"/>
      </w:rPr>
    </w:lvl>
    <w:lvl w:ilvl="1" w:tplc="040B0019" w:tentative="1">
      <w:start w:val="1"/>
      <w:numFmt w:val="lowerLetter"/>
      <w:lvlText w:val="%2."/>
      <w:lvlJc w:val="left"/>
      <w:pPr>
        <w:ind w:left="1140" w:hanging="360"/>
      </w:pPr>
    </w:lvl>
    <w:lvl w:ilvl="2" w:tplc="040B001B" w:tentative="1">
      <w:start w:val="1"/>
      <w:numFmt w:val="lowerRoman"/>
      <w:lvlText w:val="%3."/>
      <w:lvlJc w:val="right"/>
      <w:pPr>
        <w:ind w:left="1860" w:hanging="180"/>
      </w:pPr>
    </w:lvl>
    <w:lvl w:ilvl="3" w:tplc="040B000F" w:tentative="1">
      <w:start w:val="1"/>
      <w:numFmt w:val="decimal"/>
      <w:lvlText w:val="%4."/>
      <w:lvlJc w:val="left"/>
      <w:pPr>
        <w:ind w:left="2580" w:hanging="360"/>
      </w:pPr>
    </w:lvl>
    <w:lvl w:ilvl="4" w:tplc="040B0019" w:tentative="1">
      <w:start w:val="1"/>
      <w:numFmt w:val="lowerLetter"/>
      <w:lvlText w:val="%5."/>
      <w:lvlJc w:val="left"/>
      <w:pPr>
        <w:ind w:left="3300" w:hanging="360"/>
      </w:pPr>
    </w:lvl>
    <w:lvl w:ilvl="5" w:tplc="040B001B" w:tentative="1">
      <w:start w:val="1"/>
      <w:numFmt w:val="lowerRoman"/>
      <w:lvlText w:val="%6."/>
      <w:lvlJc w:val="right"/>
      <w:pPr>
        <w:ind w:left="4020" w:hanging="180"/>
      </w:pPr>
    </w:lvl>
    <w:lvl w:ilvl="6" w:tplc="040B000F" w:tentative="1">
      <w:start w:val="1"/>
      <w:numFmt w:val="decimal"/>
      <w:lvlText w:val="%7."/>
      <w:lvlJc w:val="left"/>
      <w:pPr>
        <w:ind w:left="4740" w:hanging="360"/>
      </w:pPr>
    </w:lvl>
    <w:lvl w:ilvl="7" w:tplc="040B0019" w:tentative="1">
      <w:start w:val="1"/>
      <w:numFmt w:val="lowerLetter"/>
      <w:lvlText w:val="%8."/>
      <w:lvlJc w:val="left"/>
      <w:pPr>
        <w:ind w:left="5460" w:hanging="360"/>
      </w:pPr>
    </w:lvl>
    <w:lvl w:ilvl="8" w:tplc="040B001B" w:tentative="1">
      <w:start w:val="1"/>
      <w:numFmt w:val="lowerRoman"/>
      <w:lvlText w:val="%9."/>
      <w:lvlJc w:val="right"/>
      <w:pPr>
        <w:ind w:left="6180" w:hanging="180"/>
      </w:pPr>
    </w:lvl>
  </w:abstractNum>
  <w:abstractNum w:abstractNumId="1">
    <w:nsid w:val="6172175D"/>
    <w:multiLevelType w:val="hybridMultilevel"/>
    <w:tmpl w:val="8DCC51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22"/>
    <w:rsid w:val="00B74922"/>
    <w:rsid w:val="00BF4225"/>
    <w:rsid w:val="00C85FF4"/>
    <w:rsid w:val="00E44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67F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225"/>
    <w:rPr>
      <w:rFonts w:ascii="Times New Roman" w:eastAsia="Times New Roman" w:hAnsi="Times New Roman" w:cs="Times New Roman"/>
      <w:lang w:val="fi-FI"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F4225"/>
    <w:rPr>
      <w:color w:val="0000FF"/>
      <w:u w:val="single"/>
    </w:rPr>
  </w:style>
  <w:style w:type="paragraph" w:styleId="ListParagraph">
    <w:name w:val="List Paragraph"/>
    <w:basedOn w:val="Normal"/>
    <w:uiPriority w:val="34"/>
    <w:qFormat/>
    <w:rsid w:val="00BF4225"/>
    <w:pPr>
      <w:ind w:left="1304"/>
    </w:pPr>
  </w:style>
  <w:style w:type="paragraph" w:customStyle="1" w:styleId="Document">
    <w:name w:val="Document"/>
    <w:rsid w:val="00BF4225"/>
    <w:pPr>
      <w:tabs>
        <w:tab w:val="left" w:pos="-1440"/>
        <w:tab w:val="left" w:pos="-1080"/>
        <w:tab w:val="left" w:pos="-720"/>
        <w:tab w:val="left" w:pos="-36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line="300" w:lineRule="auto"/>
    </w:pPr>
    <w:rPr>
      <w:rFonts w:ascii="Helvetica" w:eastAsia="Times New Roman" w:hAnsi="Helvetica" w:cs="Times New Roman"/>
      <w:color w:val="000000"/>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225"/>
    <w:rPr>
      <w:rFonts w:ascii="Times New Roman" w:eastAsia="Times New Roman" w:hAnsi="Times New Roman" w:cs="Times New Roman"/>
      <w:lang w:val="fi-FI"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F4225"/>
    <w:rPr>
      <w:color w:val="0000FF"/>
      <w:u w:val="single"/>
    </w:rPr>
  </w:style>
  <w:style w:type="paragraph" w:styleId="ListParagraph">
    <w:name w:val="List Paragraph"/>
    <w:basedOn w:val="Normal"/>
    <w:uiPriority w:val="34"/>
    <w:qFormat/>
    <w:rsid w:val="00BF4225"/>
    <w:pPr>
      <w:ind w:left="1304"/>
    </w:pPr>
  </w:style>
  <w:style w:type="paragraph" w:customStyle="1" w:styleId="Document">
    <w:name w:val="Document"/>
    <w:rsid w:val="00BF4225"/>
    <w:pPr>
      <w:tabs>
        <w:tab w:val="left" w:pos="-1440"/>
        <w:tab w:val="left" w:pos="-1080"/>
        <w:tab w:val="left" w:pos="-720"/>
        <w:tab w:val="left" w:pos="-36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line="300" w:lineRule="auto"/>
    </w:pPr>
    <w:rPr>
      <w:rFonts w:ascii="Helvetica" w:eastAsia="Times New Roman" w:hAnsi="Helvetica" w:cs="Times New Roman"/>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3rs.org.uk/bloodsamplingmicrosite/page.asp?id=4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1131</Words>
  <Characters>6447</Characters>
  <Application>Microsoft Macintosh Word</Application>
  <DocSecurity>0</DocSecurity>
  <Lines>53</Lines>
  <Paragraphs>15</Paragraphs>
  <ScaleCrop>false</ScaleCrop>
  <Company>USC</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Duncan</dc:creator>
  <cp:keywords/>
  <dc:description/>
  <cp:lastModifiedBy>Dominique Duncan</cp:lastModifiedBy>
  <cp:revision>3</cp:revision>
  <dcterms:created xsi:type="dcterms:W3CDTF">2016-03-05T00:16:00Z</dcterms:created>
  <dcterms:modified xsi:type="dcterms:W3CDTF">2016-03-09T00:04:00Z</dcterms:modified>
</cp:coreProperties>
</file>