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40.png" ContentType="image/png"/>
  <Override PartName="/word/media/rId37.png" ContentType="image/png"/>
  <Override PartName="/word/media/rId44.png" ContentType="image/png"/>
  <Override PartName="/word/media/rId4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bilan-general"/>
    <w:p>
      <w:pPr>
        <w:pStyle w:val="Heading1"/>
      </w:pPr>
      <w:r>
        <w:t xml:space="preserve">Bilan general</w:t>
      </w:r>
    </w:p>
    <w:bookmarkStart w:id="20" w:name="qualite-des-donnees"/>
    <w:p>
      <w:pPr>
        <w:pStyle w:val="Heading2"/>
      </w:pPr>
      <w:r>
        <w:t xml:space="preserve">1. Qualite des donnees</w:t>
      </w:r>
    </w:p>
    <w:p>
      <w:pPr>
        <w:numPr>
          <w:ilvl w:val="0"/>
          <w:numId w:val="1001"/>
        </w:numPr>
        <w:pStyle w:val="Compact"/>
      </w:pPr>
      <w:r>
        <w:t xml:space="preserve">Jeu churn : 13937 lignes, 24 colonnes, aucune valeur manquante, aucun doublon.</w:t>
      </w:r>
    </w:p>
    <w:p>
      <w:pPr>
        <w:numPr>
          <w:ilvl w:val="0"/>
          <w:numId w:val="1001"/>
        </w:numPr>
        <w:pStyle w:val="Compact"/>
      </w:pPr>
      <w:r>
        <w:t xml:space="preserve">5 colonnes constantes et 2 quasi-constantes retirees.</w:t>
      </w:r>
    </w:p>
    <w:p>
      <w:pPr>
        <w:numPr>
          <w:ilvl w:val="0"/>
          <w:numId w:val="1001"/>
        </w:numPr>
        <w:pStyle w:val="Compact"/>
      </w:pPr>
      <w:r>
        <w:t xml:space="preserve">Fuite d’information : la regle « purge anterieure de plus de 60 jours a 2025-07-29 » reproduit l’etiquette dans 99.9641% des cas (5 exceptions). Les variables derivees de la purge sont donc exclues de l’apprentissage.</w:t>
      </w:r>
    </w:p>
    <w:p>
      <w:pPr>
        <w:numPr>
          <w:ilvl w:val="0"/>
          <w:numId w:val="1001"/>
        </w:numPr>
        <w:pStyle w:val="Compact"/>
      </w:pPr>
      <w:r>
        <w:t xml:space="preserve">Censure a droite : 1311 abonnes crees apres 2025-05-30 ne pouvaient pas cumuler 60 jours d’inactivite (0 churner parmi eux). Ils sont retires de la classification et conserves comme observations censurees pour l’analyse de survie.</w:t>
      </w:r>
    </w:p>
    <w:p>
      <w:pPr>
        <w:numPr>
          <w:ilvl w:val="0"/>
          <w:numId w:val="1001"/>
        </w:numPr>
        <w:pStyle w:val="Compact"/>
      </w:pPr>
      <w:r>
        <w:t xml:space="preserve">Identite verifiee a 100% : TOTAL_CHARGE = MONTHLY_CHARGE x RECHARGE_FREQUENCY (colonne redondante).</w:t>
      </w:r>
    </w:p>
    <w:p>
      <w:pPr>
        <w:numPr>
          <w:ilvl w:val="0"/>
          <w:numId w:val="1001"/>
        </w:numPr>
        <w:pStyle w:val="Compact"/>
      </w:pPr>
      <w:r>
        <w:t xml:space="preserve">Jeu offres : 41 feuilles harmonisees, 123 offres apres normalisation des libelles (SPOT/Blue mo S, COOL/Blue mo M, BLUE Booster/Blue mo L, KOLO/Blue mo XL, SWIM/Blue mo XXL fusionnes).</w:t>
      </w:r>
    </w:p>
    <w:bookmarkEnd w:id="20"/>
    <w:bookmarkStart w:id="36" w:name="modeles-de-churn"/>
    <w:p>
      <w:pPr>
        <w:pStyle w:val="Heading2"/>
      </w:pPr>
      <w:r>
        <w:t xml:space="preserve">2. Modeles de churn</w:t>
      </w:r>
    </w:p>
    <w:p>
      <w:pPr>
        <w:pStyle w:val="CaptionedFigure"/>
      </w:pPr>
      <w:r>
        <w:drawing>
          <wp:inline>
            <wp:extent cx="5334000" cy="1533525"/>
            <wp:effectExtent b="0" l="0" r="0" t="0"/>
            <wp:docPr descr="Courbes ROC, precision-rappel et calibration" title="" id="22" name="Picture"/>
            <a:graphic>
              <a:graphicData uri="http://schemas.openxmlformats.org/drawingml/2006/picture">
                <pic:pic>
                  <pic:nvPicPr>
                    <pic:cNvPr descr="../figures/churn_courb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Courbes ROC, precision-rappel et calibration</w:t>
      </w:r>
    </w:p>
    <w:p>
      <w:pPr>
        <w:pStyle w:val="CaptionedFigure"/>
      </w:pPr>
      <w:r>
        <w:drawing>
          <wp:inline>
            <wp:extent cx="5334000" cy="1493519"/>
            <wp:effectExtent b="0" l="0" r="0" t="0"/>
            <wp:docPr descr="Matrices de confusion" title="" id="25" name="Picture"/>
            <a:graphic>
              <a:graphicData uri="http://schemas.openxmlformats.org/drawingml/2006/picture">
                <pic:pic>
                  <pic:nvPicPr>
                    <pic:cNvPr descr="../figures/churn_confus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Matrices de confusion</w:t>
      </w:r>
    </w:p>
    <w:p>
      <w:pPr>
        <w:pStyle w:val="BodyText"/>
      </w:pPr>
      <w:r>
        <w:t xml:space="preserve">Jeu de test : 25 % des observations, stratifie. Seuil de decision 0,5.</w:t>
      </w:r>
    </w:p>
    <w:bookmarkStart w:id="27" w:name="pouvoir-discriminant"/>
    <w:p>
      <w:pPr>
        <w:pStyle w:val="Heading3"/>
      </w:pPr>
      <w:r>
        <w:t xml:space="preserve">Pouvoir discriminant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4"/>
        <w:gridCol w:w="1908"/>
        <w:gridCol w:w="1335"/>
        <w:gridCol w:w="1622"/>
        <w:gridCol w:w="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(VC 5 blocs)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 (test)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AUC-PR (test)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0.9003 ± 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Foret aleatoire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0.8924 ± 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0.8887 ± 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0.1273</w:t>
            </w:r>
          </w:p>
        </w:tc>
      </w:tr>
    </w:tbl>
    <w:bookmarkEnd w:id="27"/>
    <w:bookmarkStart w:id="28" w:name="metriques-de-classification-au-seuil-05"/>
    <w:p>
      <w:pPr>
        <w:pStyle w:val="Heading3"/>
      </w:pPr>
      <w:r>
        <w:t xml:space="preserve">Metriques de classification au seuil 0,5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7"/>
        <w:gridCol w:w="710"/>
        <w:gridCol w:w="1066"/>
        <w:gridCol w:w="913"/>
        <w:gridCol w:w="710"/>
        <w:gridCol w:w="1116"/>
        <w:gridCol w:w="964"/>
        <w:gridCol w:w="12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 (churn)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Rappel (churn)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 (churn)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 (fidele)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Rappel (fidele)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 / FP / FN / 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logistique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1219 / 404 / 304 / 1230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Foret aleatoire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1240 / 383 / 344 / 1190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1241 / 382 / 354 / 1180</w:t>
            </w:r>
          </w:p>
        </w:tc>
      </w:tr>
    </w:tbl>
    <w:p>
      <w:pPr>
        <w:pStyle w:val="BodyText"/>
      </w:pPr>
      <w:r>
        <w:t xml:space="preserve">(VN / FP / FN / VP : vrais negatifs, faux positifs, faux negatifs, vrais positifs.)</w:t>
      </w:r>
    </w:p>
    <w:bookmarkEnd w:id="28"/>
    <w:bookmarkStart w:id="29" w:name="au-seuil-optimisant-le-f1"/>
    <w:p>
      <w:pPr>
        <w:pStyle w:val="Heading3"/>
      </w:pPr>
      <w:r>
        <w:t xml:space="preserve">Au seuil optimisant le F1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65"/>
        <w:gridCol w:w="925"/>
        <w:gridCol w:w="1440"/>
        <w:gridCol w:w="1337"/>
        <w:gridCol w:w="1028"/>
        <w:gridCol w:w="8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Seuil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Rappel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logistique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Foret aleatoire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0.7992</w:t>
            </w:r>
          </w:p>
        </w:tc>
      </w:tr>
    </w:tbl>
    <w:bookmarkEnd w:id="29"/>
    <w:bookmarkStart w:id="30" w:name="X6efce832a48ae90dad17bc9734bc3bb51ce5127"/>
    <w:p>
      <w:pPr>
        <w:pStyle w:val="Heading3"/>
      </w:pPr>
      <w:r>
        <w:t xml:space="preserve">Etude d’ablation (AUC du meilleur modele, variable retiree)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RECHARGE_FREQUENCY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intensite_recharge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TENURE_MONTHS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PLAN_NAME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0.8859</w:t>
            </w:r>
          </w:p>
        </w:tc>
      </w:tr>
    </w:tbl>
    <w:bookmarkEnd w:id="30"/>
    <w:bookmarkStart w:id="31" w:name="Xac184f2a82fd28c0fe769ff85d8acbae1f740c5"/>
    <w:p>
      <w:pPr>
        <w:pStyle w:val="Heading3"/>
      </w:pPr>
      <w:r>
        <w:t xml:space="preserve">Importance des variables (permutation, chute d’AUC)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ecart_type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RECHARGE_FREQUENCY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revenu_cumule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intensite_recharge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MONTHLY_CHARGE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jamais_recharge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mois_creation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TENURE_MONTHS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</w:t>
            </w:r>
          </w:p>
        </w:tc>
      </w:tr>
    </w:tbl>
    <w:bookmarkEnd w:id="31"/>
    <w:bookmarkStart w:id="35" w:name="analyse-de-survie"/>
    <w:p>
      <w:pPr>
        <w:pStyle w:val="Heading3"/>
      </w:pPr>
      <w:r>
        <w:t xml:space="preserve">Analyse de survie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urbes de Kaplan-Meier par forfait" title="" id="33" name="Picture"/>
            <a:graphic>
              <a:graphicData uri="http://schemas.openxmlformats.org/drawingml/2006/picture">
                <pic:pic>
                  <pic:nvPicPr>
                    <pic:cNvPr descr="../figures/survie_kaplan_mei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Courbes de Kaplan-Meier par forfait</w:t>
      </w:r>
    </w:p>
    <w:p>
      <w:pPr>
        <w:numPr>
          <w:ilvl w:val="0"/>
          <w:numId w:val="1002"/>
        </w:numPr>
        <w:pStyle w:val="Compact"/>
      </w:pPr>
      <w:r>
        <w:t xml:space="preserve">Indice de concordance du modele de Cox : 0.7543</w:t>
      </w:r>
    </w:p>
    <w:p>
      <w:pPr>
        <w:numPr>
          <w:ilvl w:val="0"/>
          <w:numId w:val="1002"/>
        </w:numPr>
        <w:pStyle w:val="Compact"/>
      </w:pPr>
      <w:r>
        <w:t xml:space="preserve">Rapports de risque (reference : Blue One L)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covariate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exp(coef)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RECHARGE_FREQUENCY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PLAN_NAME_Blue One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PLAN_NAME_Blue One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GENDER_Male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0.8416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Duree mediane de survie : Blue One L = 167 jours, Blue One M = 135 jours, Blue One S = non atteinte sur la fenetre</w:t>
      </w:r>
    </w:p>
    <w:bookmarkEnd w:id="35"/>
    <w:bookmarkEnd w:id="36"/>
    <w:bookmarkStart w:id="43" w:name="modeles-de-demande"/>
    <w:p>
      <w:pPr>
        <w:pStyle w:val="Heading2"/>
      </w:pPr>
      <w:r>
        <w:t xml:space="preserve">3. Modeles de demande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Test hors echantillon" title="" id="38" name="Picture"/>
            <a:graphic>
              <a:graphicData uri="http://schemas.openxmlformats.org/drawingml/2006/picture">
                <pic:pic>
                  <pic:nvPicPr>
                    <pic:cNvPr descr="../figures/demande_tes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hors echantillon</w:t>
      </w:r>
    </w:p>
    <w:p>
      <w:pPr>
        <w:pStyle w:val="CaptionedFigure"/>
      </w:pPr>
      <w:r>
        <w:drawing>
          <wp:inline>
            <wp:extent cx="5334000" cy="4533900"/>
            <wp:effectExtent b="0" l="0" r="0" t="0"/>
            <wp:docPr descr="Prevision a 90 jours" title="" id="41" name="Picture"/>
            <a:graphic>
              <a:graphicData uri="http://schemas.openxmlformats.org/drawingml/2006/picture">
                <pic:pic>
                  <pic:nvPicPr>
                    <pic:cNvPr descr="../figures/demande_previs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Prevision a 90 jours</w:t>
      </w:r>
    </w:p>
    <w:p>
      <w:pPr>
        <w:pStyle w:val="BodyText"/>
      </w:pPr>
      <w:r>
        <w:t xml:space="preserve">Test hors echantillon : 60 derniers jours. Validation par origine glissante : 3 blocs de 30 jours.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980"/>
        <w:gridCol w:w="495"/>
        <w:gridCol w:w="495"/>
        <w:gridCol w:w="618"/>
        <w:gridCol w:w="680"/>
        <w:gridCol w:w="556"/>
        <w:gridCol w:w="1732"/>
        <w:gridCol w:w="6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sMAPE_%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MAPE_origine_glissante_%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Naif saisonnier (reference)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SARIMA (2,1,2)(1,1,1)7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(retards + calendrier)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Naif saisonnier (reference)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SARIMA (2,1,2)(1,1,1)7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(retards + calendrier)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Naif saisonnier (reference)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SARIMA (2,1,2)(1,1,1)7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(retards + calendrier)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bookmarkEnd w:id="43"/>
    <w:bookmarkStart w:id="51" w:name="modele-de-flux"/>
    <w:p>
      <w:pPr>
        <w:pStyle w:val="Heading2"/>
      </w:pPr>
      <w:r>
        <w:t xml:space="preserve">4. Modele de flux</w:t>
      </w:r>
    </w:p>
    <w:p>
      <w:pPr>
        <w:pStyle w:val="CaptionedFigure"/>
      </w:pPr>
      <w:r>
        <w:drawing>
          <wp:inline>
            <wp:extent cx="5334000" cy="2504660"/>
            <wp:effectExtent b="0" l="0" r="0" t="0"/>
            <wp:docPr descr="Architecture du systeme" title="" id="45" name="Picture"/>
            <a:graphic>
              <a:graphicData uri="http://schemas.openxmlformats.org/drawingml/2006/picture">
                <pic:pic>
                  <pic:nvPicPr>
                    <pic:cNvPr descr="../figures/flux_architectu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du systeme</w:t>
      </w:r>
    </w:p>
    <w:p>
      <w:pPr>
        <w:pStyle w:val="CaptionedFigure"/>
      </w:pPr>
      <w:r>
        <w:drawing>
          <wp:inline>
            <wp:extent cx="5334000" cy="1390072"/>
            <wp:effectExtent b="0" l="0" r="0" t="0"/>
            <wp:docPr descr="Synthese du modele de flux" title="" id="48" name="Picture"/>
            <a:graphic>
              <a:graphicData uri="http://schemas.openxmlformats.org/drawingml/2006/picture">
                <pic:pic>
                  <pic:nvPicPr>
                    <pic:cNvPr descr="../figures/flux_synthes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Synthese du modele de flux</w:t>
      </w:r>
    </w:p>
    <w:p>
      <w:pPr>
        <w:pStyle w:val="BodyText"/>
      </w:pPr>
      <w:r>
        <w:t xml:space="preserve">Scenario central (taux de depart de reference p* = 5 % par mois, ecarts entre forfaits issus du modele de churn)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1"/>
        <w:gridCol w:w="371"/>
        <w:gridCol w:w="495"/>
        <w:gridCol w:w="948"/>
        <w:gridCol w:w="577"/>
        <w:gridCol w:w="948"/>
        <w:gridCol w:w="453"/>
        <w:gridCol w:w="825"/>
        <w:gridCol w:w="495"/>
        <w:gridCol w:w="618"/>
        <w:gridCol w:w="990"/>
        <w:gridCol w:w="82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taux_depart_mensuel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base_debut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activations_prevues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departs_attendus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base_fin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variation_%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revenu_a_risque_fcfa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revenu_base_fcfa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2662667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40174430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693339000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77008333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2777373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39761195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686207308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One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5805407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75257174</w:t>
            </w:r>
          </w:p>
        </w:tc>
      </w:tr>
    </w:tbl>
    <w:bookmarkStart w:id="50" w:name="sensibilite"/>
    <w:p>
      <w:pPr>
        <w:pStyle w:val="Heading3"/>
      </w:pPr>
      <w:r>
        <w:t xml:space="preserve">Sensibilite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96"/>
        <w:gridCol w:w="579"/>
        <w:gridCol w:w="1480"/>
        <w:gridCol w:w="579"/>
        <w:gridCol w:w="772"/>
        <w:gridCol w:w="96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taux_depart_mensuel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base_fin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variation_%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revenu_a_risque_fcfa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prudent (p*=2%)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16069772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prudent (p*=2%)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16026423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(p*=5%)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40174430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(p*=5%)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39761195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(p*=10%)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80348860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(p*=10%)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78506182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echantillon brut (non recale)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182383301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echantillon brut (non recale)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172342134</w:t>
            </w:r>
          </w:p>
        </w:tc>
      </w:tr>
    </w:tbl>
    <w:bookmarkEnd w:id="50"/>
    <w:bookmarkEnd w:id="51"/>
    <w:bookmarkStart w:id="52" w:name="limites"/>
    <w:p>
      <w:pPr>
        <w:pStyle w:val="Heading2"/>
      </w:pPr>
      <w:r>
        <w:t xml:space="preserve">5. Limites</w:t>
      </w:r>
    </w:p>
    <w:p>
      <w:pPr>
        <w:numPr>
          <w:ilvl w:val="0"/>
          <w:numId w:val="1004"/>
        </w:numPr>
        <w:pStyle w:val="Compact"/>
      </w:pPr>
      <w:r>
        <w:t xml:space="preserve">L’echantillon churn (44 % de churners) n’est pas un tirage aleatoire de la base : le modele fournit un classement fiable, mais le niveau absolu du risque doit etre recale sur une reference externe.</w:t>
      </w:r>
    </w:p>
    <w:p>
      <w:pPr>
        <w:numPr>
          <w:ilvl w:val="0"/>
          <w:numId w:val="1004"/>
        </w:numPr>
        <w:pStyle w:val="Compact"/>
      </w:pPr>
      <w:r>
        <w:t xml:space="preserve">Le mix des forfaits differe fortement entre l’echantillon churn (68 % de M) et les activations reelles de 2025 (93 % de M).</w:t>
      </w:r>
    </w:p>
    <w:p>
      <w:pPr>
        <w:numPr>
          <w:ilvl w:val="0"/>
          <w:numId w:val="1004"/>
        </w:numPr>
        <w:pStyle w:val="Compact"/>
      </w:pPr>
      <w:r>
        <w:t xml:space="preserve">La part des activations correspondant a de nouvelles souscriptions n’est pas observable dans le classeur ; elle est deduite de l’identite de stock, sous l’hypothese d’un abonne generant une activation par mois. Une confirmation aupres de CAMTEL leverait cette incertitude.</w:t>
      </w:r>
    </w:p>
    <w:p>
      <w:pPr>
        <w:numPr>
          <w:ilvl w:val="0"/>
          <w:numId w:val="1004"/>
        </w:numPr>
        <w:pStyle w:val="Compact"/>
      </w:pPr>
      <w:r>
        <w:t xml:space="preserve">La fenetre du fichier churn (janvier-juillet 2025) est courte : sept mois d’historique ne permettent pas d’observer de saisonnalite annuelle du churn.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2026-09-13T18:00:33Z</dcterms:created>
  <dcterms:modified xsi:type="dcterms:W3CDTF">2026-09-13T18:00:33Z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