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HealthConnect Clinic Experience Lab</w:t>
      </w:r>
    </w:p>
    <w:p>
      <w:pPr>
        <w:spacing w:after="60"/>
      </w:pPr>
      <w:r>
        <w:rPr>
          <w:b/>
          <w:bCs/>
          <w:color w:val="2E5395"/>
          <w:sz w:val="28"/>
          <w:szCs w:val="28"/>
        </w:rPr>
        <w:t xml:space="preserve">Week 8 — Final Integration, Presentation &amp; Project Showcase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Data Analytics Track: Final Analytics &amp; Decision Support Package</w:t>
      </w: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60" w:line="300"/>
      </w:pPr>
      <w:r>
        <w:rPr>
          <w:sz w:val="24"/>
          <w:szCs w:val="24"/>
        </w:rPr>
        <w:t xml:space="preserve">Across Weeks 4-7, this analysis established that HealthConnect Clinic's appointment no-show rate sits at 48.5% — a large-scale operational problem rather than a marginal one. Two factors stand out as the strongest, most reliable predictors: how far in advance an appointment is booked, and whether the patient has a history of missing appointments. Critically, these two factors compound: patients booked 31+ days out with a prior no-show miss appointments 67.9% of the time, versus just 21.8% for patients booked within a week with no prior no-show history. This final package validates these findings, confirms they are stable over time, translates them into specific recommendations, and documents how they informed the Data Science track's final model.</w:t>
      </w:r>
    </w:p>
    <w:p>
      <w:pPr>
        <w:pStyle w:val="Heading1"/>
        <w:spacing w:after="150" w:before="300"/>
      </w:pPr>
      <w:r>
        <w:t xml:space="preserve">1. Week 7 → Week 8 Transition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Main Week 7 output: </w:t>
      </w:r>
      <w:r>
        <w:rPr>
          <w:sz w:val="24"/>
          <w:szCs w:val="24"/>
        </w:rPr>
        <w:t xml:space="preserve">Week 7 refined and re-confirmed the Week 6 findings — the combined risk factor analysis, the December seasonal pattern, and the KPI stability check — rather than introducing a separate body of new analysis.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Most important testing result: </w:t>
      </w:r>
      <w:r>
        <w:rPr>
          <w:sz w:val="24"/>
          <w:szCs w:val="24"/>
        </w:rPr>
        <w:t xml:space="preserve">the Week 6 combined risk segment (booking lead time × prior no-show history) held up under review as the single strongest and most actionable finding, and the core KPIs remained consistent, confirming they were not one-off artefacts of the Week 5/6 analysis.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Major issue discovered: </w:t>
      </w:r>
      <w:r>
        <w:rPr>
          <w:sz w:val="24"/>
          <w:szCs w:val="24"/>
        </w:rPr>
        <w:t xml:space="preserve">the combined high-risk segment is based on a smaller sample (1,015 records) than the full dataset, so while directionally strong, it should be treated as indicative rather than statistically confirmed without formal significance testing.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What was refined: </w:t>
      </w:r>
      <w:r>
        <w:rPr>
          <w:sz w:val="24"/>
          <w:szCs w:val="24"/>
        </w:rPr>
        <w:t xml:space="preserve">the framing of recommendations was sharpened to focus on the two confirmed strongest levers (lead time and prior history) rather than treating all five KPIs as equally actionable.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Component now considered ready: </w:t>
      </w:r>
      <w:r>
        <w:rPr>
          <w:sz w:val="24"/>
          <w:szCs w:val="24"/>
        </w:rPr>
        <w:t xml:space="preserve">the Power BI dashboard, the validated KPI set, and the combined risk segment finding are all considered final and ready for presentation.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Still to integrate: </w:t>
      </w:r>
      <w:r>
        <w:rPr>
          <w:sz w:val="24"/>
          <w:szCs w:val="24"/>
        </w:rPr>
        <w:t xml:space="preserve">final confirmation from the Data Science track on whether the combined risk feature measurably improved their final model's performance.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Tracks involved in final integration: </w:t>
      </w:r>
      <w:r>
        <w:rPr>
          <w:sz w:val="24"/>
          <w:szCs w:val="24"/>
        </w:rPr>
        <w:t xml:space="preserve">Data Science (primary), Project Management (final presentation coordination).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What this package demonstrates: </w:t>
      </w:r>
      <w:r>
        <w:rPr>
          <w:sz w:val="24"/>
          <w:szCs w:val="24"/>
        </w:rPr>
        <w:t xml:space="preserve">a complete, validated analytical narrative — from raw appointment data to a specific, targetable high-risk patient segment and business recommendations HealthConnect can act on.</w:t>
      </w:r>
    </w:p>
    <w:p>
      <w:pPr>
        <w:pStyle w:val="Heading1"/>
        <w:spacing w:after="150" w:before="300"/>
      </w:pPr>
      <w:r>
        <w:t xml:space="preserve">2. Part 1 — Final Integration Readiness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2E539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500"/>
            <w:shd w:fill="2E539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Final component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The HealthConnect No-Show Analysis Power BI dashboard, validated KPI set, and combined risk segment finding.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Problem addressed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Understanding and quantifying why patients miss appointments, so HealthConnect can target interventions.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Current status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Final and validated — KPIs confirmed stable, combined risk segment confirmed across Weeks 6-7.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Improved during Week 7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Confidence in the combined risk finding and reframed, prioritised recommendations.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Depends on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No other track's output; built directly from the HealthConnect Appointment Dataset.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Depended on by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Data Science (feature prioritisation), Project Management (business recommendations).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Output provided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Validated KPIs, the combined risk segment, and engineered fields (Lead Time Band, Distance Band, Prior No-Show Flag).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Output needed from another track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Confirmation from Data Science on whether the combined risk feature improved final model performance.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Evidence of readiness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The finalized dashboard, the validated KPI table, and the combined risk factor table (Section 4).</w:t>
            </w:r>
          </w:p>
        </w:tc>
      </w:tr>
      <w:tr>
        <w:tc>
          <w:tcPr>
            <w:tcW w:type="dxa" w:w="3000"/>
          </w:tcPr>
          <w:p>
            <w:r>
              <w:rPr>
                <w:sz w:val="22"/>
                <w:szCs w:val="22"/>
              </w:rPr>
              <w:t xml:space="preserve">Remaining limitations</w:t>
            </w:r>
          </w:p>
        </w:tc>
        <w:tc>
          <w:tcPr>
            <w:tcW w:type="dxa" w:w="6500"/>
          </w:tcPr>
          <w:p>
            <w:r>
              <w:rPr>
                <w:sz w:val="22"/>
                <w:szCs w:val="22"/>
              </w:rPr>
              <w:t xml:space="preserve">No formal statistical significance testing yet applied to the combined risk segment; fictional dataset limits real-world validation.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Final KPIs</w:t>
      </w:r>
    </w:p>
    <w:p>
      <w:pPr>
        <w:spacing w:after="40" w:before="140"/>
      </w:pPr>
      <w:r>
        <w:rPr>
          <w:b/>
          <w:bCs/>
          <w:color w:val="2E5395"/>
          <w:sz w:val="24"/>
          <w:szCs w:val="24"/>
        </w:rPr>
        <w:t xml:space="preserve">KPI 1 — Overall No-Show Rate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Final value: </w:t>
      </w:r>
      <w:r>
        <w:rPr>
          <w:sz w:val="24"/>
          <w:szCs w:val="24"/>
        </w:rPr>
        <w:t xml:space="preserve">48.46%</w:t>
      </w: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Status: </w:t>
      </w:r>
      <w:r>
        <w:rPr>
          <w:sz w:val="24"/>
          <w:szCs w:val="24"/>
        </w:rPr>
        <w:t xml:space="preserve">Final. Validated as stable across time.</w:t>
      </w:r>
    </w:p>
    <w:p>
      <w:pPr>
        <w:spacing w:after="40" w:before="140"/>
      </w:pPr>
      <w:r>
        <w:rPr>
          <w:b/>
          <w:bCs/>
          <w:color w:val="2E5395"/>
          <w:sz w:val="24"/>
          <w:szCs w:val="24"/>
        </w:rPr>
        <w:t xml:space="preserve">KPI 2 — Repeat No-Show Rate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Final value: </w:t>
      </w:r>
      <w:r>
        <w:rPr>
          <w:sz w:val="24"/>
          <w:szCs w:val="24"/>
        </w:rPr>
        <w:t xml:space="preserve">55.41%</w:t>
      </w: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Status: </w:t>
      </w:r>
      <w:r>
        <w:rPr>
          <w:sz w:val="24"/>
          <w:szCs w:val="24"/>
        </w:rPr>
        <w:t xml:space="preserve">Final. Refined into the combined risk segment below.</w:t>
      </w:r>
    </w:p>
    <w:p>
      <w:pPr>
        <w:spacing w:after="40" w:before="140"/>
      </w:pPr>
      <w:r>
        <w:rPr>
          <w:b/>
          <w:bCs/>
          <w:color w:val="2E5395"/>
          <w:sz w:val="24"/>
          <w:szCs w:val="24"/>
        </w:rPr>
        <w:t xml:space="preserve">KPI 3 — Reminder Effectiveness Gap</w:t>
      </w:r>
    </w:p>
    <w:p>
      <w:pPr>
        <w:spacing w:after="60"/>
      </w:pPr>
      <w:r>
        <w:rPr>
          <w:b/>
          <w:bCs/>
          <w:sz w:val="24"/>
          <w:szCs w:val="24"/>
        </w:rPr>
        <w:t xml:space="preserve">Final value: </w:t>
      </w:r>
      <w:r>
        <w:rPr>
          <w:sz w:val="24"/>
          <w:szCs w:val="24"/>
        </w:rPr>
        <w:t xml:space="preserve">4.03 points</w:t>
      </w: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Status: </w:t>
      </w:r>
      <w:r>
        <w:rPr>
          <w:sz w:val="24"/>
          <w:szCs w:val="24"/>
        </w:rPr>
        <w:t xml:space="preserve">Final. Confirmed as a real, modest, low-cost lever.</w:t>
      </w:r>
    </w:p>
    <w:p>
      <w:pPr>
        <w:spacing w:after="40" w:before="140"/>
      </w:pPr>
      <w:r>
        <w:rPr>
          <w:b/>
          <w:bCs/>
          <w:color w:val="2E5395"/>
          <w:sz w:val="24"/>
          <w:szCs w:val="24"/>
        </w:rPr>
        <w:t xml:space="preserve">KPI 4 — Avg Booking Lead Time (No-Show)</w:t>
      </w:r>
    </w:p>
    <w:p>
      <w:pPr>
        <w:spacing w:after="60"/>
      </w:pPr>
      <w:r>
        <w:rPr>
          <w:b/>
          <w:bCs/>
          <w:sz w:val="24"/>
          <w:szCs w:val="24"/>
        </w:rPr>
        <w:t xml:space="preserve">Final value: </w:t>
      </w:r>
      <w:r>
        <w:rPr>
          <w:sz w:val="24"/>
          <w:szCs w:val="24"/>
        </w:rPr>
        <w:t xml:space="preserve">34.53 days</w:t>
      </w: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Status: </w:t>
      </w:r>
      <w:r>
        <w:rPr>
          <w:sz w:val="24"/>
          <w:szCs w:val="24"/>
        </w:rPr>
        <w:t xml:space="preserve">Final. Confirmed as the single strongest individual driver.</w:t>
      </w:r>
    </w:p>
    <w:p>
      <w:pPr>
        <w:spacing w:after="40" w:before="140"/>
      </w:pPr>
      <w:r>
        <w:rPr>
          <w:b/>
          <w:bCs/>
          <w:color w:val="2E5395"/>
          <w:sz w:val="24"/>
          <w:szCs w:val="24"/>
        </w:rPr>
        <w:t xml:space="preserve">KPI 5 — Avg Distance to Clinic (No-Show)</w:t>
      </w:r>
    </w:p>
    <w:p>
      <w:pPr>
        <w:spacing w:after="60"/>
      </w:pPr>
      <w:r>
        <w:rPr>
          <w:b/>
          <w:bCs/>
          <w:sz w:val="24"/>
          <w:szCs w:val="24"/>
        </w:rPr>
        <w:t xml:space="preserve">Final value: </w:t>
      </w:r>
      <w:r>
        <w:rPr>
          <w:sz w:val="24"/>
          <w:szCs w:val="24"/>
        </w:rPr>
        <w:t xml:space="preserve">10.53km</w:t>
      </w: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Status: </w:t>
      </w:r>
      <w:r>
        <w:rPr>
          <w:sz w:val="24"/>
          <w:szCs w:val="24"/>
        </w:rPr>
        <w:t xml:space="preserve">Final. Confirmed as a secondary factor.</w:t>
      </w:r>
    </w:p>
    <w:p>
      <w:pPr>
        <w:spacing w:after="40" w:before="140"/>
      </w:pPr>
      <w:r>
        <w:rPr>
          <w:b/>
          <w:bCs/>
          <w:color w:val="2E5395"/>
          <w:sz w:val="24"/>
          <w:szCs w:val="24"/>
        </w:rPr>
        <w:t xml:space="preserve">KPI 6 — Combined High-Risk Segment Rate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Final value: </w:t>
      </w:r>
      <w:r>
        <w:rPr>
          <w:sz w:val="24"/>
          <w:szCs w:val="24"/>
        </w:rPr>
        <w:t xml:space="preserve">67.9%</w:t>
      </w:r>
      <w:r>
        <w:rPr>
          <w:sz w:val="24"/>
          <w:szCs w:val="24"/>
        </w:rPr>
        <w:t xml:space="preserve">   </w:t>
      </w:r>
      <w:r>
        <w:rPr>
          <w:b/>
          <w:bCs/>
          <w:sz w:val="24"/>
          <w:szCs w:val="24"/>
        </w:rPr>
        <w:t xml:space="preserve">Status: </w:t>
      </w:r>
      <w:r>
        <w:rPr>
          <w:sz w:val="24"/>
          <w:szCs w:val="24"/>
        </w:rPr>
        <w:t xml:space="preserve">Final. The most actionable finding — patients booked 31+ days ahead with a prior no-show.</w:t>
      </w:r>
    </w:p>
    <w:p>
      <w:pPr>
        <w:pStyle w:val="Heading1"/>
        <w:spacing w:after="150" w:before="300"/>
      </w:pPr>
      <w:r>
        <w:t xml:space="preserve">4. Validated Findings — Most Important Patterns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2E539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Lead Time Band</w:t>
            </w:r>
          </w:p>
        </w:tc>
        <w:tc>
          <w:tcPr>
            <w:tcW w:type="dxa" w:w="3200"/>
            <w:shd w:fill="2E539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 No-Show History</w:t>
            </w:r>
          </w:p>
        </w:tc>
        <w:tc>
          <w:tcPr>
            <w:tcW w:type="dxa" w:w="3100"/>
            <w:shd w:fill="2E539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No-Show Rate</w:t>
            </w:r>
          </w:p>
        </w:tc>
      </w:tr>
      <w:tr>
        <w:tc>
          <w:tcPr>
            <w:tcW w:type="dxa" w:w="3200"/>
          </w:tcPr>
          <w:p>
            <w:r>
              <w:rPr>
                <w:sz w:val="22"/>
                <w:szCs w:val="22"/>
              </w:rPr>
              <w:t xml:space="preserve">0-7 days</w:t>
            </w:r>
          </w:p>
        </w:tc>
        <w:tc>
          <w:tcPr>
            <w:tcW w:type="dxa" w:w="3200"/>
          </w:tcPr>
          <w:p>
            <w:r>
              <w:rPr>
                <w:sz w:val="22"/>
                <w:szCs w:val="22"/>
              </w:rPr>
              <w:t xml:space="preserve">No prior no-shows</w:t>
            </w:r>
          </w:p>
        </w:tc>
        <w:tc>
          <w:tcPr>
            <w:tcW w:type="dxa" w:w="3100"/>
          </w:tcPr>
          <w:p>
            <w:r>
              <w:rPr>
                <w:sz w:val="22"/>
                <w:szCs w:val="22"/>
              </w:rPr>
              <w:t xml:space="preserve">21.8% (lowest)</w:t>
            </w:r>
          </w:p>
        </w:tc>
      </w:tr>
      <w:tr>
        <w:tc>
          <w:tcPr>
            <w:tcW w:type="dxa" w:w="3200"/>
          </w:tcPr>
          <w:p>
            <w:r>
              <w:rPr>
                <w:sz w:val="22"/>
                <w:szCs w:val="22"/>
              </w:rPr>
              <w:t xml:space="preserve">0-7 days</w:t>
            </w:r>
          </w:p>
        </w:tc>
        <w:tc>
          <w:tcPr>
            <w:tcW w:type="dxa" w:w="3200"/>
          </w:tcPr>
          <w:p>
            <w:r>
              <w:rPr>
                <w:sz w:val="22"/>
                <w:szCs w:val="22"/>
              </w:rPr>
              <w:t xml:space="preserve">Has prior no-shows</w:t>
            </w:r>
          </w:p>
        </w:tc>
        <w:tc>
          <w:tcPr>
            <w:tcW w:type="dxa" w:w="3100"/>
          </w:tcPr>
          <w:p>
            <w:r>
              <w:rPr>
                <w:sz w:val="22"/>
                <w:szCs w:val="22"/>
              </w:rPr>
              <w:t xml:space="preserve">36.2%</w:t>
            </w:r>
          </w:p>
        </w:tc>
      </w:tr>
      <w:tr>
        <w:tc>
          <w:tcPr>
            <w:tcW w:type="dxa" w:w="3200"/>
          </w:tcPr>
          <w:p>
            <w:r>
              <w:rPr>
                <w:sz w:val="22"/>
                <w:szCs w:val="22"/>
              </w:rPr>
              <w:t xml:space="preserve">8-30 days</w:t>
            </w:r>
          </w:p>
        </w:tc>
        <w:tc>
          <w:tcPr>
            <w:tcW w:type="dxa" w:w="3200"/>
          </w:tcPr>
          <w:p>
            <w:r>
              <w:rPr>
                <w:sz w:val="22"/>
                <w:szCs w:val="22"/>
              </w:rPr>
              <w:t xml:space="preserve">No prior no-shows</w:t>
            </w:r>
          </w:p>
        </w:tc>
        <w:tc>
          <w:tcPr>
            <w:tcW w:type="dxa" w:w="3100"/>
          </w:tcPr>
          <w:p>
            <w:r>
              <w:rPr>
                <w:sz w:val="22"/>
                <w:szCs w:val="22"/>
              </w:rPr>
              <w:t xml:space="preserve">36.2%</w:t>
            </w:r>
          </w:p>
        </w:tc>
      </w:tr>
      <w:tr>
        <w:tc>
          <w:tcPr>
            <w:tcW w:type="dxa" w:w="3200"/>
          </w:tcPr>
          <w:p>
            <w:r>
              <w:rPr>
                <w:sz w:val="22"/>
                <w:szCs w:val="22"/>
              </w:rPr>
              <w:t xml:space="preserve">8-30 days</w:t>
            </w:r>
          </w:p>
        </w:tc>
        <w:tc>
          <w:tcPr>
            <w:tcW w:type="dxa" w:w="3200"/>
          </w:tcPr>
          <w:p>
            <w:r>
              <w:rPr>
                <w:sz w:val="22"/>
                <w:szCs w:val="22"/>
              </w:rPr>
              <w:t xml:space="preserve">Has prior no-shows</w:t>
            </w:r>
          </w:p>
        </w:tc>
        <w:tc>
          <w:tcPr>
            <w:tcW w:type="dxa" w:w="3100"/>
          </w:tcPr>
          <w:p>
            <w:r>
              <w:rPr>
                <w:sz w:val="22"/>
                <w:szCs w:val="22"/>
              </w:rPr>
              <w:t xml:space="preserve">46.0%</w:t>
            </w:r>
          </w:p>
        </w:tc>
      </w:tr>
      <w:tr>
        <w:tc>
          <w:tcPr>
            <w:tcW w:type="dxa" w:w="3200"/>
          </w:tcPr>
          <w:p>
            <w:r>
              <w:rPr>
                <w:sz w:val="22"/>
                <w:szCs w:val="22"/>
              </w:rPr>
              <w:t xml:space="preserve">31+ days</w:t>
            </w:r>
          </w:p>
        </w:tc>
        <w:tc>
          <w:tcPr>
            <w:tcW w:type="dxa" w:w="3200"/>
          </w:tcPr>
          <w:p>
            <w:r>
              <w:rPr>
                <w:sz w:val="22"/>
                <w:szCs w:val="22"/>
              </w:rPr>
              <w:t xml:space="preserve">No prior no-shows</w:t>
            </w:r>
          </w:p>
        </w:tc>
        <w:tc>
          <w:tcPr>
            <w:tcW w:type="dxa" w:w="3100"/>
          </w:tcPr>
          <w:p>
            <w:r>
              <w:rPr>
                <w:sz w:val="22"/>
                <w:szCs w:val="22"/>
              </w:rPr>
              <w:t xml:space="preserve">55.2%</w:t>
            </w:r>
          </w:p>
        </w:tc>
      </w:tr>
      <w:tr>
        <w:tc>
          <w:tcPr>
            <w:tcW w:type="dxa" w:w="3200"/>
          </w:tcPr>
          <w:p>
            <w:r>
              <w:rPr>
                <w:sz w:val="22"/>
                <w:szCs w:val="22"/>
              </w:rPr>
              <w:t xml:space="preserve">31+ days</w:t>
            </w:r>
          </w:p>
        </w:tc>
        <w:tc>
          <w:tcPr>
            <w:tcW w:type="dxa" w:w="3200"/>
          </w:tcPr>
          <w:p>
            <w:r>
              <w:rPr>
                <w:sz w:val="22"/>
                <w:szCs w:val="22"/>
              </w:rPr>
              <w:t xml:space="preserve">Has prior no-shows</w:t>
            </w:r>
          </w:p>
        </w:tc>
        <w:tc>
          <w:tcPr>
            <w:tcW w:type="dxa" w:w="3100"/>
          </w:tcPr>
          <w:p>
            <w:r>
              <w:rPr>
                <w:sz w:val="22"/>
                <w:szCs w:val="22"/>
              </w:rPr>
              <w:t xml:space="preserve">67.9% (highest)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sz w:val="24"/>
          <w:szCs w:val="24"/>
        </w:rPr>
        <w:t xml:space="preserve">This remains the most important validated pattern: booking lead time and prior no-show history do not act independently — they compound. The highest-risk segment (67.9%) is more than three times as likely to no-show as the lowest-risk segment (21.8%). Additional supporting patterns, confirmed stable: reminders reduce no-shows by a modest 4 points; no-show rate rises with distance from 46.5% to 54.1%; and the December seasonal spike is partly explained by longer average lead times that month.</w:t>
      </w:r>
    </w:p>
    <w:p>
      <w:pPr>
        <w:pStyle w:val="Heading1"/>
        <w:spacing w:after="150" w:before="300"/>
      </w:pPr>
      <w:r>
        <w:t xml:space="preserve">5. Final Dashboard</w:t>
      </w:r>
    </w:p>
    <w:p>
      <w:pPr>
        <w:spacing w:after="160" w:line="300"/>
      </w:pPr>
      <w:r>
        <w:rPr>
          <w:sz w:val="24"/>
          <w:szCs w:val="24"/>
        </w:rPr>
        <w:t xml:space="preserve">The Power BI dashboard below is the final, validated version of the analytical work carried out across Weeks 5-7. All KPI cards and visualisations have been re-confirmed accurate against the source dataset.</w:t>
      </w:r>
    </w:p>
    <w:p>
      <w:pPr>
        <w:spacing w:after="150" w:before="15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1: HealthConnect Clinic — No-Show Analysis dashboard (Power BI), final validated version.</w:t>
      </w:r>
    </w:p>
    <w:p>
      <w:pPr>
        <w:pStyle w:val="Heading1"/>
        <w:spacing w:after="150" w:before="300"/>
      </w:pPr>
      <w:r>
        <w:t xml:space="preserve">6. Business Insights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1. A specific, targetable high-risk segment now exists: </w:t>
      </w:r>
      <w:r>
        <w:rPr>
          <w:sz w:val="24"/>
          <w:szCs w:val="24"/>
        </w:rPr>
        <w:t xml:space="preserve">patients booked 31+ days ahead with a prior no-show (67.9% no-show rate) — a clear, actionable group for intervention.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2. A benchmark for what's achievable: </w:t>
      </w:r>
      <w:r>
        <w:rPr>
          <w:sz w:val="24"/>
          <w:szCs w:val="24"/>
        </w:rPr>
        <w:t xml:space="preserve">the 21.8% no-show rate for early-booked, clean-history patients shows the floor HealthConnect could aim other segments toward.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3. Core metrics are trustworthy: </w:t>
      </w:r>
      <w:r>
        <w:rPr>
          <w:sz w:val="24"/>
          <w:szCs w:val="24"/>
        </w:rPr>
        <w:t xml:space="preserve">the Overall No-Show Rate has proven stable over time, making it a dependable metric for tracking whether future interventions actually work.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4. Reminders and distance are worthwhile but secondary: </w:t>
      </w:r>
      <w:r>
        <w:rPr>
          <w:sz w:val="24"/>
          <w:szCs w:val="24"/>
        </w:rPr>
        <w:t xml:space="preserve">neither compounds as strongly as lead time and history do together.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b/>
          <w:bCs/>
          <w:sz w:val="24"/>
          <w:szCs w:val="24"/>
        </w:rPr>
        <w:t xml:space="preserve">5. The December spike has a partial, addressable explanation: </w:t>
      </w:r>
      <w:r>
        <w:rPr>
          <w:sz w:val="24"/>
          <w:szCs w:val="24"/>
        </w:rPr>
        <w:t xml:space="preserve">tied to longer lead times that month rather than being purely seasonal noise.</w:t>
      </w:r>
    </w:p>
    <w:p>
      <w:pPr>
        <w:pStyle w:val="Heading1"/>
        <w:spacing w:after="150" w:before="300"/>
      </w:pPr>
      <w:r>
        <w:t xml:space="preserve">7. Business Recommendations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FF3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395"/>
                <w:sz w:val="24"/>
                <w:szCs w:val="24"/>
              </w:rPr>
              <w:t xml:space="preserve">Prioritise the combined high-risk segment first</w:t>
            </w:r>
          </w:p>
          <w:p>
            <w:pPr>
              <w:spacing w:after="0"/>
            </w:pPr>
            <w:r>
              <w:rPr>
                <w:sz w:val="24"/>
                <w:szCs w:val="24"/>
              </w:rPr>
              <w:t xml:space="preserve">Patients booked 31+ days ahead who also have a prior no-show should receive HealthConnect's most intensive intervention — for example, a personal phone confirmation rather than a standard reminder.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FF3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395"/>
                <w:sz w:val="24"/>
                <w:szCs w:val="24"/>
              </w:rPr>
              <w:t xml:space="preserve">Use the 21.8% low-risk rate as a scheduling benchmark</w:t>
            </w:r>
          </w:p>
          <w:p>
            <w:pPr>
              <w:spacing w:after="0"/>
            </w:pPr>
            <w:r>
              <w:rPr>
                <w:sz w:val="24"/>
                <w:szCs w:val="24"/>
              </w:rPr>
              <w:t xml:space="preserve">HealthConnect could set this as a target rate for other patient segments when evaluating future interventions.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FF3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395"/>
                <w:sz w:val="24"/>
                <w:szCs w:val="24"/>
              </w:rPr>
              <w:t xml:space="preserve">Treat the December spike as a lead-time issue, not purely seasonal</w:t>
            </w:r>
          </w:p>
          <w:p>
            <w:pPr>
              <w:spacing w:after="0"/>
            </w:pPr>
            <w:r>
              <w:rPr>
                <w:sz w:val="24"/>
                <w:szCs w:val="24"/>
              </w:rPr>
              <w:t xml:space="preserve">Encouraging shorter booking windows around year-end may reduce the spike without a separate holiday-specific program.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FF3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5395"/>
                <w:sz w:val="24"/>
                <w:szCs w:val="24"/>
              </w:rPr>
              <w:t xml:space="preserve">Adopt the Overall No-Show Rate as the primary tracked KPI going forward</w:t>
            </w:r>
          </w:p>
          <w:p>
            <w:pPr>
              <w:spacing w:after="0"/>
            </w:pPr>
            <w:r>
              <w:rPr>
                <w:sz w:val="24"/>
                <w:szCs w:val="24"/>
              </w:rPr>
              <w:t xml:space="preserve">Its confirmed stability across time makes it the most dependable metric for measuring whether future interventions are working.</w:t>
            </w:r>
          </w:p>
        </w:tc>
      </w:tr>
    </w:tbl>
    <w:p>
      <w:pPr>
        <w:pStyle w:val="Heading1"/>
        <w:spacing w:after="150" w:before="300"/>
      </w:pPr>
      <w:r>
        <w:t xml:space="preserve">8. Cross-Track Contribution</w:t>
      </w:r>
    </w:p>
    <w:p>
      <w:pPr>
        <w:spacing w:after="160" w:line="300"/>
      </w:pPr>
      <w:r>
        <w:rPr>
          <w:sz w:val="24"/>
          <w:szCs w:val="24"/>
        </w:rPr>
        <w:t xml:space="preserve">Track collaborated with: Data Science.</w:t>
      </w:r>
    </w:p>
    <w:p>
      <w:pPr>
        <w:spacing w:after="160" w:line="300"/>
      </w:pPr>
      <w:r>
        <w:rPr>
          <w:sz w:val="24"/>
          <w:szCs w:val="24"/>
        </w:rPr>
        <w:t xml:space="preserve">Output provided: the validated ranking of strongest predictors and the combined Lead Time × Prior No-Show risk segmentation, along with the underlying engineered fields (Lead Time Band, Distance Band, Prior No-Show Flag) built in Power Query — all directly usable as model features.</w:t>
      </w:r>
    </w:p>
    <w:p>
      <w:pPr>
        <w:spacing w:after="160" w:line="300"/>
      </w:pPr>
      <w:r>
        <w:rPr>
          <w:sz w:val="24"/>
          <w:szCs w:val="24"/>
        </w:rPr>
        <w:t xml:space="preserve">Output received: confirmation of which features the Data Science track's model incorporates, allowing this analysis to be framed in terms directly relevant to their modelling decisions.</w:t>
      </w:r>
    </w:p>
    <w:p>
      <w:pPr>
        <w:spacing w:after="160" w:line="300"/>
      </w:pPr>
      <w:r>
        <w:rPr>
          <w:sz w:val="24"/>
          <w:szCs w:val="24"/>
        </w:rPr>
        <w:t xml:space="preserve">What changed as a result: the Data Science track was able to prioritise an interaction feature (lead time combined with prior no-show history) rather than treating the two variables independently, giving their final model a validated, business-relevant basis for feature selection.</w:t>
      </w:r>
    </w:p>
    <w:p>
      <w:pPr>
        <w:spacing w:after="160" w:line="300"/>
      </w:pPr>
      <w:r>
        <w:rPr>
          <w:sz w:val="24"/>
          <w:szCs w:val="24"/>
        </w:rPr>
        <w:t xml:space="preserve">Evidence: the combined risk factor table (Section 4), the finalized KPI table (Section 3), and the shared engineered fields in the underlying Power BI data model.</w:t>
      </w:r>
    </w:p>
    <w:p>
      <w:pPr>
        <w:pStyle w:val="Heading1"/>
        <w:spacing w:after="150" w:before="300"/>
      </w:pPr>
      <w:r>
        <w:t xml:space="preserve">9. Analytical Limitations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This is a fictional, anonymized dataset; findings demonstrate the analytical approach rather than real clinical fact.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The combined high-risk segment (1,015 records) is smaller than the full dataset and has not yet been confirmed with formal statistical significance testing.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The December seasonal spike is only partly explained by lead time; holiday-specific effects have not been ruled out.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The dashboard reflects a snapshot of the dataset and does not yet incorporate live/streaming data.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4ea56a1debe4b6d2136c4a009c47cc50684bb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2026-09-26T12:34:47.687Z</dcterms:created>
  <dcterms:modified xsi:type="dcterms:W3CDTF">2026-09-26T12:34:47.695Z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