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Lâm Đồng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2016/68.000058.T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Công ty TNHH Một Thành Viên Nhôm Lâm Đồng-TKV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68.000058.T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Thị trấn Lộc Thắng, Bảo Lâm, Lâm Đồng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0633.961.682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Thị trấn Lộc Thắng, Bảo Lâm, Lâm Đồng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5C76C5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bookmarkStart w:id="7" w:name="_GoBack"/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bookmarkEnd w:id="7"/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 xml:space="preserve">Cặn thải có khả năng sinh axit từ quá trình chế biến quạng sunfua 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01 01 01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340</w:t>
            </w:r>
          </w:p>
        </w:tc>
        <w:tc>
          <w:tcPr>
            <w:tcW w:w="1500" w:type="dxa"/>
          </w:tcPr>
          <w:p>
            <w:pPr/>
            <w:r>
              <w:t>Tẩy rửa, TC</w:t>
            </w:r>
          </w:p>
        </w:tc>
      </w:tr>
      <w:tr>
        <w:tc>
          <w:tcPr>
            <w:tcW w:w="450" w:type="dxa"/>
          </w:tcPr>
          <w:p>
            <w:pPr/>
            <w:r>
              <w:t>2</w:t>
            </w:r>
          </w:p>
        </w:tc>
        <w:tc>
          <w:tcPr>
            <w:tcW w:w="6750" w:type="dxa"/>
          </w:tcPr>
          <w:p>
            <w:pPr/>
            <w:r>
              <w:t>Mùn cưa nhiễm dầu, mỡ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12 08 01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460</w:t>
            </w:r>
          </w:p>
        </w:tc>
        <w:tc>
          <w:tcPr>
            <w:tcW w:w="1500" w:type="dxa"/>
          </w:tcPr>
          <w:p>
            <w:pPr/>
            <w:r>
              <w:t>Tẩy rửa, TC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687F37">
      <w:pgSz w:w="11909" w:h="16834" w:code="9"/>
      <w:pgMar w:top="50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203DA"/>
    <w:rsid w:val="00447C53"/>
    <w:rsid w:val="0049633A"/>
    <w:rsid w:val="004A206A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10</cp:revision>
  <dcterms:created xsi:type="dcterms:W3CDTF">2017-02-26T09:16:00Z</dcterms:created>
  <dcterms:modified xsi:type="dcterms:W3CDTF">2017-03-05T04:57:00Z</dcterms:modified>
</cp:coreProperties>
</file>