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2847"/>
          <w:sz w:val="52"/>
        </w:rPr>
        <w:t>NEWVION</w:t>
      </w:r>
    </w:p>
    <w:p>
      <w:pPr>
        <w:jc w:val="center"/>
      </w:pPr>
      <w:r>
        <w:rPr>
          <w:b/>
          <w:color w:val="112847"/>
          <w:sz w:val="40"/>
        </w:rPr>
        <w:t>Rural Studio Boat + Rural Connect</w:t>
      </w:r>
    </w:p>
    <w:p>
      <w:pPr>
        <w:jc w:val="center"/>
      </w:pPr>
      <w:r>
        <w:rPr>
          <w:color w:val="B18A43"/>
          <w:sz w:val="30"/>
        </w:rPr>
        <w:t>Glades County / Moore Haven Pilot</w:t>
      </w:r>
    </w:p>
    <w:p>
      <w:pPr>
        <w:jc w:val="center"/>
      </w:pPr>
      <w:r>
        <w:rPr>
          <w:i/>
          <w:color w:val="5A6069"/>
          <w:sz w:val="23"/>
        </w:rPr>
        <w:t>Executive Summary, Grant Narrative, Sources &amp; Uses, and Outcomes</w:t>
      </w:r>
    </w:p>
    <w:p>
      <w:pPr>
        <w:jc w:val="center"/>
      </w:pPr>
      <w:r>
        <w:rPr>
          <w:b/>
          <w:color w:val="112847"/>
          <w:sz w:val="24"/>
        </w:rPr>
        <w:t>Broadcasting Wellness. Connecting Communities.</w:t>
      </w:r>
    </w:p>
    <w:p/>
    <w:tbl>
      <w:tblPr>
        <w:tblW w:type="auto" w:w="0"/>
        <w:jc w:val="center"/>
        <w:tblLook w:firstColumn="1" w:firstRow="1" w:lastColumn="0" w:lastRow="0" w:noHBand="0" w:noVBand="1" w:val="04A0"/>
      </w:tblPr>
      <w:tblGrid>
        <w:gridCol w:w="3168"/>
        <w:gridCol w:w="3168"/>
        <w:gridCol w:w="3168"/>
      </w:tblGrid>
      <w:tr>
        <w:tc>
          <w:tcPr>
            <w:tcW w:type="dxa" w:w="3312"/>
            <w:shd w:fill="F4F6F8"/>
            <w:tcMar>
              <w:top w:w="90" w:type="dxa"/>
              <w:start w:w="90" w:type="dxa"/>
              <w:bottom w:w="90" w:type="dxa"/>
              <w:end w:w="90" w:type="dxa"/>
            </w:tcMar>
            <w:vAlign w:val="center"/>
          </w:tcPr>
          <w:p>
            <w:pPr>
              <w:jc w:val="center"/>
            </w:pPr>
            <w:r>
              <w:rPr>
                <w:b/>
                <w:color w:val="112847"/>
                <w:sz w:val="21"/>
              </w:rPr>
              <w:t>Pilot Purpose</w:t>
              <w:br/>
            </w:r>
            <w:r>
              <w:rPr>
                <w:sz w:val="18"/>
              </w:rPr>
              <w:t>Launch a partner-backed health, workforce, and engagement platform.</w:t>
            </w:r>
          </w:p>
        </w:tc>
        <w:tc>
          <w:tcPr>
            <w:tcW w:type="dxa" w:w="3312"/>
            <w:shd w:fill="F4F6F8"/>
            <w:tcMar>
              <w:top w:w="90" w:type="dxa"/>
              <w:start w:w="90" w:type="dxa"/>
              <w:bottom w:w="90" w:type="dxa"/>
              <w:end w:w="90" w:type="dxa"/>
            </w:tcMar>
            <w:vAlign w:val="center"/>
          </w:tcPr>
          <w:p>
            <w:pPr>
              <w:jc w:val="center"/>
            </w:pPr>
            <w:r>
              <w:rPr>
                <w:b/>
                <w:color w:val="112847"/>
                <w:sz w:val="21"/>
              </w:rPr>
              <w:t>Core Assets</w:t>
              <w:br/>
            </w:r>
            <w:r>
              <w:rPr>
                <w:sz w:val="18"/>
              </w:rPr>
              <w:t>Rural Studio Boat, Rural Connect platform, community programming.</w:t>
            </w:r>
          </w:p>
        </w:tc>
        <w:tc>
          <w:tcPr>
            <w:tcW w:type="dxa" w:w="3312"/>
            <w:shd w:fill="F4F6F8"/>
            <w:tcMar>
              <w:top w:w="90" w:type="dxa"/>
              <w:start w:w="90" w:type="dxa"/>
              <w:bottom w:w="90" w:type="dxa"/>
              <w:end w:w="90" w:type="dxa"/>
            </w:tcMar>
            <w:vAlign w:val="center"/>
          </w:tcPr>
          <w:p>
            <w:pPr>
              <w:jc w:val="center"/>
            </w:pPr>
            <w:r>
              <w:rPr>
                <w:b/>
                <w:color w:val="112847"/>
                <w:sz w:val="21"/>
              </w:rPr>
              <w:t>Model</w:t>
              <w:br/>
            </w:r>
            <w:r>
              <w:rPr>
                <w:sz w:val="18"/>
              </w:rPr>
              <w:t>Grant-supported launch with memberships, classes, and sponsors for sustainability.</w:t>
            </w:r>
          </w:p>
        </w:tc>
      </w:tr>
    </w:tbl>
    <w:p>
      <w:r>
        <w:br w:type="page"/>
      </w:r>
    </w:p>
    <w:p>
      <w:r>
        <w:rPr>
          <w:b/>
          <w:color w:val="112847"/>
          <w:sz w:val="30"/>
        </w:rPr>
        <w:t>Executive Summary</w:t>
      </w:r>
    </w:p>
    <w:p>
      <w:pPr>
        <w:spacing w:after="100" w:line="264" w:lineRule="auto"/>
      </w:pPr>
      <w:r>
        <w:rPr>
          <w:sz w:val="21"/>
        </w:rPr>
        <w:t>Newvion, in partnership with Glades County, the City of Moore Haven, Florida Gulf Coast University, Hendry Regional Medical Center, and the Southwest Florida Regional Planning Council, proposes the launch of a Rural Studio Boat and Rural Connect digital platform to support community health engagement, workforce development, and economic growth.</w:t>
      </w:r>
    </w:p>
    <w:p>
      <w:pPr>
        <w:spacing w:after="100" w:line="264" w:lineRule="auto"/>
      </w:pPr>
      <w:r>
        <w:rPr>
          <w:sz w:val="21"/>
        </w:rPr>
        <w:t>This pilot establishes a coordinated system that combines a locally deployed digital platform with a physical media and programming hub to deliver accessible, community-based content and services. The initiative addresses gaps in communication, access, and engagement by providing residents with both in-person and digital opportunities to participate in health education, workforce training, and community programming.</w:t>
      </w:r>
    </w:p>
    <w:p>
      <w:pPr>
        <w:spacing w:after="100" w:line="264" w:lineRule="auto"/>
      </w:pPr>
      <w:r>
        <w:rPr>
          <w:sz w:val="21"/>
        </w:rPr>
        <w:t>The Rural Studio Boat serves as a central content and engagement hub within a broader network of Newvion program-based boats, including wellness, culinary, and workforce-focused experiences. While these complementary boats deliver services and programming directly to the community, the Studio Boat captures, produces, and distributes that activity—amplifying reach through the Rural Connect platform and ensuring consistent communication across programs.</w:t>
      </w:r>
    </w:p>
    <w:p>
      <w:pPr>
        <w:spacing w:after="100" w:line="264" w:lineRule="auto"/>
      </w:pPr>
      <w:r>
        <w:rPr>
          <w:sz w:val="21"/>
        </w:rPr>
        <w:t>Funding is requested to support local deployment of the digital platform, class and content production, production equipment, operational equipment, and startup programming. The model is designed to become increasingly self-sustaining through memberships, classes, sponsorships, and selective grant support for free community programming and scholarships.</w:t>
      </w:r>
    </w:p>
    <w:p>
      <w:r>
        <w:rPr>
          <w:b/>
          <w:color w:val="112847"/>
          <w:sz w:val="30"/>
        </w:rPr>
        <w:t>Partnership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12847"/>
            <w:vAlign w:val="center"/>
          </w:tcPr>
          <w:p>
            <w:pPr>
              <w:jc w:val="center"/>
            </w:pPr>
            <w:r>
              <w:rPr>
                <w:b/>
                <w:color w:val="FFFFFF"/>
                <w:sz w:val="20"/>
              </w:rPr>
              <w:t>Partner</w:t>
            </w:r>
          </w:p>
        </w:tc>
        <w:tc>
          <w:tcPr>
            <w:tcW w:type="dxa" w:w="3312"/>
            <w:shd w:fill="112847"/>
            <w:vAlign w:val="center"/>
          </w:tcPr>
          <w:p>
            <w:pPr>
              <w:jc w:val="center"/>
            </w:pPr>
            <w:r>
              <w:rPr>
                <w:b/>
                <w:color w:val="FFFFFF"/>
                <w:sz w:val="20"/>
              </w:rPr>
              <w:t>Role</w:t>
            </w:r>
          </w:p>
        </w:tc>
        <w:tc>
          <w:tcPr>
            <w:tcW w:type="dxa" w:w="3312"/>
            <w:shd w:fill="112847"/>
            <w:vAlign w:val="center"/>
          </w:tcPr>
          <w:p>
            <w:pPr>
              <w:jc w:val="center"/>
            </w:pPr>
            <w:r>
              <w:rPr>
                <w:b/>
                <w:color w:val="FFFFFF"/>
                <w:sz w:val="20"/>
              </w:rPr>
              <w:t>Value to Pilot</w:t>
            </w:r>
          </w:p>
        </w:tc>
      </w:tr>
      <w:tr>
        <w:tc>
          <w:tcPr>
            <w:tcW w:type="dxa" w:w="3312"/>
            <w:vAlign w:val="center"/>
            <w:tcMar>
              <w:top w:w="70" w:type="dxa"/>
              <w:start w:w="85" w:type="dxa"/>
              <w:bottom w:w="70" w:type="dxa"/>
              <w:end w:w="85" w:type="dxa"/>
            </w:tcMar>
          </w:tcPr>
          <w:p>
            <w:pPr>
              <w:spacing w:after="20"/>
            </w:pPr>
            <w:r>
              <w:rPr>
                <w:sz w:val="19"/>
              </w:rPr>
              <w:t>Glades County / Moore Haven</w:t>
            </w:r>
          </w:p>
        </w:tc>
        <w:tc>
          <w:tcPr>
            <w:tcW w:type="dxa" w:w="3312"/>
            <w:vAlign w:val="center"/>
            <w:tcMar>
              <w:top w:w="70" w:type="dxa"/>
              <w:start w:w="85" w:type="dxa"/>
              <w:bottom w:w="70" w:type="dxa"/>
              <w:end w:w="85" w:type="dxa"/>
            </w:tcMar>
          </w:tcPr>
          <w:p>
            <w:pPr>
              <w:spacing w:after="20"/>
            </w:pPr>
            <w:r>
              <w:rPr>
                <w:sz w:val="19"/>
              </w:rPr>
              <w:t>Local coordination and dock access in lieu of fees</w:t>
            </w:r>
          </w:p>
        </w:tc>
        <w:tc>
          <w:tcPr>
            <w:tcW w:type="dxa" w:w="3312"/>
            <w:vAlign w:val="center"/>
            <w:tcMar>
              <w:top w:w="70" w:type="dxa"/>
              <w:start w:w="85" w:type="dxa"/>
              <w:bottom w:w="70" w:type="dxa"/>
              <w:end w:w="85" w:type="dxa"/>
            </w:tcMar>
          </w:tcPr>
          <w:p>
            <w:pPr>
              <w:spacing w:after="20"/>
            </w:pPr>
            <w:r>
              <w:rPr>
                <w:sz w:val="19"/>
              </w:rPr>
              <w:t>Anchors the pilot in a visible community setting</w:t>
            </w:r>
          </w:p>
        </w:tc>
      </w:tr>
      <w:tr>
        <w:tc>
          <w:tcPr>
            <w:tcW w:type="dxa" w:w="3312"/>
            <w:vAlign w:val="center"/>
            <w:tcMar>
              <w:top w:w="70" w:type="dxa"/>
              <w:start w:w="85" w:type="dxa"/>
              <w:bottom w:w="70" w:type="dxa"/>
              <w:end w:w="85" w:type="dxa"/>
            </w:tcMar>
          </w:tcPr>
          <w:p>
            <w:pPr>
              <w:spacing w:after="20"/>
            </w:pPr>
            <w:r>
              <w:rPr>
                <w:sz w:val="19"/>
              </w:rPr>
              <w:t>Florida Gulf Coast University</w:t>
            </w:r>
          </w:p>
        </w:tc>
        <w:tc>
          <w:tcPr>
            <w:tcW w:type="dxa" w:w="3312"/>
            <w:vAlign w:val="center"/>
            <w:tcMar>
              <w:top w:w="70" w:type="dxa"/>
              <w:start w:w="85" w:type="dxa"/>
              <w:bottom w:w="70" w:type="dxa"/>
              <w:end w:w="85" w:type="dxa"/>
            </w:tcMar>
          </w:tcPr>
          <w:p>
            <w:pPr>
              <w:spacing w:after="20"/>
            </w:pPr>
            <w:r>
              <w:rPr>
                <w:sz w:val="19"/>
              </w:rPr>
              <w:t>Interns, workforce development, and training support</w:t>
            </w:r>
          </w:p>
        </w:tc>
        <w:tc>
          <w:tcPr>
            <w:tcW w:type="dxa" w:w="3312"/>
            <w:vAlign w:val="center"/>
            <w:tcMar>
              <w:top w:w="70" w:type="dxa"/>
              <w:start w:w="85" w:type="dxa"/>
              <w:bottom w:w="70" w:type="dxa"/>
              <w:end w:w="85" w:type="dxa"/>
            </w:tcMar>
          </w:tcPr>
          <w:p>
            <w:pPr>
              <w:spacing w:after="20"/>
            </w:pPr>
            <w:r>
              <w:rPr>
                <w:sz w:val="19"/>
              </w:rPr>
              <w:t>Reduces staffing pressure and strengthens program delivery</w:t>
            </w:r>
          </w:p>
        </w:tc>
      </w:tr>
      <w:tr>
        <w:tc>
          <w:tcPr>
            <w:tcW w:type="dxa" w:w="3312"/>
            <w:vAlign w:val="center"/>
            <w:tcMar>
              <w:top w:w="70" w:type="dxa"/>
              <w:start w:w="85" w:type="dxa"/>
              <w:bottom w:w="70" w:type="dxa"/>
              <w:end w:w="85" w:type="dxa"/>
            </w:tcMar>
          </w:tcPr>
          <w:p>
            <w:pPr>
              <w:spacing w:after="20"/>
            </w:pPr>
            <w:r>
              <w:rPr>
                <w:sz w:val="19"/>
              </w:rPr>
              <w:t>Hendry Regional Medical Center</w:t>
            </w:r>
          </w:p>
        </w:tc>
        <w:tc>
          <w:tcPr>
            <w:tcW w:type="dxa" w:w="3312"/>
            <w:vAlign w:val="center"/>
            <w:tcMar>
              <w:top w:w="70" w:type="dxa"/>
              <w:start w:w="85" w:type="dxa"/>
              <w:bottom w:w="70" w:type="dxa"/>
              <w:end w:w="85" w:type="dxa"/>
            </w:tcMar>
          </w:tcPr>
          <w:p>
            <w:pPr>
              <w:spacing w:after="20"/>
            </w:pPr>
            <w:r>
              <w:rPr>
                <w:sz w:val="19"/>
              </w:rPr>
              <w:t>Health and wellness content and provider participation</w:t>
            </w:r>
          </w:p>
        </w:tc>
        <w:tc>
          <w:tcPr>
            <w:tcW w:type="dxa" w:w="3312"/>
            <w:vAlign w:val="center"/>
            <w:tcMar>
              <w:top w:w="70" w:type="dxa"/>
              <w:start w:w="85" w:type="dxa"/>
              <w:bottom w:w="70" w:type="dxa"/>
              <w:end w:w="85" w:type="dxa"/>
            </w:tcMar>
          </w:tcPr>
          <w:p>
            <w:pPr>
              <w:spacing w:after="20"/>
            </w:pPr>
            <w:r>
              <w:rPr>
                <w:sz w:val="19"/>
              </w:rPr>
              <w:t>Connects programming to real healthcare outcomes</w:t>
            </w:r>
          </w:p>
        </w:tc>
      </w:tr>
      <w:tr>
        <w:tc>
          <w:tcPr>
            <w:tcW w:type="dxa" w:w="3312"/>
            <w:vAlign w:val="center"/>
            <w:tcMar>
              <w:top w:w="70" w:type="dxa"/>
              <w:start w:w="85" w:type="dxa"/>
              <w:bottom w:w="70" w:type="dxa"/>
              <w:end w:w="85" w:type="dxa"/>
            </w:tcMar>
          </w:tcPr>
          <w:p>
            <w:pPr>
              <w:spacing w:after="20"/>
            </w:pPr>
            <w:r>
              <w:rPr>
                <w:sz w:val="19"/>
              </w:rPr>
              <w:t>SWFRPC</w:t>
            </w:r>
          </w:p>
        </w:tc>
        <w:tc>
          <w:tcPr>
            <w:tcW w:type="dxa" w:w="3312"/>
            <w:vAlign w:val="center"/>
            <w:tcMar>
              <w:top w:w="70" w:type="dxa"/>
              <w:start w:w="85" w:type="dxa"/>
              <w:bottom w:w="70" w:type="dxa"/>
              <w:end w:w="85" w:type="dxa"/>
            </w:tcMar>
          </w:tcPr>
          <w:p>
            <w:pPr>
              <w:spacing w:after="20"/>
            </w:pPr>
            <w:r>
              <w:rPr>
                <w:sz w:val="19"/>
              </w:rPr>
              <w:t>Regional promotion, planning alignment, and coordination</w:t>
            </w:r>
          </w:p>
        </w:tc>
        <w:tc>
          <w:tcPr>
            <w:tcW w:type="dxa" w:w="3312"/>
            <w:vAlign w:val="center"/>
            <w:tcMar>
              <w:top w:w="70" w:type="dxa"/>
              <w:start w:w="85" w:type="dxa"/>
              <w:bottom w:w="70" w:type="dxa"/>
              <w:end w:w="85" w:type="dxa"/>
            </w:tcMar>
          </w:tcPr>
          <w:p>
            <w:pPr>
              <w:spacing w:after="20"/>
            </w:pPr>
            <w:r>
              <w:rPr>
                <w:sz w:val="19"/>
              </w:rPr>
              <w:t>Extends credibility and future scalability</w:t>
            </w:r>
          </w:p>
        </w:tc>
      </w:tr>
    </w:tbl>
    <w:p>
      <w:r>
        <w:rPr>
          <w:b/>
          <w:color w:val="112847"/>
          <w:sz w:val="30"/>
        </w:rPr>
        <w:t>Grant Narrative</w:t>
      </w:r>
    </w:p>
    <w:p>
      <w:r>
        <w:rPr>
          <w:b/>
          <w:color w:val="B18A43"/>
          <w:sz w:val="23"/>
        </w:rPr>
        <w:t>Project Overview</w:t>
      </w:r>
    </w:p>
    <w:p>
      <w:pPr>
        <w:spacing w:after="100" w:line="264" w:lineRule="auto"/>
      </w:pPr>
      <w:r>
        <w:rPr>
          <w:sz w:val="21"/>
        </w:rPr>
        <w:t>The Newvion Rural Studio Boat and Rural Connect platform establish a community-based system for delivering coordinated health communication, workforce development, and engagement programming in Glades County. The project integrates a physical programming hub with a digital platform to ensure that content and services are accessible both in-person and online.</w:t>
      </w:r>
    </w:p>
    <w:p>
      <w:r>
        <w:rPr>
          <w:b/>
          <w:color w:val="B18A43"/>
          <w:sz w:val="23"/>
        </w:rPr>
        <w:t>Program Objectives</w:t>
      </w:r>
    </w:p>
    <w:p>
      <w:pPr>
        <w:pStyle w:val="ListBullet"/>
        <w:spacing w:after="40" w:line="259" w:lineRule="auto"/>
      </w:pPr>
      <w:r>
        <w:rPr>
          <w:sz w:val="20"/>
        </w:rPr>
        <w:t>Expand access to health and wellness education.</w:t>
      </w:r>
    </w:p>
    <w:p>
      <w:pPr>
        <w:pStyle w:val="ListBullet"/>
        <w:spacing w:after="40" w:line="259" w:lineRule="auto"/>
      </w:pPr>
      <w:r>
        <w:rPr>
          <w:sz w:val="20"/>
        </w:rPr>
        <w:t>Increase community engagement through local content, classes, and events.</w:t>
      </w:r>
    </w:p>
    <w:p>
      <w:pPr>
        <w:pStyle w:val="ListBullet"/>
        <w:spacing w:after="40" w:line="259" w:lineRule="auto"/>
      </w:pPr>
      <w:r>
        <w:rPr>
          <w:sz w:val="20"/>
        </w:rPr>
        <w:t>Support workforce development through student training and internships.</w:t>
      </w:r>
    </w:p>
    <w:p>
      <w:pPr>
        <w:pStyle w:val="ListBullet"/>
        <w:spacing w:after="40" w:line="259" w:lineRule="auto"/>
      </w:pPr>
      <w:r>
        <w:rPr>
          <w:sz w:val="20"/>
        </w:rPr>
        <w:t>Provide a platform for local organizations, businesses, and providers to communicate with residents.</w:t>
      </w:r>
    </w:p>
    <w:p>
      <w:pPr>
        <w:pStyle w:val="ListBullet"/>
        <w:spacing w:after="40" w:line="259" w:lineRule="auto"/>
      </w:pPr>
      <w:r>
        <w:rPr>
          <w:sz w:val="20"/>
        </w:rPr>
        <w:t>Establish a sustainable model that can be replicated in other rural communities.</w:t>
      </w:r>
    </w:p>
    <w:p>
      <w:r>
        <w:rPr>
          <w:b/>
          <w:color w:val="B18A43"/>
          <w:sz w:val="23"/>
        </w:rPr>
        <w:t>How the Studio Boat Complements Other Newvion Boats</w:t>
      </w:r>
    </w:p>
    <w:p>
      <w:pPr>
        <w:spacing w:after="100" w:line="264" w:lineRule="auto"/>
      </w:pPr>
      <w:r>
        <w:rPr>
          <w:sz w:val="21"/>
        </w:rPr>
        <w:t>The Rural Studio Boat is designed to complement and strengthen a broader ecosystem of Newvion program-based boats that deliver wellness, culinary, and workforce programming within the community. These boats provide direct services such as fitness, nutrition, experiential learning, and community activation. The Studio Boat functions as the central platform for capturing, producing, and distributing this programming through live and on-demand formats.</w:t>
      </w:r>
    </w:p>
    <w:p>
      <w:pPr>
        <w:spacing w:after="100" w:line="264" w:lineRule="auto"/>
      </w:pPr>
      <w:r>
        <w:rPr>
          <w:sz w:val="21"/>
        </w:rPr>
        <w:t>By integrating content production with service delivery, the model expands the reach of each program beyond its physical location. Classes, demonstrations, interviews, and events can be recorded, streamed, and shared through the Rural Connect platform, increasing access for residents who may not be able to attend in person.</w:t>
      </w:r>
    </w:p>
    <w:p>
      <w:r>
        <w:rPr>
          <w:b/>
          <w:color w:val="B18A43"/>
          <w:sz w:val="23"/>
        </w:rPr>
        <w:t>Program Components</w:t>
      </w:r>
    </w:p>
    <w:p>
      <w:pPr>
        <w:pStyle w:val="ListBullet"/>
        <w:spacing w:after="40" w:line="259" w:lineRule="auto"/>
      </w:pPr>
      <w:r>
        <w:rPr>
          <w:sz w:val="20"/>
        </w:rPr>
        <w:t>Rural Studio Boat: podcast production, interviews, community classes, workshops, and health communication programming.</w:t>
      </w:r>
    </w:p>
    <w:p>
      <w:pPr>
        <w:pStyle w:val="ListBullet"/>
        <w:spacing w:after="40" w:line="259" w:lineRule="auto"/>
      </w:pPr>
      <w:r>
        <w:rPr>
          <w:sz w:val="20"/>
        </w:rPr>
        <w:t>Rural Connect platform: on-demand access to classes and content, live-streamed programming, community information, and low-cost memberships.</w:t>
      </w:r>
    </w:p>
    <w:p>
      <w:pPr>
        <w:pStyle w:val="ListBullet"/>
        <w:spacing w:after="40" w:line="259" w:lineRule="auto"/>
      </w:pPr>
      <w:r>
        <w:rPr>
          <w:sz w:val="20"/>
        </w:rPr>
        <w:t>Programming and content delivery: health education, workforce and skills-based training, community storytelling, local business features, and live events.</w:t>
      </w:r>
    </w:p>
    <w:p>
      <w:r>
        <w:rPr>
          <w:b/>
          <w:color w:val="112847"/>
          <w:sz w:val="30"/>
        </w:rPr>
        <w:t>Sources &amp; Uses of Funds</w:t>
      </w:r>
    </w:p>
    <w:p>
      <w:pPr>
        <w:spacing w:after="100" w:line="264" w:lineRule="auto"/>
      </w:pPr>
      <w:r>
        <w:rPr>
          <w:sz w:val="21"/>
        </w:rPr>
        <w:t>The funding structure below is focused on equipment, platform deployment, and program launch. It does not assume boat construction costs. The model reflects rent-based operations with dock access provided locally in lieu of fees.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12847"/>
          </w:tcPr>
          <w:p>
            <w:pPr>
              <w:jc w:val="center"/>
            </w:pPr>
            <w:r>
              <w:rPr>
                <w:b/>
                <w:color w:val="FFFFFF"/>
                <w:sz w:val="20"/>
              </w:rPr>
              <w:t>Use Category</w:t>
            </w:r>
          </w:p>
        </w:tc>
        <w:tc>
          <w:tcPr>
            <w:tcW w:type="dxa" w:w="3312"/>
            <w:shd w:fill="112847"/>
          </w:tcPr>
          <w:p>
            <w:pPr>
              <w:jc w:val="center"/>
            </w:pPr>
            <w:r>
              <w:rPr>
                <w:b/>
                <w:color w:val="FFFFFF"/>
                <w:sz w:val="20"/>
              </w:rPr>
              <w:t>Description</w:t>
            </w:r>
          </w:p>
        </w:tc>
        <w:tc>
          <w:tcPr>
            <w:tcW w:type="dxa" w:w="3312"/>
            <w:shd w:fill="112847"/>
          </w:tcPr>
          <w:p>
            <w:pPr>
              <w:jc w:val="center"/>
            </w:pPr>
            <w:r>
              <w:rPr>
                <w:b/>
                <w:color w:val="FFFFFF"/>
                <w:sz w:val="20"/>
              </w:rPr>
              <w:t>Cost Range</w:t>
            </w:r>
          </w:p>
        </w:tc>
      </w:tr>
      <w:tr>
        <w:tc>
          <w:tcPr>
            <w:tcW w:type="dxa" w:w="3312"/>
            <w:tcMar>
              <w:top w:w="70" w:type="dxa"/>
              <w:start w:w="80" w:type="dxa"/>
              <w:bottom w:w="70" w:type="dxa"/>
              <w:end w:w="80" w:type="dxa"/>
            </w:tcMar>
            <w:vAlign w:val="center"/>
          </w:tcPr>
          <w:p>
            <w:r>
              <w:rPr>
                <w:sz w:val="19"/>
              </w:rPr>
              <w:t>Studio Equipment &amp; Production Systems</w:t>
            </w:r>
          </w:p>
        </w:tc>
        <w:tc>
          <w:tcPr>
            <w:tcW w:type="dxa" w:w="3312"/>
            <w:tcMar>
              <w:top w:w="70" w:type="dxa"/>
              <w:start w:w="80" w:type="dxa"/>
              <w:bottom w:w="70" w:type="dxa"/>
              <w:end w:w="80" w:type="dxa"/>
            </w:tcMar>
            <w:vAlign w:val="center"/>
          </w:tcPr>
          <w:p>
            <w:r>
              <w:rPr>
                <w:sz w:val="19"/>
              </w:rPr>
              <w:t>Cameras, audio, switching, lighting, editing workstations, storage systems</w:t>
            </w:r>
          </w:p>
        </w:tc>
        <w:tc>
          <w:tcPr>
            <w:tcW w:type="dxa" w:w="3312"/>
            <w:tcMar>
              <w:top w:w="70" w:type="dxa"/>
              <w:start w:w="80" w:type="dxa"/>
              <w:bottom w:w="70" w:type="dxa"/>
              <w:end w:w="80" w:type="dxa"/>
            </w:tcMar>
            <w:vAlign w:val="center"/>
          </w:tcPr>
          <w:p>
            <w:pPr>
              <w:jc w:val="center"/>
            </w:pPr>
            <w:r>
              <w:rPr>
                <w:sz w:val="19"/>
              </w:rPr>
              <w:t>$55,000 – $95,000</w:t>
            </w:r>
          </w:p>
        </w:tc>
      </w:tr>
      <w:tr>
        <w:tc>
          <w:tcPr>
            <w:tcW w:type="dxa" w:w="3312"/>
            <w:tcMar>
              <w:top w:w="70" w:type="dxa"/>
              <w:start w:w="80" w:type="dxa"/>
              <w:bottom w:w="70" w:type="dxa"/>
              <w:end w:w="80" w:type="dxa"/>
            </w:tcMar>
            <w:vAlign w:val="center"/>
          </w:tcPr>
          <w:p>
            <w:r>
              <w:rPr>
                <w:sz w:val="19"/>
              </w:rPr>
              <w:t>Furniture &amp; Interior Setup</w:t>
            </w:r>
          </w:p>
        </w:tc>
        <w:tc>
          <w:tcPr>
            <w:tcW w:type="dxa" w:w="3312"/>
            <w:tcMar>
              <w:top w:w="70" w:type="dxa"/>
              <w:start w:w="80" w:type="dxa"/>
              <w:bottom w:w="70" w:type="dxa"/>
              <w:end w:w="80" w:type="dxa"/>
            </w:tcMar>
            <w:vAlign w:val="center"/>
          </w:tcPr>
          <w:p>
            <w:r>
              <w:rPr>
                <w:sz w:val="19"/>
              </w:rPr>
              <w:t>Podcast table and chairs, reception desk, interview lounge, workspace/admin furniture</w:t>
            </w:r>
          </w:p>
        </w:tc>
        <w:tc>
          <w:tcPr>
            <w:tcW w:type="dxa" w:w="3312"/>
            <w:tcMar>
              <w:top w:w="70" w:type="dxa"/>
              <w:start w:w="80" w:type="dxa"/>
              <w:bottom w:w="70" w:type="dxa"/>
              <w:end w:w="80" w:type="dxa"/>
            </w:tcMar>
            <w:vAlign w:val="center"/>
          </w:tcPr>
          <w:p>
            <w:pPr>
              <w:jc w:val="center"/>
            </w:pPr>
            <w:r>
              <w:rPr>
                <w:sz w:val="19"/>
              </w:rPr>
              <w:t>$16,000 – $35,000</w:t>
            </w:r>
          </w:p>
        </w:tc>
      </w:tr>
      <w:tr>
        <w:tc>
          <w:tcPr>
            <w:tcW w:type="dxa" w:w="3312"/>
            <w:tcMar>
              <w:top w:w="70" w:type="dxa"/>
              <w:start w:w="80" w:type="dxa"/>
              <w:bottom w:w="70" w:type="dxa"/>
              <w:end w:w="80" w:type="dxa"/>
            </w:tcMar>
            <w:vAlign w:val="center"/>
          </w:tcPr>
          <w:p>
            <w:r>
              <w:rPr>
                <w:sz w:val="19"/>
              </w:rPr>
              <w:t>Kitchen / Hospitality Prep Area</w:t>
            </w:r>
          </w:p>
        </w:tc>
        <w:tc>
          <w:tcPr>
            <w:tcW w:type="dxa" w:w="3312"/>
            <w:tcMar>
              <w:top w:w="70" w:type="dxa"/>
              <w:start w:w="80" w:type="dxa"/>
              <w:bottom w:w="70" w:type="dxa"/>
              <w:end w:w="80" w:type="dxa"/>
            </w:tcMar>
            <w:vAlign w:val="center"/>
          </w:tcPr>
          <w:p>
            <w:r>
              <w:rPr>
                <w:sz w:val="19"/>
              </w:rPr>
              <w:t>Light kitchen for employee and guest needs, coffee/beverage, refrigeration, sink, prep cabinetry</w:t>
            </w:r>
          </w:p>
        </w:tc>
        <w:tc>
          <w:tcPr>
            <w:tcW w:type="dxa" w:w="3312"/>
            <w:tcMar>
              <w:top w:w="70" w:type="dxa"/>
              <w:start w:w="80" w:type="dxa"/>
              <w:bottom w:w="70" w:type="dxa"/>
              <w:end w:w="80" w:type="dxa"/>
            </w:tcMar>
            <w:vAlign w:val="center"/>
          </w:tcPr>
          <w:p>
            <w:pPr>
              <w:jc w:val="center"/>
            </w:pPr>
            <w:r>
              <w:rPr>
                <w:sz w:val="19"/>
              </w:rPr>
              <w:t>$8,500 – $18,000</w:t>
            </w:r>
          </w:p>
        </w:tc>
      </w:tr>
      <w:tr>
        <w:tc>
          <w:tcPr>
            <w:tcW w:type="dxa" w:w="3312"/>
            <w:tcMar>
              <w:top w:w="70" w:type="dxa"/>
              <w:start w:w="80" w:type="dxa"/>
              <w:bottom w:w="70" w:type="dxa"/>
              <w:end w:w="80" w:type="dxa"/>
            </w:tcMar>
            <w:vAlign w:val="center"/>
          </w:tcPr>
          <w:p>
            <w:r>
              <w:rPr>
                <w:sz w:val="19"/>
              </w:rPr>
              <w:t>Connectivity &amp; Technology</w:t>
            </w:r>
          </w:p>
        </w:tc>
        <w:tc>
          <w:tcPr>
            <w:tcW w:type="dxa" w:w="3312"/>
            <w:tcMar>
              <w:top w:w="70" w:type="dxa"/>
              <w:start w:w="80" w:type="dxa"/>
              <w:bottom w:w="70" w:type="dxa"/>
              <w:end w:w="80" w:type="dxa"/>
            </w:tcMar>
            <w:vAlign w:val="center"/>
          </w:tcPr>
          <w:p>
            <w:r>
              <w:rPr>
                <w:sz w:val="19"/>
              </w:rPr>
              <w:t>Starlink, backup internet, networking, streaming tools</w:t>
            </w:r>
          </w:p>
        </w:tc>
        <w:tc>
          <w:tcPr>
            <w:tcW w:type="dxa" w:w="3312"/>
            <w:tcMar>
              <w:top w:w="70" w:type="dxa"/>
              <w:start w:w="80" w:type="dxa"/>
              <w:bottom w:w="70" w:type="dxa"/>
              <w:end w:w="80" w:type="dxa"/>
            </w:tcMar>
            <w:vAlign w:val="center"/>
          </w:tcPr>
          <w:p>
            <w:pPr>
              <w:jc w:val="center"/>
            </w:pPr>
            <w:r>
              <w:rPr>
                <w:sz w:val="19"/>
              </w:rPr>
              <w:t>$9,000 – $16,000</w:t>
            </w:r>
          </w:p>
        </w:tc>
      </w:tr>
      <w:tr>
        <w:tc>
          <w:tcPr>
            <w:tcW w:type="dxa" w:w="3312"/>
            <w:tcMar>
              <w:top w:w="70" w:type="dxa"/>
              <w:start w:w="80" w:type="dxa"/>
              <w:bottom w:w="70" w:type="dxa"/>
              <w:end w:w="80" w:type="dxa"/>
            </w:tcMar>
            <w:vAlign w:val="center"/>
          </w:tcPr>
          <w:p>
            <w:r>
              <w:rPr>
                <w:sz w:val="19"/>
              </w:rPr>
              <w:t>Office Equipment &amp; Supplies</w:t>
            </w:r>
          </w:p>
        </w:tc>
        <w:tc>
          <w:tcPr>
            <w:tcW w:type="dxa" w:w="3312"/>
            <w:tcMar>
              <w:top w:w="70" w:type="dxa"/>
              <w:start w:w="80" w:type="dxa"/>
              <w:bottom w:w="70" w:type="dxa"/>
              <w:end w:w="80" w:type="dxa"/>
            </w:tcMar>
            <w:vAlign w:val="center"/>
          </w:tcPr>
          <w:p>
            <w:r>
              <w:rPr>
                <w:sz w:val="19"/>
              </w:rPr>
              <w:t>Copier/printer/scanner, office tech, reception station equipment, startup supplies</w:t>
            </w:r>
          </w:p>
        </w:tc>
        <w:tc>
          <w:tcPr>
            <w:tcW w:type="dxa" w:w="3312"/>
            <w:tcMar>
              <w:top w:w="70" w:type="dxa"/>
              <w:start w:w="80" w:type="dxa"/>
              <w:bottom w:w="70" w:type="dxa"/>
              <w:end w:w="80" w:type="dxa"/>
            </w:tcMar>
            <w:vAlign w:val="center"/>
          </w:tcPr>
          <w:p>
            <w:pPr>
              <w:jc w:val="center"/>
            </w:pPr>
            <w:r>
              <w:rPr>
                <w:sz w:val="19"/>
              </w:rPr>
              <w:t>$8,000 – $18,000</w:t>
            </w:r>
          </w:p>
        </w:tc>
      </w:tr>
      <w:tr>
        <w:tc>
          <w:tcPr>
            <w:tcW w:type="dxa" w:w="3312"/>
            <w:tcMar>
              <w:top w:w="70" w:type="dxa"/>
              <w:start w:w="80" w:type="dxa"/>
              <w:bottom w:w="70" w:type="dxa"/>
              <w:end w:w="80" w:type="dxa"/>
            </w:tcMar>
            <w:vAlign w:val="center"/>
          </w:tcPr>
          <w:p>
            <w:r>
              <w:rPr>
                <w:sz w:val="19"/>
              </w:rPr>
              <w:t>Digital Platform Deployment</w:t>
            </w:r>
          </w:p>
        </w:tc>
        <w:tc>
          <w:tcPr>
            <w:tcW w:type="dxa" w:w="3312"/>
            <w:tcMar>
              <w:top w:w="70" w:type="dxa"/>
              <w:start w:w="80" w:type="dxa"/>
              <w:bottom w:w="70" w:type="dxa"/>
              <w:end w:w="80" w:type="dxa"/>
            </w:tcMar>
            <w:vAlign w:val="center"/>
          </w:tcPr>
          <w:p>
            <w:r>
              <w:rPr>
                <w:sz w:val="19"/>
              </w:rPr>
              <w:t>Local Rural Connect deployment, setup, onboarding, content/class integration, year-one support</w:t>
            </w:r>
          </w:p>
        </w:tc>
        <w:tc>
          <w:tcPr>
            <w:tcW w:type="dxa" w:w="3312"/>
            <w:tcMar>
              <w:top w:w="70" w:type="dxa"/>
              <w:start w:w="80" w:type="dxa"/>
              <w:bottom w:w="70" w:type="dxa"/>
              <w:end w:w="80" w:type="dxa"/>
            </w:tcMar>
            <w:vAlign w:val="center"/>
          </w:tcPr>
          <w:p>
            <w:pPr>
              <w:jc w:val="center"/>
            </w:pPr>
            <w:r>
              <w:rPr>
                <w:sz w:val="19"/>
              </w:rPr>
              <w:t>$80,000 – $140,000</w:t>
            </w:r>
          </w:p>
        </w:tc>
      </w:tr>
      <w:tr>
        <w:tc>
          <w:tcPr>
            <w:tcW w:type="dxa" w:w="3312"/>
            <w:tcMar>
              <w:top w:w="70" w:type="dxa"/>
              <w:start w:w="80" w:type="dxa"/>
              <w:bottom w:w="70" w:type="dxa"/>
              <w:end w:w="80" w:type="dxa"/>
            </w:tcMar>
            <w:vAlign w:val="center"/>
          </w:tcPr>
          <w:p>
            <w:r>
              <w:rPr>
                <w:sz w:val="19"/>
              </w:rPr>
              <w:t>Program Launch &amp; Workforce Development</w:t>
            </w:r>
          </w:p>
        </w:tc>
        <w:tc>
          <w:tcPr>
            <w:tcW w:type="dxa" w:w="3312"/>
            <w:tcMar>
              <w:top w:w="70" w:type="dxa"/>
              <w:start w:w="80" w:type="dxa"/>
              <w:bottom w:w="70" w:type="dxa"/>
              <w:end w:w="80" w:type="dxa"/>
            </w:tcMar>
            <w:vAlign w:val="center"/>
          </w:tcPr>
          <w:p>
            <w:r>
              <w:rPr>
                <w:sz w:val="19"/>
              </w:rPr>
              <w:t>Initial content production, class setup, internship support, startup coordination</w:t>
            </w:r>
          </w:p>
        </w:tc>
        <w:tc>
          <w:tcPr>
            <w:tcW w:type="dxa" w:w="3312"/>
            <w:tcMar>
              <w:top w:w="70" w:type="dxa"/>
              <w:start w:w="80" w:type="dxa"/>
              <w:bottom w:w="70" w:type="dxa"/>
              <w:end w:w="80" w:type="dxa"/>
            </w:tcMar>
            <w:vAlign w:val="center"/>
          </w:tcPr>
          <w:p>
            <w:pPr>
              <w:jc w:val="center"/>
            </w:pPr>
            <w:r>
              <w:rPr>
                <w:sz w:val="19"/>
              </w:rPr>
              <w:t>$55,000 – $95,000</w:t>
            </w:r>
          </w:p>
        </w:tc>
      </w:tr>
    </w:tbl>
    <w:p>
      <w:pPr>
        <w:spacing w:after="100" w:line="264" w:lineRule="auto"/>
      </w:pPr>
      <w:r>
        <w:rPr>
          <w:sz w:val="21"/>
        </w:rPr>
        <w:t>Target total project cost: $240,000 – $275,000 for a clean launch scenario. Higher-end scenarios are possible depending on final equipment selections and platform scope.</w:t>
      </w:r>
    </w:p>
    <w:p>
      <w:r>
        <w:rPr>
          <w:b/>
          <w:color w:val="B18A43"/>
          <w:sz w:val="23"/>
        </w:rPr>
        <w:t>Illustrative Sources</w:t>
      </w:r>
    </w:p>
    <w:tbl>
      <w:tblPr>
        <w:tblStyle w:val="TableGrid"/>
        <w:tblW w:type="auto" w:w="0"/>
        <w:jc w:val="center"/>
        <w:tblLook w:firstColumn="1" w:firstRow="1" w:lastColumn="0" w:lastRow="0" w:noHBand="0" w:noVBand="1" w:val="04A0"/>
      </w:tblPr>
      <w:tblGrid>
        <w:gridCol w:w="4968"/>
        <w:gridCol w:w="4968"/>
      </w:tblGrid>
      <w:tr>
        <w:tc>
          <w:tcPr>
            <w:tcW w:type="dxa" w:w="4968"/>
            <w:shd w:fill="B18A43"/>
          </w:tcPr>
          <w:p>
            <w:pPr>
              <w:jc w:val="center"/>
            </w:pPr>
            <w:r>
              <w:rPr>
                <w:b/>
                <w:color w:val="FFFFFF"/>
                <w:sz w:val="20"/>
              </w:rPr>
              <w:t>Source</w:t>
            </w:r>
          </w:p>
        </w:tc>
        <w:tc>
          <w:tcPr>
            <w:tcW w:type="dxa" w:w="4968"/>
            <w:shd w:fill="B18A43"/>
          </w:tcPr>
          <w:p>
            <w:pPr>
              <w:jc w:val="center"/>
            </w:pPr>
            <w:r>
              <w:rPr>
                <w:b/>
                <w:color w:val="FFFFFF"/>
                <w:sz w:val="20"/>
              </w:rPr>
              <w:t>Amount</w:t>
            </w:r>
          </w:p>
        </w:tc>
      </w:tr>
      <w:tr>
        <w:tc>
          <w:tcPr>
            <w:tcW w:type="dxa" w:w="4968"/>
            <w:tcMar>
              <w:top w:w="70" w:type="dxa"/>
              <w:start w:w="80" w:type="dxa"/>
              <w:bottom w:w="70" w:type="dxa"/>
              <w:end w:w="80" w:type="dxa"/>
            </w:tcMar>
            <w:vAlign w:val="center"/>
          </w:tcPr>
          <w:p>
            <w:r>
              <w:rPr>
                <w:sz w:val="19"/>
              </w:rPr>
              <w:t>RHTP grant request</w:t>
            </w:r>
          </w:p>
        </w:tc>
        <w:tc>
          <w:tcPr>
            <w:tcW w:type="dxa" w:w="4968"/>
            <w:tcMar>
              <w:top w:w="70" w:type="dxa"/>
              <w:start w:w="80" w:type="dxa"/>
              <w:bottom w:w="70" w:type="dxa"/>
              <w:end w:w="80" w:type="dxa"/>
            </w:tcMar>
            <w:vAlign w:val="center"/>
          </w:tcPr>
          <w:p>
            <w:pPr>
              <w:jc w:val="center"/>
            </w:pPr>
            <w:r>
              <w:rPr>
                <w:sz w:val="19"/>
              </w:rPr>
              <w:t>$200,000 – $250,000</w:t>
            </w:r>
          </w:p>
        </w:tc>
      </w:tr>
      <w:tr>
        <w:tc>
          <w:tcPr>
            <w:tcW w:type="dxa" w:w="4968"/>
            <w:tcMar>
              <w:top w:w="70" w:type="dxa"/>
              <w:start w:w="80" w:type="dxa"/>
              <w:bottom w:w="70" w:type="dxa"/>
              <w:end w:w="80" w:type="dxa"/>
            </w:tcMar>
            <w:vAlign w:val="center"/>
          </w:tcPr>
          <w:p>
            <w:r>
              <w:rPr>
                <w:sz w:val="19"/>
              </w:rPr>
              <w:t>Early sponsorship commitments</w:t>
            </w:r>
          </w:p>
        </w:tc>
        <w:tc>
          <w:tcPr>
            <w:tcW w:type="dxa" w:w="4968"/>
            <w:tcMar>
              <w:top w:w="70" w:type="dxa"/>
              <w:start w:w="80" w:type="dxa"/>
              <w:bottom w:w="70" w:type="dxa"/>
              <w:end w:w="80" w:type="dxa"/>
            </w:tcMar>
            <w:vAlign w:val="center"/>
          </w:tcPr>
          <w:p>
            <w:pPr>
              <w:jc w:val="center"/>
            </w:pPr>
            <w:r>
              <w:rPr>
                <w:sz w:val="19"/>
              </w:rPr>
              <w:t>$25,000 – $75,000</w:t>
            </w:r>
          </w:p>
        </w:tc>
      </w:tr>
      <w:tr>
        <w:tc>
          <w:tcPr>
            <w:tcW w:type="dxa" w:w="4968"/>
            <w:tcMar>
              <w:top w:w="70" w:type="dxa"/>
              <w:start w:w="80" w:type="dxa"/>
              <w:bottom w:w="70" w:type="dxa"/>
              <w:end w:w="80" w:type="dxa"/>
            </w:tcMar>
            <w:vAlign w:val="center"/>
          </w:tcPr>
          <w:p>
            <w:r>
              <w:rPr>
                <w:sz w:val="19"/>
              </w:rPr>
              <w:t>Optional Newvion contribution / in-kind support</w:t>
            </w:r>
          </w:p>
        </w:tc>
        <w:tc>
          <w:tcPr>
            <w:tcW w:type="dxa" w:w="4968"/>
            <w:tcMar>
              <w:top w:w="70" w:type="dxa"/>
              <w:start w:w="80" w:type="dxa"/>
              <w:bottom w:w="70" w:type="dxa"/>
              <w:end w:w="80" w:type="dxa"/>
            </w:tcMar>
            <w:vAlign w:val="center"/>
          </w:tcPr>
          <w:p>
            <w:pPr>
              <w:jc w:val="center"/>
            </w:pPr>
            <w:r>
              <w:rPr>
                <w:sz w:val="19"/>
              </w:rPr>
              <w:t>$0 – $25,000</w:t>
            </w:r>
          </w:p>
        </w:tc>
      </w:tr>
    </w:tbl>
    <w:p>
      <w:r>
        <w:rPr>
          <w:b/>
          <w:color w:val="112847"/>
          <w:sz w:val="30"/>
        </w:rPr>
        <w:t>Operating Model and Sustainability</w:t>
      </w:r>
    </w:p>
    <w:p>
      <w:pPr>
        <w:spacing w:after="100" w:line="264" w:lineRule="auto"/>
      </w:pPr>
      <w:r>
        <w:rPr>
          <w:sz w:val="21"/>
        </w:rPr>
        <w:t>Annual rent is assumed at $90,000, with no dock fees due to local participation. The long-term goal is not to rely on grants every year. Instead, the pilot is structured so grant funding helps complete the digital platform for the community, procure equipment, and launch programming, while ongoing operations shift toward recurring revenue.</w:t>
      </w:r>
    </w:p>
    <w:p>
      <w:pPr>
        <w:pStyle w:val="ListBullet"/>
        <w:spacing w:after="40" w:line="259" w:lineRule="auto"/>
      </w:pPr>
      <w:r>
        <w:rPr>
          <w:sz w:val="20"/>
        </w:rPr>
        <w:t>Digital memberships at $5 per month create a low-barrier recurring revenue base.</w:t>
      </w:r>
    </w:p>
    <w:p>
      <w:pPr>
        <w:pStyle w:val="ListBullet"/>
        <w:spacing w:after="40" w:line="259" w:lineRule="auto"/>
      </w:pPr>
      <w:r>
        <w:rPr>
          <w:sz w:val="20"/>
        </w:rPr>
        <w:t>Class revenue supports paid programming, while some classes remain free through grant-funded community access and scholarships.</w:t>
      </w:r>
    </w:p>
    <w:p>
      <w:pPr>
        <w:pStyle w:val="ListBullet"/>
        <w:spacing w:after="40" w:line="259" w:lineRule="auto"/>
      </w:pPr>
      <w:r>
        <w:rPr>
          <w:sz w:val="20"/>
        </w:rPr>
        <w:t>Sponsorships and healthcare/community partnerships help underwrite visibility and special programming.</w:t>
      </w:r>
    </w:p>
    <w:p>
      <w:pPr>
        <w:pStyle w:val="ListBullet"/>
        <w:spacing w:after="40" w:line="259" w:lineRule="auto"/>
      </w:pPr>
      <w:r>
        <w:rPr>
          <w:sz w:val="20"/>
        </w:rPr>
        <w:t>Free or subsidized access can be targeted to residents who cannot afford paid participation.</w:t>
      </w:r>
    </w:p>
    <w:p>
      <w:r>
        <w:rPr>
          <w:b/>
          <w:color w:val="112847"/>
          <w:sz w:val="30"/>
        </w:rPr>
        <w:t>Outcomes &amp; Performance Metrics</w:t>
      </w:r>
    </w:p>
    <w:p>
      <w:r>
        <w:rPr>
          <w:b/>
          <w:color w:val="B18A43"/>
          <w:sz w:val="23"/>
        </w:rPr>
        <w:t>Community Health Engagement</w:t>
      </w:r>
    </w:p>
    <w:p>
      <w:pPr>
        <w:pStyle w:val="ListBullet"/>
        <w:spacing w:after="40" w:line="259" w:lineRule="auto"/>
      </w:pPr>
      <w:r>
        <w:rPr>
          <w:sz w:val="20"/>
        </w:rPr>
        <w:t>2,000 – 5,000 residents reached annually through in-person and digital programming</w:t>
      </w:r>
    </w:p>
    <w:p>
      <w:pPr>
        <w:pStyle w:val="ListBullet"/>
        <w:spacing w:after="40" w:line="259" w:lineRule="auto"/>
      </w:pPr>
      <w:r>
        <w:rPr>
          <w:sz w:val="20"/>
        </w:rPr>
        <w:t>75 – 125 health-focused content pieces produced annually</w:t>
      </w:r>
    </w:p>
    <w:p>
      <w:pPr>
        <w:pStyle w:val="ListBullet"/>
        <w:spacing w:after="40" w:line="259" w:lineRule="auto"/>
      </w:pPr>
      <w:r>
        <w:rPr>
          <w:sz w:val="20"/>
        </w:rPr>
        <w:t>25 – 50 health-related classes and workshops annually</w:t>
      </w:r>
    </w:p>
    <w:p>
      <w:pPr>
        <w:pStyle w:val="ListBullet"/>
        <w:spacing w:after="40" w:line="259" w:lineRule="auto"/>
      </w:pPr>
      <w:r>
        <w:rPr>
          <w:sz w:val="20"/>
        </w:rPr>
        <w:t>10 – 20 provider-led podcast or interview sessions</w:t>
      </w:r>
    </w:p>
    <w:p>
      <w:r>
        <w:rPr>
          <w:b/>
          <w:color w:val="B18A43"/>
          <w:sz w:val="23"/>
        </w:rPr>
        <w:t>Workforce Development (FGCU)</w:t>
      </w:r>
    </w:p>
    <w:p>
      <w:pPr>
        <w:pStyle w:val="ListBullet"/>
        <w:spacing w:after="40" w:line="259" w:lineRule="auto"/>
      </w:pPr>
      <w:r>
        <w:rPr>
          <w:sz w:val="20"/>
        </w:rPr>
        <w:t>50 – 100 students engaged annually</w:t>
      </w:r>
    </w:p>
    <w:p>
      <w:pPr>
        <w:pStyle w:val="ListBullet"/>
        <w:spacing w:after="40" w:line="259" w:lineRule="auto"/>
      </w:pPr>
      <w:r>
        <w:rPr>
          <w:sz w:val="20"/>
        </w:rPr>
        <w:t>1,500 – 3,000 internship hours delivered annually</w:t>
      </w:r>
    </w:p>
    <w:p>
      <w:pPr>
        <w:pStyle w:val="ListBullet"/>
        <w:spacing w:after="40" w:line="259" w:lineRule="auto"/>
      </w:pPr>
      <w:r>
        <w:rPr>
          <w:sz w:val="20"/>
        </w:rPr>
        <w:t>10 – 20 students placed into internships per semester</w:t>
      </w:r>
    </w:p>
    <w:p>
      <w:pPr>
        <w:pStyle w:val="ListBullet"/>
        <w:spacing w:after="40" w:line="259" w:lineRule="auto"/>
      </w:pPr>
      <w:r>
        <w:rPr>
          <w:sz w:val="20"/>
        </w:rPr>
        <w:t>Training in media production, digital marketing, content creation, and community programming</w:t>
      </w:r>
    </w:p>
    <w:p>
      <w:r>
        <w:rPr>
          <w:b/>
          <w:color w:val="B18A43"/>
          <w:sz w:val="23"/>
        </w:rPr>
        <w:t>Digital Access &amp; Participation</w:t>
      </w:r>
    </w:p>
    <w:p>
      <w:pPr>
        <w:pStyle w:val="ListBullet"/>
        <w:spacing w:after="40" w:line="259" w:lineRule="auto"/>
      </w:pPr>
      <w:r>
        <w:rPr>
          <w:sz w:val="20"/>
        </w:rPr>
        <w:t>300 – 500 active members in Year 1</w:t>
      </w:r>
    </w:p>
    <w:p>
      <w:pPr>
        <w:pStyle w:val="ListBullet"/>
        <w:spacing w:after="40" w:line="259" w:lineRule="auto"/>
      </w:pPr>
      <w:r>
        <w:rPr>
          <w:sz w:val="20"/>
        </w:rPr>
        <w:t>500 – 1,000 members in Year 2</w:t>
      </w:r>
    </w:p>
    <w:p>
      <w:pPr>
        <w:pStyle w:val="ListBullet"/>
        <w:spacing w:after="40" w:line="259" w:lineRule="auto"/>
      </w:pPr>
      <w:r>
        <w:rPr>
          <w:sz w:val="20"/>
        </w:rPr>
        <w:t>100+ digital content pieces uploaded annually</w:t>
      </w:r>
    </w:p>
    <w:p>
      <w:pPr>
        <w:pStyle w:val="ListBullet"/>
        <w:spacing w:after="40" w:line="259" w:lineRule="auto"/>
      </w:pPr>
      <w:r>
        <w:rPr>
          <w:sz w:val="20"/>
        </w:rPr>
        <w:t>1,000+ digital interactions annually</w:t>
      </w:r>
    </w:p>
    <w:p>
      <w:r>
        <w:rPr>
          <w:b/>
          <w:color w:val="B18A43"/>
          <w:sz w:val="23"/>
        </w:rPr>
        <w:t>Economic &amp; Community Impact</w:t>
      </w:r>
    </w:p>
    <w:p>
      <w:pPr>
        <w:pStyle w:val="ListBullet"/>
        <w:spacing w:after="40" w:line="259" w:lineRule="auto"/>
      </w:pPr>
      <w:r>
        <w:rPr>
          <w:sz w:val="20"/>
        </w:rPr>
        <w:t>25 – 50 local businesses featured annually</w:t>
      </w:r>
    </w:p>
    <w:p>
      <w:pPr>
        <w:pStyle w:val="ListBullet"/>
        <w:spacing w:after="40" w:line="259" w:lineRule="auto"/>
      </w:pPr>
      <w:r>
        <w:rPr>
          <w:sz w:val="20"/>
        </w:rPr>
        <w:t>12 – 24 community events recorded or promoted</w:t>
      </w:r>
    </w:p>
    <w:p>
      <w:pPr>
        <w:pStyle w:val="ListBullet"/>
        <w:spacing w:after="40" w:line="259" w:lineRule="auto"/>
      </w:pPr>
      <w:r>
        <w:rPr>
          <w:sz w:val="20"/>
        </w:rPr>
        <w:t>10+ partnerships activated across healthcare, education, and local business</w:t>
      </w:r>
    </w:p>
    <w:p>
      <w:pPr>
        <w:pStyle w:val="ListBullet"/>
        <w:spacing w:after="40" w:line="259" w:lineRule="auto"/>
      </w:pPr>
      <w:r>
        <w:rPr>
          <w:sz w:val="20"/>
        </w:rPr>
        <w:t>Greater visibility for local assets, opportunity zones, and workforce pathways</w:t>
      </w:r>
    </w:p>
    <w:p>
      <w:r>
        <w:rPr>
          <w:b/>
          <w:color w:val="112847"/>
          <w:sz w:val="30"/>
        </w:rPr>
        <w:t>Conclusion</w:t>
      </w:r>
    </w:p>
    <w:p>
      <w:pPr>
        <w:spacing w:after="100" w:line="264" w:lineRule="auto"/>
      </w:pPr>
      <w:r>
        <w:rPr>
          <w:sz w:val="21"/>
        </w:rPr>
        <w:t>This pilot is designed as a partner-backed launch of a sustainable community platform—not a one-off media project. The Rural Studio Boat serves as the central content and engagement hub for a broader Newvion ecosystem, while Rural Connect extends programming digitally across the community. Together, they create a measurable model for health engagement, workforce development, and local growth in Glades County and Moore Haven.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