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GrowWithAI Connecting Companies and Communities Through AI</w:t>
      </w:r>
    </w:p>
    <w:p>
      <w:pPr>
        <w:pStyle w:val="Subtitle"/>
      </w:pPr>
      <w:r>
        <w:rPr>
          <w:color w:val="000000"/>
        </w:rPr>
        <w:t>Christian Bobadilla</w:t>
      </w:r>
      <w:r>
        <w:rPr>
          <w:color w:val="000000"/>
        </w:rPr>
        <w:br/>
        <w:t>Mastering Agentic AI Week 3 Project 3D</w:t>
      </w:r>
    </w:p>
    <w:p>
      <w:pPr>
        <w:pStyle w:val="Heading1"/>
      </w:pPr>
      <w:r>
        <w:rPr>
          <w:color w:val="000000"/>
        </w:rPr>
        <w:t>Global purpose and community context</w:t>
      </w:r>
    </w:p>
    <w:p>
      <w:r>
        <w:rPr>
          <w:color w:val="000000"/>
        </w:rPr>
        <w:t>GrowWithAI is my proposed initiative to connect companies and community organizations around a shared purpose: helping underserved young people and communities grow with AI. Its ambition is worldwide, with locally adapted learning that develops digital autonomy and practical, responsible AI use. Participants should learn to complete useful everyday tasks, assess AI outputs and make informed choices rather than depend continuously on others.</w:t>
      </w:r>
    </w:p>
    <w:p>
      <w:r>
        <w:rPr>
          <w:color w:val="000000"/>
        </w:rPr>
        <w:t>Companies could contribute sponsorship, professional knowledge, equipment or mentoring. Municipalities and community organizations could identify local needs, provide spaces and reach participants through trusted relationships. Applying the idea across countries would require attention to language, connectivity, available devices and different starting skills. This is a global vision, not an established international network or a promise of employment.</w:t>
      </w:r>
    </w:p>
    <w:p>
      <w:pPr>
        <w:pStyle w:val="Heading1"/>
      </w:pPr>
      <w:r>
        <w:rPr>
          <w:color w:val="000000"/>
        </w:rPr>
        <w:t>The challenge of reaching potential partners</w:t>
      </w:r>
    </w:p>
    <w:p>
      <w:r>
        <w:rPr>
          <w:color w:val="000000"/>
        </w:rPr>
        <w:t>The immediate challenge is reaching companies and organizations and connecting them to this shared purpose. Each audience needs a relevant explanation of why it might participate, what it could contribute and how that contribution could support a community. A message for a company offering equipment should differ from one for a municipality providing a learning space. As outreach expands across regions, communications must preserve the project’s meaning while reflecting local context. They also need to build on previous conversations instead of repeating generic invitations or making unsupported claims.</w:t>
      </w:r>
    </w:p>
    <w:p>
      <w:pPr>
        <w:pStyle w:val="Heading1"/>
      </w:pPr>
      <w:r>
        <w:rPr>
          <w:color w:val="000000"/>
        </w:rPr>
        <w:t>A local editorial application for global outreach</w:t>
      </w:r>
    </w:p>
    <w:p>
      <w:r>
        <w:rPr>
          <w:color w:val="000000"/>
        </w:rPr>
        <w:t>The proposed application supports four formats: LinkedIn posts, emails, short blog articles and advertising variants. Retrieval augmented generation, or RAG, would use project sources and communication history to inform drafts. A generator agent prepares content, and a review agent checks consistency, factual support and tone. I retain control to edit, approve and export every piece.</w:t>
      </w:r>
    </w:p>
    <w:p>
      <w:r>
        <w:rPr>
          <w:color w:val="000000"/>
        </w:rPr>
        <w:t>A manual publication registry records what was published outside the application, while directed organization threads preserve context for a specific organization. This is an editorial workflow, not a CRM or an automatic partner matching system. Sending messages and publishing content remain external, human controlled actions.</w:t>
      </w:r>
    </w:p>
    <w:p>
      <w:pPr>
        <w:pStyle w:val="Heading1"/>
        <w:pageBreakBefore/>
      </w:pPr>
      <w:r>
        <w:rPr>
          <w:color w:val="000000"/>
        </w:rPr>
        <w:t>Project knowledge and technical choices</w:t>
      </w:r>
    </w:p>
    <w:p>
      <w:r>
        <w:rPr>
          <w:color w:val="000000"/>
        </w:rPr>
        <w:t>The knowledge base includes two version 0.2 project documents: proyecto_formacion_digital_ia_base_v01.docx and resumen_formacion_digital_ia_chile.html. Both describe the same initial Chilean initiative; they are not evidence of activity worldwide. Synthetic records support testing, and the academic assignment handout is excluded from project knowledge.</w:t>
      </w:r>
    </w:p>
    <w:p>
      <w:r>
        <w:rPr>
          <w:color w:val="000000"/>
        </w:rPr>
        <w:t>The planned architecture uses Python, SQLite and local embeddings with a vector store for retrieval. Qwen3.8Flash is the selected generation model through OpenRouter. OpenCodeGO is a separate coding tool used during development, not the application’s model provider. These choices keep the editorial workflow local while using the selected remote model for generation.</w:t>
      </w:r>
    </w:p>
    <w:p>
      <w:pPr>
        <w:pStyle w:val="Heading1"/>
      </w:pPr>
      <w:r>
        <w:rPr>
          <w:color w:val="000000"/>
        </w:rPr>
        <w:t>Development iterations and lessons</w:t>
      </w:r>
    </w:p>
    <w:p>
      <w:r>
        <w:rPr>
          <w:color w:val="000000"/>
        </w:rPr>
        <w:t>Development moved from the editor and history workflow to more explicit interface contracts and evidence checks, then encountered a local dependency conflict. Two verified coding prompt excerpts show how I narrowed repair requests: “Reduce scope to APPROVALONLY” limited the work to approval, while “Correct ONLY listener target to document.” targeted a precise integration correction.</w:t>
      </w:r>
    </w:p>
    <w:p>
      <w:r>
        <w:rPr>
          <w:color w:val="000000"/>
        </w:rPr>
        <w:t>These iterations reinforced the value of smaller coding tasks, integration tests that exercise connected components, and architecture choices that remain under my control. A focused correction is easier to inspect than a broad rewrite, but a successful isolated check does not establish that the full application works.</w:t>
      </w:r>
    </w:p>
    <w:p>
      <w:pPr>
        <w:pStyle w:val="Heading1"/>
      </w:pPr>
      <w:r>
        <w:rPr>
          <w:color w:val="000000"/>
        </w:rPr>
        <w:t>Current status and next step</w:t>
      </w:r>
    </w:p>
    <w:p>
      <w:r>
        <w:rPr>
          <w:color w:val="000000"/>
        </w:rPr>
        <w:t>A complete end to end test with real AI remains pending. I will test the full draft, review, edit, approval and export workflow before recording the demonstration video. No efficiency gains or community impact results are claimed at this stage.</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5"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line="252" w:lineRule="auto" w:after="240"/>
    </w:pPr>
    <w:rPr>
      <w:rFonts w:asciiTheme="majorHAnsi" w:eastAsiaTheme="majorEastAsia" w:hAnsiTheme="majorHAnsi" w:cstheme="majorBidi" w:ascii="Arial" w:hAnsi="Arial"/>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GrowWithAI Connecting Companies and Communities Through AI</dc:title>
  <dc:subject>Mastering Agentic AI Week 3 Project 3D</dc:subject>
  <dc:creator>Christian Bobadilla</dc:creator>
  <cp:keywords>GrowWithAI, AI, community, editorial application</cp:keywords>
  <dc:description/>
  <cp:lastModifiedBy/>
  <cp:revision>1</cp:revision>
  <dcterms:created xsi:type="dcterms:W3CDTF">2013-12-23T23:15:00Z</dcterms:created>
  <dcterms:modified xsi:type="dcterms:W3CDTF">2013-12-23T23:15:00Z</dcterms:modified>
  <cp:category/>
</cp:coreProperties>
</file>