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GrowWithAI Connecting Companies and Communities Through AI</w:t>
      </w:r>
    </w:p>
    <w:p>
      <w:pPr>
        <w:pStyle w:val="Subtitle"/>
      </w:pPr>
      <w:r>
        <w:rPr>
          <w:color w:val="1F4E79"/>
        </w:rPr>
        <w:t>Christian Bobadilla | Mastering Agentic AI | Week 3 Project 3D</w:t>
      </w:r>
    </w:p>
    <w:p>
      <w:pPr>
        <w:pStyle w:val="Heading1"/>
        <w:pageBreakBefore w:val="0"/>
      </w:pPr>
      <w:r>
        <w:rPr>
          <w:color w:val="1F4E79"/>
        </w:rPr>
        <w:t>1 Project overview and purpose</w:t>
      </w:r>
    </w:p>
    <w:p>
      <w:r>
        <w:rPr>
          <w:color w:val="000000"/>
        </w:rPr>
        <w:t>GrowWithAI aims to connect companies and community organizations so underserved young people and communities worldwide can develop digital autonomy and practical AI skills. Companies could offer sponsorship, professional knowledge, equipment and mentoring. Municipalities and community organizations could contribute local relationships, insight into participants’ needs and learning spaces. Together, they could support training, coaching and practical preparation for job applications and interviews, without promising employment.</w:t>
      </w:r>
    </w:p>
    <w:p>
      <w:r>
        <w:rPr>
          <w:color w:val="000000"/>
        </w:rPr>
        <w:t>The central challenge is reaching potential partners, explaining the shared purpose and showing each organization how it could contribute. Outreach must suit different audiences and local contexts while preserving consistent facts and avoiding repetitive messages. Worldwide expansion is an ambition requiring local validation, not an established network of operations or partnerships.</w:t>
      </w:r>
    </w:p>
    <w:p>
      <w:pPr>
        <w:pStyle w:val="Heading1"/>
        <w:pageBreakBefore w:val="0"/>
      </w:pPr>
      <w:r>
        <w:rPr>
          <w:color w:val="1F4E79"/>
        </w:rPr>
        <w:t>2 Solution and scope</w:t>
      </w:r>
    </w:p>
    <w:p>
      <w:r>
        <w:rPr>
          <w:color w:val="000000"/>
        </w:rPr>
        <w:t>The AI-assisted editorial workspace uses a communication objective and audience to prepare four formats: a LinkedIn post, a promotional email, a short blog draft and advertising copy variations. A generation agent drafts the content; a review agent checks factual grounding, tone and consistency. The user edits, approves and exports. Sending and publication remain outside the application.</w:t>
      </w:r>
    </w:p>
    <w:p>
      <w:r>
        <w:rPr>
          <w:color w:val="000000"/>
        </w:rPr>
        <w:t>A common registry holds companies, beneficiary organizations and contacts. Manually recorded publications and organization-specific interactions provide context for later communications. This supports continuity without becoming a full CRM, automated matching service or marketplace.</w:t>
      </w:r>
    </w:p>
    <w:p>
      <w:pPr>
        <w:pStyle w:val="Heading1"/>
        <w:pageBreakBefore w:val="0"/>
      </w:pPr>
      <w:r>
        <w:rPr>
          <w:color w:val="1F4E79"/>
        </w:rPr>
        <w:t>3 Architecture and technical design</w:t>
      </w:r>
    </w:p>
    <w:p>
      <w:r>
        <w:rPr>
          <w:b/>
          <w:color w:val="000000"/>
        </w:rPr>
        <w:t xml:space="preserve">Frontend and application. </w:t>
      </w:r>
      <w:r>
        <w:rPr>
          <w:color w:val="000000"/>
        </w:rPr>
        <w:t>Python generates the HTML, CSS and JavaScript interface. FastAPI and Uvicorn serve it on localhost; SQLite stores runs and content versions.</w:t>
      </w:r>
    </w:p>
    <w:p>
      <w:r>
        <w:rPr>
          <w:b/>
          <w:color w:val="000000"/>
        </w:rPr>
        <w:t xml:space="preserve">Knowledge retrieval. </w:t>
      </w:r>
      <w:r>
        <w:rPr>
          <w:color w:val="000000"/>
        </w:rPr>
        <w:t>Documents become traceable fragments. A multilingual MiniLM model creates embeddings in a separate local worker process, and FAISS stores the vector index. Retrieval supplies relevant source fragments and selected communication history.</w:t>
      </w:r>
    </w:p>
    <w:p>
      <w:r>
        <w:rPr>
          <w:b/>
          <w:color w:val="000000"/>
        </w:rPr>
        <w:t xml:space="preserve">Model and orchestration. </w:t>
      </w:r>
      <w:r>
        <w:rPr>
          <w:color w:val="000000"/>
        </w:rPr>
        <w:t>Qwen3.8Flash through OpenRouter handles generation and review. A LangGraph StateGraph coordinates retrieval, generation, review and bounded revision or requests for human input. SqliteSaver persists checkpoints, and structured output validation checks response contracts.</w:t>
      </w:r>
    </w:p>
    <w:p>
      <w:r>
        <w:rPr>
          <w:b/>
          <w:color w:val="000000"/>
        </w:rPr>
        <w:t xml:space="preserve">Control boundaries. </w:t>
      </w:r>
      <w:r>
        <w:rPr>
          <w:color w:val="000000"/>
        </w:rPr>
        <w:t>Human approval remains separate from automated review. Local storage does not mean fully local inference: relevant context is sent to the model service.</w:t>
      </w:r>
    </w:p>
    <w:p>
      <w:pPr>
        <w:pStyle w:val="Heading1"/>
        <w:pageBreakBefore/>
      </w:pPr>
      <w:r>
        <w:rPr>
          <w:color w:val="1F4E79"/>
        </w:rPr>
        <w:t>4 Data and source material</w:t>
      </w:r>
    </w:p>
    <w:p>
      <w:r>
        <w:rPr>
          <w:color w:val="000000"/>
        </w:rPr>
        <w:t>The knowledge base contains proyecto_formacion_digital_ia_base_v01.docx and resumen_formacion_digital_ia_chile.html, both updated to version 0.2. They describe the same initial Chilean program, not independent evidence or proof of worldwide deployment. Synthetic organization, campaign and communication records support testing. The academic handout defines assignment requirements and is excluded from retrieval.</w:t>
      </w:r>
    </w:p>
    <w:p>
      <w:pPr>
        <w:pStyle w:val="Heading1"/>
        <w:pageBreakBefore w:val="0"/>
      </w:pPr>
      <w:r>
        <w:rPr>
          <w:color w:val="1F4E79"/>
        </w:rPr>
        <w:t>5 Agent instructions and iterations</w:t>
      </w:r>
    </w:p>
    <w:p>
      <w:r>
        <w:rPr>
          <w:color w:val="000000"/>
        </w:rPr>
        <w:t>The generation agent receives the campaign brief and retrieved sources to prepare the four formats. The review agent evaluates the draft against those sources. The following are English translations of implemented Spanish prompt excerpts.</w:t>
      </w:r>
    </w:p>
    <w:p>
      <w:r>
        <w:rPr>
          <w:b/>
          <w:color w:val="000000"/>
        </w:rPr>
        <w:t xml:space="preserve">Generator instruction </w:t>
      </w:r>
      <w:r>
        <w:rPr>
          <w:color w:val="000000"/>
        </w:rPr>
        <w:t>(generation_contract.py)</w:t>
      </w:r>
    </w:p>
    <w:p>
      <w:pPr>
        <w:pStyle w:val="Quote"/>
      </w:pPr>
      <w:r>
        <w:rPr>
          <w:color w:val="000000"/>
        </w:rPr>
        <w:t>“Ground every factual claim with citations that are exact chunk_id values from sources. Do not invent prices, dates, partnerships, legal incorporation, confirmed sponsors, jobs or results.”</w:t>
      </w:r>
    </w:p>
    <w:p>
      <w:r>
        <w:rPr>
          <w:b/>
          <w:color w:val="000000"/>
        </w:rPr>
        <w:t xml:space="preserve">Reviewer instructions </w:t>
      </w:r>
      <w:r>
        <w:rPr>
          <w:color w:val="000000"/>
        </w:rPr>
        <w:t>(review_contract.py)</w:t>
      </w:r>
    </w:p>
    <w:p>
      <w:pPr>
        <w:pStyle w:val="Quote"/>
      </w:pPr>
      <w:r>
        <w:rPr>
          <w:color w:val="000000"/>
        </w:rPr>
        <w:t>“Strictly check the facts against sources; do not use external knowledge.”</w:t>
      </w:r>
    </w:p>
    <w:p>
      <w:pPr>
        <w:pStyle w:val="Quote"/>
      </w:pPr>
      <w:r>
        <w:rPr>
          <w:color w:val="000000"/>
        </w:rPr>
        <w:t>“pass only means that the automatic check found no problems; human review is still pending.”</w:t>
      </w:r>
    </w:p>
    <w:p>
      <w:r>
        <w:rPr>
          <w:color w:val="000000"/>
        </w:rPr>
        <w:t>The project evolved from content generation into an editorial workspace with organization records and selective history. Development was divided into smaller implementation units, with component checks and tests of the connected workflow. These instructions keep factual grounding explicit and prevent an automated pass from replacing human approval.</w:t>
      </w:r>
    </w:p>
    <w:p>
      <w:pPr>
        <w:pStyle w:val="Heading1"/>
        <w:pageBreakBefore w:val="0"/>
      </w:pPr>
      <w:r>
        <w:rPr>
          <w:color w:val="1F4E79"/>
        </w:rPr>
        <w:t>6 General lessons learned</w:t>
      </w:r>
    </w:p>
    <w:p>
      <w:r>
        <w:rPr>
          <w:color w:val="000000"/>
        </w:rPr>
        <w:t>Small, verifiable tasks and clear data contracts make AI-assisted development easier to review. Source grounding and explicit human approval are essential for external communications. Testing should cover the complete workflow, including failure handling, rather than only individual components.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54" w:lineRule="auto" w:after="12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i w:val="0"/>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5" w:lineRule="auto"/>
      <w:contextualSpacing/>
    </w:pPr>
    <w:rPr>
      <w:rFonts w:asciiTheme="majorHAnsi" w:eastAsiaTheme="majorEastAsia" w:hAnsiTheme="majorHAnsi" w:cstheme="majorBidi" w:ascii="Arial" w:hAnsi="Arial"/>
      <w:b/>
      <w:i w:val="0"/>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52" w:lineRule="auto" w:after="200"/>
    </w:pPr>
    <w:rPr>
      <w:rFonts w:asciiTheme="majorHAnsi" w:eastAsiaTheme="majorEastAsia" w:hAnsiTheme="majorHAnsi" w:cstheme="majorBidi" w:ascii="Arial" w:hAnsi="Arial"/>
      <w:i w:val="0"/>
      <w:iCs/>
      <w:color w:val="1F4E79"/>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Lines/>
      <w:widowControl/>
      <w:spacing w:line="250" w:lineRule="auto" w:after="100"/>
      <w:ind w:left="259" w:right="115"/>
    </w:pPr>
    <w:rPr>
      <w:rFonts w:ascii="Arial" w:hAnsi="Arial"/>
      <w:i/>
      <w:iCs/>
      <w:color w:val="000000"/>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GrowWithAI Connecting Companies and Communities Through AI</dc:title>
  <dc:subject>Mastering Agentic AI Week 3 Project 3D</dc:subject>
  <dc:creator>Christian Bobadilla</dc:creator>
  <cp:keywords>GrowWithAI, AI, community, editorial application</cp:keywords>
  <dc:description/>
  <cp:lastModifiedBy/>
  <cp:revision>1</cp:revision>
  <dcterms:created xsi:type="dcterms:W3CDTF">2013-12-23T23:15:00Z</dcterms:created>
  <dcterms:modified xsi:type="dcterms:W3CDTF">2013-12-23T23:15:00Z</dcterms:modified>
  <cp:category/>
</cp:coreProperties>
</file>