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Plazo: martes 9 de junio de 2026, 23:59 (Colombia).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para la pregunta de su grupo? ¿Qué limitaciones tiene ese enlace?</w:t>
      </w:r>
    </w:p>
    <w:p/>
    <w:p>
      <w:pPr>
        <w:pStyle w:val="Heading2"/>
      </w:pPr>
      <w:r>
        <w:t>R4 Ética y lecturas</w:t>
      </w:r>
    </w:p>
    <w:p>
      <w:r>
        <w:t>Relacione boyd, Zuboff y/o Mittelstadt con lo visto en el cuaderno grupal (cuasi-identificadores, divulgación, práctica responsable). Cite Zuboff o Mittelstadt por nombre.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