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interpretation of the result is (A) We can not conclude whether earning more money causes more recycling among U.S. adults because this type of design does not allow us to infer causation.</w:t>
      </w:r>
    </w:p>
    <w:p>
      <w:pPr>
        <w:pStyle w:val="Normal"/>
      </w:pPr>
      <w:r>
        <w:t xml:space="preserve"/>
      </w:r>
    </w:p>
    <w:p>
      <w:pPr>
        <w:pStyle w:val="Normal"/>
      </w:pPr>
      <w:r>
        <w:t xml:space="preserve">Explanation: The study described is observational and uses correlation to describe the relationship between income level and the number of recycling containers collected. While the result indicates a statistically significant, strong positive correlation, correlation alone does not equate to causation. Therefore, we cannot infer that higher income causes increased recycling. Other factors, such as education or environmental awareness, could be contributing to this observed relationship. Option (A) correctly captures the limitations of correlation analysis in terms of inferring causality.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2025-03-29T16:30:56Z</dcterms:modified>
  <cp:category/>
</cp:coreProperties>
</file>