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Invalid.</w:t>
      </w:r>
    </w:p>
    <w:p>
      <w:pPr>
        <w:pStyle w:val="Normal"/>
      </w:pPr>
      <w:r>
        <w:t xml:space="preserve"/>
      </w:r>
    </w:p>
    <w:p>
      <w:pPr>
        <w:pStyle w:val="Normal"/>
      </w:pPr>
      <w:r>
        <w:t xml:space="preserve">The correct interpretation of a 95% confidence interval is that we are 95% confident that the true population mean number of chocolate chips per cookie lies between 18.6 and 21.3. The statement provided is incorrect because it misconstrues the concept of a confidence interval. Confidence intervals pertain to the range within which we expect the true population parameter to fall, based on our sample data, not where sample means from other samples would fall.</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2025-03-29T16:40:32Z</dcterms:modified>
  <cp:category/>
</cp:coreProperties>
</file>