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uk61us1xettw" w:id="0"/>
      <w:bookmarkEnd w:id="0"/>
      <w:r w:rsidDel="00000000" w:rsidR="00000000" w:rsidRPr="00000000">
        <w:rPr>
          <w:rtl w:val="0"/>
        </w:rPr>
        <w:t xml:space="preserve">P7: Design an A/B Test</w:t>
      </w:r>
    </w:p>
    <w:p w:rsidR="00000000" w:rsidDel="00000000" w:rsidP="00000000" w:rsidRDefault="00000000" w:rsidRPr="00000000">
      <w:pPr>
        <w:pStyle w:val="Subtitle"/>
        <w:spacing w:line="240" w:lineRule="auto"/>
        <w:contextualSpacing w:val="0"/>
      </w:pPr>
      <w:bookmarkStart w:colFirst="0" w:colLast="0" w:name="h.p5grylan40sa" w:id="1"/>
      <w:bookmarkEnd w:id="1"/>
      <w:r w:rsidDel="00000000" w:rsidR="00000000" w:rsidRPr="00000000">
        <w:rPr>
          <w:rtl w:val="0"/>
        </w:rPr>
        <w:t xml:space="preserve">Carvus Byrd IV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h5scg48r8tew" w:id="2"/>
      <w:bookmarkEnd w:id="2"/>
      <w:r w:rsidDel="00000000" w:rsidR="00000000" w:rsidRPr="00000000">
        <w:rPr>
          <w:rtl w:val="0"/>
        </w:rPr>
        <w:t xml:space="preserve">Experiment Design</w:t>
      </w:r>
    </w:p>
    <w:p w:rsidR="00000000" w:rsidDel="00000000" w:rsidP="00000000" w:rsidRDefault="00000000" w:rsidRPr="00000000">
      <w:pPr>
        <w:pStyle w:val="Heading2"/>
        <w:spacing w:line="240" w:lineRule="auto"/>
        <w:contextualSpacing w:val="0"/>
      </w:pPr>
      <w:bookmarkStart w:colFirst="0" w:colLast="0" w:name="h.6y3wd15896kz" w:id="3"/>
      <w:bookmarkEnd w:id="3"/>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b w:val="1"/>
          <w:i w:val="1"/>
          <w:rtl w:val="0"/>
        </w:rPr>
        <w:t xml:space="preserve">List which metrics you will use as invariant metrics and evaluation metrics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Invariant Metrics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Evaluation Metrics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Cookies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Clicks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Click-Through-Probability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Gross Conversion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Retention*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Net Conversion</w:t>
            </w:r>
          </w:p>
        </w:tc>
      </w:tr>
    </w:tbl>
    <w:p w:rsidR="00000000" w:rsidDel="00000000" w:rsidP="00000000" w:rsidRDefault="00000000" w:rsidRPr="00000000">
      <w:pPr>
        <w:contextualSpacing w:val="0"/>
      </w:pPr>
      <w:r w:rsidDel="00000000" w:rsidR="00000000" w:rsidRPr="00000000">
        <w:rPr>
          <w:rtl w:val="0"/>
        </w:rPr>
        <w:t xml:space="preserve">*Later removed as an evaluation metric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contextualSpacing w:val="0"/>
      </w:pPr>
      <w:r w:rsidDel="00000000" w:rsidR="00000000" w:rsidRPr="00000000">
        <w:rPr>
          <w:rtl w:val="0"/>
        </w:rPr>
      </w:r>
    </w:p>
    <w:tbl>
      <w:tblPr>
        <w:tblStyle w:val="Table2"/>
        <w:bidi w:val="0"/>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680"/>
        <w:gridCol w:w="6405"/>
        <w:tblGridChange w:id="0">
          <w:tblGrid>
            <w:gridCol w:w="2745"/>
            <w:gridCol w:w="1680"/>
            <w:gridCol w:w="64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Metric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Classification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Reasoning for Classification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Cookies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Invariant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Independant from experiment because the visits occur before user reaches experiment.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User-IDs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Neither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number of users who enroll in the free trial is dependent on the experiment so it’s not a good invariant metric.  It’s also not a good evaluation metric because the number of visitors may be different between the experiment and control groups.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Clicks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Invariant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Independant from experiment because the visits occur before user reaches experiment.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Click-Through-Probability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Invariant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Independant from experiment because the visits occur before user reaches experiment.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Gross Conversion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Evaluation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Directly dependent on the effect of the experiment.  Displays whether we managed to decrease the cost of enrollments that aren’t likely to become steady paying customers.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Retention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Evaluation (Not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Directly dependent on the effect of the experiment.  Displays positive financial impact of change.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 Conversion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Evaluation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Directly dependent on the effect of the experiment.  Displays positive financial impact of change.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look for Gross Conversions to have a practically and statistically significant decrease as it will show us whether we lower our costs by introducing the screener.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look for Net Conversions to </w:t>
      </w:r>
      <w:r w:rsidDel="00000000" w:rsidR="00000000" w:rsidRPr="00000000">
        <w:rPr>
          <w:b w:val="1"/>
          <w:rtl w:val="0"/>
        </w:rPr>
        <w:t xml:space="preserve">not</w:t>
      </w:r>
      <w:r w:rsidDel="00000000" w:rsidR="00000000" w:rsidRPr="00000000">
        <w:rPr>
          <w:rtl w:val="0"/>
        </w:rPr>
        <w:t xml:space="preserve"> have a statistically significant decrease as it will show how the change affects our revenues.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x7wuw87um13" w:id="4"/>
      <w:bookmarkEnd w:id="4"/>
      <w:r w:rsidDel="00000000" w:rsidR="00000000" w:rsidRPr="00000000">
        <w:rPr>
          <w:rtl w:val="0"/>
        </w:rPr>
        <w:t xml:space="preserve">Measuring Standard Deviation</w:t>
      </w:r>
    </w:p>
    <w:p w:rsidR="00000000" w:rsidDel="00000000" w:rsidP="00000000" w:rsidRDefault="00000000" w:rsidRPr="00000000">
      <w:pPr>
        <w:contextualSpacing w:val="0"/>
      </w:pPr>
      <w:r w:rsidDel="00000000" w:rsidR="00000000" w:rsidRPr="00000000">
        <w:rPr>
          <w:b w:val="1"/>
          <w:i w:val="1"/>
          <w:rtl w:val="0"/>
        </w:rPr>
        <w:t xml:space="preserve">List the standard deviation of each of your evaluation metrics.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Standard Deviation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Gross Conversion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0.0202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Retention*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0.0549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 Conversion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0.0156</w:t>
            </w:r>
          </w:p>
        </w:tc>
      </w:tr>
    </w:tbl>
    <w:p w:rsidR="00000000" w:rsidDel="00000000" w:rsidP="00000000" w:rsidRDefault="00000000" w:rsidRPr="00000000">
      <w:pPr>
        <w:contextualSpacing w:val="0"/>
      </w:pPr>
      <w:r w:rsidDel="00000000" w:rsidR="00000000" w:rsidRPr="00000000">
        <w:rPr>
          <w:rtl w:val="0"/>
        </w:rPr>
        <w:t xml:space="preserve">*Power requirements made this metric unsuitable to evaluate in this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use the analytical estimate of the variance only because Gross Conversion and Net Conversion both use the number of cookies as their denominator and are probabilities, which tend to be binomial in large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x5ntddleyt7" w:id="5"/>
      <w:bookmarkEnd w:id="5"/>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h.qlz9v8pljzt2" w:id="6"/>
      <w:bookmarkEnd w:id="6"/>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b w:val="1"/>
          <w:i w:val="1"/>
          <w:rtl w:val="0"/>
        </w:rPr>
        <w:t xml:space="preserve">Indicate whether you will use the Bonferroni correction during your analysis phase, and give the number of pageviews you will need to power you experiment appropriately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did not use the Bonferroni correction.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originally wanted to use Retention but the power needed would not be realistic for an experiment (almost 7 times the power needed).  Using only Gross Conversion and Net Conversion will only require about 685,325 pageviews of power.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y2xamy5nbp" w:id="7"/>
      <w:bookmarkEnd w:id="7"/>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b w:val="1"/>
          <w:i w:val="1"/>
          <w:rtl w:val="0"/>
        </w:rPr>
        <w:t xml:space="preserve">Indicate what fraction of traffic you would divert to this experiment and, given this, how many days you would need to run the experiment.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initial plan would be to split the traffic 50/50 to ensure we account for any type of seasonality that could occur.  This split would need about 35 days to reach required power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Give your reasoning for the fraction you chose to divert. How risky do you think this experiment would be for Udacity?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there is little risk in the experiment as there is no sensitive data involved and it does not affect current customers.  The only major risk is if the experiment negatively affects new enrollments (potential customers) and is a great reason to start the fraction at 50%.</w:t>
      </w:r>
      <w:r w:rsidDel="00000000" w:rsidR="00000000" w:rsidRPr="00000000">
        <w:rPr>
          <w:rtl w:val="0"/>
        </w:rPr>
      </w:r>
    </w:p>
    <w:p w:rsidR="00000000" w:rsidDel="00000000" w:rsidP="00000000" w:rsidRDefault="00000000" w:rsidRPr="00000000">
      <w:pPr>
        <w:pStyle w:val="Heading1"/>
        <w:contextualSpacing w:val="0"/>
      </w:pPr>
      <w:bookmarkStart w:colFirst="0" w:colLast="0" w:name="h.yry1zu8g8az7" w:id="8"/>
      <w:bookmarkEnd w:id="8"/>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h.cizdts6ye33u" w:id="9"/>
      <w:bookmarkEnd w:id="9"/>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rtl w:val="0"/>
        </w:rPr>
      </w:r>
    </w:p>
    <w:tbl>
      <w:tblPr>
        <w:tblStyle w:val="Table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105"/>
        <w:gridCol w:w="2055"/>
        <w:gridCol w:w="1860"/>
        <w:tblGridChange w:id="0">
          <w:tblGrid>
            <w:gridCol w:w="3780"/>
            <w:gridCol w:w="3105"/>
            <w:gridCol w:w="2055"/>
            <w:gridCol w:w="1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Pageviews (Cookies)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Clicks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CTR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Probability</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0.0821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0.0006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0.0021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0.0012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0.0041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0.0009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Lower CI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0.4988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0.4959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0.0812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Upper CI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0.5012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0.5041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0.0830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Observed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0.5006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0.5005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0.4998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For any sanity check that did not pass, explain your best guess as to what went wrong based on the day-by-day data. Do not proceed to the rest of the analysis unless all sanity checks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metrics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5issp8oaf4a" w:id="10"/>
      <w:bookmarkEnd w:id="10"/>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h.52n1ah20cmce" w:id="11"/>
      <w:bookmarkEnd w:id="11"/>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rtl w:val="0"/>
        </w:rPr>
      </w:r>
    </w:p>
    <w:tbl>
      <w:tblPr>
        <w:tblStyle w:val="Table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Gross Conversions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Net Conversions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r_pool</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0.2086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0.1151</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d_min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0.0100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0.0075</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r_hat_cont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0.2189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0.1176</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r_hat_exp</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0.1983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0.1127</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d_hat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-0.0206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-0.0049</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SE_pool</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0.0044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0.0034</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0.0086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0.0067</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Lower CI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-0.0291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-0.0116</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Upper CI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-0.0120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0.0019</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Statistically Significant?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Practically Significant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lnogzxymvt2" w:id="12"/>
      <w:bookmarkEnd w:id="12"/>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rtl w:val="0"/>
        </w:rPr>
      </w:r>
    </w:p>
    <w:tbl>
      <w:tblPr>
        <w:tblStyle w:val="Table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Gross Conversions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Net Conversions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Diff &lt; 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Diff Total</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P-value</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.0026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.6776</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Statistically Significant?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Yes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a3c918crur0" w:id="13"/>
      <w:bookmarkEnd w:id="13"/>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State whether you used the Bonferroni correction, and explain why or why not. If there are any discrepancies between the effect size hypothesis tests and the sign tests, describe the discrepancy and why you think it arose.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decided not to use a Bonferroni correction as we are only testing one variation. It would only be appropriate to use the Bonferroni correction if it was decided to do post-experiment segmentation on the results (i.e. Browser, device, country of origin).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were no discrepancies between the Effect Size Tests and the Sign Tests as both indicated a change in Gross Conversions but not Net Conversions.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iroxj5zbf41" w:id="14"/>
      <w:bookmarkEnd w:id="14"/>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b w:val="1"/>
          <w:i w:val="1"/>
          <w:rtl w:val="0"/>
        </w:rPr>
        <w:t xml:space="preserve">Make a recommendation and briefly describe your reasoning.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recommendation is to experiment further.  This test does show we have achieved a reduction (statistically and practically) in the amount of users committing to a free trial, Gross Conversions (hopefully because of our efforts to help users understand time commitments).  However, the test also showed the change in Net Conversions (users who remain for two weeks and become customers) to be statistically and practically insignificant.  The confidence interval  for Net Conversions includes negative numbers within its range and overlaps with its practical significance mark. Therefore, there is a risk that the introduction of the trial screener may lead to a decrease in revenue.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propose an additional experiment to better understand the changes, or lack of changes, in Net Conversions.</w:t>
      </w:r>
      <w:r w:rsidDel="00000000" w:rsidR="00000000" w:rsidRPr="00000000">
        <w:rPr>
          <w:rtl w:val="0"/>
        </w:rPr>
      </w:r>
    </w:p>
    <w:p w:rsidR="00000000" w:rsidDel="00000000" w:rsidP="00000000" w:rsidRDefault="00000000" w:rsidRPr="00000000">
      <w:pPr>
        <w:pStyle w:val="Heading1"/>
        <w:contextualSpacing w:val="0"/>
      </w:pPr>
      <w:bookmarkStart w:colFirst="0" w:colLast="0" w:name="h.oz1x1oon17xf" w:id="15"/>
      <w:bookmarkEnd w:id="15"/>
      <w:r w:rsidDel="00000000" w:rsidR="00000000" w:rsidRPr="00000000">
        <w:rPr>
          <w:rtl w:val="0"/>
        </w:rPr>
        <w:t xml:space="preserve">Follow-Up Experiment</w:t>
      </w:r>
    </w:p>
    <w:p w:rsidR="00000000" w:rsidDel="00000000" w:rsidP="00000000" w:rsidRDefault="00000000" w:rsidRPr="00000000">
      <w:pPr>
        <w:contextualSpacing w:val="0"/>
      </w:pPr>
      <w:r w:rsidDel="00000000" w:rsidR="00000000" w:rsidRPr="00000000">
        <w:rPr>
          <w:b w:val="1"/>
          <w:i w:val="1"/>
          <w:rtl w:val="0"/>
        </w:rPr>
        <w:t xml:space="preserve">Give a high-level description of the follow up experiment you would run, what your hypothesis would be, what metrics you would want to measure, what your unit of diversion would be, and your reasoning for these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idea for a follow up experiment would be very similar to the original approach except for one key detail: length of free trial.  I believe Udacity offers a great service from start to finish and they need to better expose the whole process to new customers.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 am finishing my 2nd Nanodegree, I usually bank on the expectation that each project will take me about one month.  During that month I am exposed to each value added service Udacity provides.  If a user had a trial period of 30 days (about one month), I believe they would have more time to understand if they can fit the workload into their schedule, become better exposed to Udacity’s services (including the opportunity to submit a project and receive feedback), and perhaps feel a certain expectation to finish the degree given that they have already completed one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Therefore, my null hypothesis is that extending the free trial from 14 days to 30 days will not result in a significant difference between the control and experiment samples.  My alternate hypothesis is that extending the free trial from 14 days to 30 days will result in a significant difference between the control and experiment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unit of diversion will be the number of clicks (The number of unique cookies to click the “30 Day Free Trial” button).</w:t>
      </w:r>
    </w:p>
    <w:p w:rsidR="00000000" w:rsidDel="00000000" w:rsidP="00000000" w:rsidRDefault="00000000" w:rsidRPr="00000000">
      <w:pPr>
        <w:contextualSpacing w:val="0"/>
      </w:pPr>
      <w:r w:rsidDel="00000000" w:rsidR="00000000" w:rsidRPr="00000000">
        <w:rPr>
          <w:rtl w:val="0"/>
        </w:rPr>
      </w:r>
    </w:p>
    <w:tbl>
      <w:tblPr>
        <w:tblStyle w:val="Table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Invariant Metrics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Evaluation Metrics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Number of Cookies</w:t>
            </w:r>
          </w:p>
          <w:p w:rsidR="00000000" w:rsidDel="00000000" w:rsidP="00000000" w:rsidRDefault="00000000" w:rsidRPr="00000000">
            <w:pPr>
              <w:widowControl w:val="0"/>
              <w:spacing w:line="240" w:lineRule="auto"/>
              <w:contextualSpacing w:val="0"/>
            </w:pPr>
            <w:r w:rsidDel="00000000" w:rsidR="00000000" w:rsidRPr="00000000">
              <w:rPr>
                <w:rtl w:val="0"/>
              </w:rPr>
              <w:t xml:space="preserve">Number of Clicks</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Click-Through-Probability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Gross Conversion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Net Conversion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Invariants Metrics are chosen for the same reasoning as above “Independant from experiment because the visits occur before user reaches experiment.”  Also, Number of User-IDs and Retention are removed.</w:t>
      </w:r>
    </w:p>
    <w:p w:rsidR="00000000" w:rsidDel="00000000" w:rsidP="00000000" w:rsidRDefault="00000000" w:rsidRPr="00000000">
      <w:pPr>
        <w:contextualSpacing w:val="0"/>
      </w:pPr>
      <w:r w:rsidDel="00000000" w:rsidR="00000000" w:rsidRPr="00000000">
        <w:rPr>
          <w:rtl w:val="0"/>
        </w:rPr>
      </w:r>
    </w:p>
    <w:tbl>
      <w:tblPr>
        <w:tblStyle w:val="Table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0"/>
        <w:gridCol w:w="1680"/>
        <w:gridCol w:w="6380"/>
        <w:tblGridChange w:id="0">
          <w:tblGrid>
            <w:gridCol w:w="2740"/>
            <w:gridCol w:w="1680"/>
            <w:gridCol w:w="63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Metric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Classification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Reasoning for Classification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Gross Conversion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Evaluation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Directly dependent on the effect of the experiment.  Displays whether we managed to decrease the cost of enrollments that aren’t likely to become steady paying customers.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 Conversion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Evaluation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Directly dependent on the effect of the experiment.  Displays positive financial impact of change.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launch criteria would be exactly the same as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look for Gross Conversions to have a practically and statistically significant decrease as it will show us whether we lower our costs by introducing the screener.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look for Net Conversions to </w:t>
      </w:r>
      <w:r w:rsidDel="00000000" w:rsidR="00000000" w:rsidRPr="00000000">
        <w:rPr>
          <w:b w:val="1"/>
          <w:rtl w:val="0"/>
        </w:rPr>
        <w:t xml:space="preserve">not</w:t>
      </w:r>
      <w:r w:rsidDel="00000000" w:rsidR="00000000" w:rsidRPr="00000000">
        <w:rPr>
          <w:rtl w:val="0"/>
        </w:rPr>
        <w:t xml:space="preserve"> have a statistically significant decrease as it will show how the change affects our revenues.</w:t>
      </w:r>
    </w:p>
    <w:p w:rsidR="00000000" w:rsidDel="00000000" w:rsidP="00000000" w:rsidRDefault="00000000" w:rsidRPr="00000000">
      <w:pPr>
        <w:pStyle w:val="Heading1"/>
        <w:contextualSpacing w:val="0"/>
      </w:pPr>
      <w:bookmarkStart w:colFirst="0" w:colLast="0" w:name="h.6e7zgsvnoexa" w:id="16"/>
      <w:bookmarkEnd w:id="16"/>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Binomial Test</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http://vassarstats.net/binomialX.html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Work</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https://docs.google.com/spreadsheets/d/1Fpo5sUJ7hBuMkfyIwS8_DmA68CmXkgn3RG_xara2oSw/edit?usp=sharing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assarstats.net/binomialX.html" TargetMode="External"/><Relationship Id="rId6" Type="http://schemas.openxmlformats.org/officeDocument/2006/relationships/hyperlink" Target="https://docs.google.com/spreadsheets/d/1Fpo5sUJ7hBuMkfyIwS8_DmA68CmXkgn3RG_xara2oS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