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5B6BF295" wp14:editId="5746256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CA27AC"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CA27AC"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CA27AC"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CA27AC"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CA27AC"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CA27AC"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3914DF9E" wp14:editId="70D38105">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7D0987BC" wp14:editId="71A93F4A">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04EDEDCD" wp14:editId="36C884F3">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45A12FF3" wp14:editId="53B956AA">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8B4D0A" w:rsidRDefault="008B4D0A" w:rsidP="008B4D0A">
          <w:pPr>
            <w:pStyle w:val="woanwareHeading2"/>
          </w:pPr>
          <w:r>
            <w:t>To help reduce the amount of “noise” returned by snort it is possible to aid false positive filters to the data set. The false positive filters are only application to the Rules tab since they relate a filter to a specific snort rule.</w:t>
          </w:r>
          <w:bookmarkStart w:id="0" w:name="_GoBack"/>
          <w:bookmarkEnd w:id="0"/>
        </w:p>
        <w:p w:rsidR="008B4D0A" w:rsidRDefault="008B4D0A" w:rsidP="008B4D0A">
          <w:pPr>
            <w:pStyle w:val="woanwareHeading2"/>
          </w:pPr>
          <w:r>
            <w:rPr>
              <w:noProof/>
              <w:lang w:eastAsia="en-GB"/>
            </w:rPr>
            <w:drawing>
              <wp:inline distT="0" distB="0" distL="0" distR="0" wp14:anchorId="083EAC5A" wp14:editId="67669E15">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lastRenderedPageBreak/>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CA27AC"/>
      </w:sdtContent>
    </w:sdt>
    <w:p w:rsidR="002F1C36" w:rsidRDefault="002F1C36"/>
    <w:sectPr w:rsidR="002F1C36" w:rsidSect="00DE39F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AC" w:rsidRDefault="00CA27AC" w:rsidP="00837CCD">
      <w:pPr>
        <w:spacing w:after="0" w:line="240" w:lineRule="auto"/>
      </w:pPr>
      <w:r>
        <w:separator/>
      </w:r>
    </w:p>
  </w:endnote>
  <w:endnote w:type="continuationSeparator" w:id="0">
    <w:p w:rsidR="00CA27AC" w:rsidRDefault="00CA27AC"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8B4D0A">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AC" w:rsidRDefault="00CA27AC" w:rsidP="00837CCD">
      <w:pPr>
        <w:spacing w:after="0" w:line="240" w:lineRule="auto"/>
      </w:pPr>
      <w:r>
        <w:separator/>
      </w:r>
    </w:p>
  </w:footnote>
  <w:footnote w:type="continuationSeparator" w:id="0">
    <w:p w:rsidR="00CA27AC" w:rsidRDefault="00CA27AC"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8">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13"/>
  </w:num>
  <w:num w:numId="5">
    <w:abstractNumId w:val="12"/>
  </w:num>
  <w:num w:numId="6">
    <w:abstractNumId w:val="0"/>
  </w:num>
  <w:num w:numId="7">
    <w:abstractNumId w:val="5"/>
  </w:num>
  <w:num w:numId="8">
    <w:abstractNumId w:val="10"/>
  </w:num>
  <w:num w:numId="9">
    <w:abstractNumId w:val="2"/>
  </w:num>
  <w:num w:numId="10">
    <w:abstractNumId w:val="11"/>
  </w:num>
  <w:num w:numId="11">
    <w:abstractNumId w:val="8"/>
  </w:num>
  <w:num w:numId="12">
    <w:abstractNumId w:val="9"/>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5024BB"/>
    <w:rsid w:val="005129E6"/>
    <w:rsid w:val="00525085"/>
    <w:rsid w:val="0058539B"/>
    <w:rsid w:val="005F0E0B"/>
    <w:rsid w:val="005F62E8"/>
    <w:rsid w:val="00606DC3"/>
    <w:rsid w:val="00617C9E"/>
    <w:rsid w:val="006300B0"/>
    <w:rsid w:val="00630D31"/>
    <w:rsid w:val="006A08D1"/>
    <w:rsid w:val="006A48DB"/>
    <w:rsid w:val="006A5EDF"/>
    <w:rsid w:val="006B2FF1"/>
    <w:rsid w:val="006C5697"/>
    <w:rsid w:val="006F7BBE"/>
    <w:rsid w:val="007076A2"/>
    <w:rsid w:val="00721E02"/>
    <w:rsid w:val="007257E1"/>
    <w:rsid w:val="00753CA6"/>
    <w:rsid w:val="00770C7D"/>
    <w:rsid w:val="007A1271"/>
    <w:rsid w:val="007A19B7"/>
    <w:rsid w:val="007C5E8B"/>
    <w:rsid w:val="0083554A"/>
    <w:rsid w:val="00837CCD"/>
    <w:rsid w:val="00850D37"/>
    <w:rsid w:val="008A4928"/>
    <w:rsid w:val="008B089A"/>
    <w:rsid w:val="008B4D0A"/>
    <w:rsid w:val="008C1B49"/>
    <w:rsid w:val="008E4A6D"/>
    <w:rsid w:val="008E6BBB"/>
    <w:rsid w:val="009253C0"/>
    <w:rsid w:val="00973797"/>
    <w:rsid w:val="00A134BB"/>
    <w:rsid w:val="00A93285"/>
    <w:rsid w:val="00AA7C96"/>
    <w:rsid w:val="00AB3BD3"/>
    <w:rsid w:val="00AB3D17"/>
    <w:rsid w:val="00AF48B1"/>
    <w:rsid w:val="00BA09C5"/>
    <w:rsid w:val="00BA2BC7"/>
    <w:rsid w:val="00BC47D7"/>
    <w:rsid w:val="00BD4C9D"/>
    <w:rsid w:val="00BE606C"/>
    <w:rsid w:val="00BF14C2"/>
    <w:rsid w:val="00C12B2E"/>
    <w:rsid w:val="00C27B4E"/>
    <w:rsid w:val="00C45BD3"/>
    <w:rsid w:val="00C7496E"/>
    <w:rsid w:val="00C772A8"/>
    <w:rsid w:val="00CA27AC"/>
    <w:rsid w:val="00CA7815"/>
    <w:rsid w:val="00CD4EE9"/>
    <w:rsid w:val="00CE34B3"/>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35CFF"/>
    <w:rsid w:val="00F3737A"/>
    <w:rsid w:val="00F50512"/>
    <w:rsid w:val="00F53E2C"/>
    <w:rsid w:val="00F80F37"/>
    <w:rsid w:val="00F95F32"/>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3D25D-EADC-4BBB-B9B2-3A5FADE2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1558</TotalTime>
  <Pages>8</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5944</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76</cp:revision>
  <cp:lastPrinted>2012-11-09T09:09:00Z</cp:lastPrinted>
  <dcterms:created xsi:type="dcterms:W3CDTF">2012-11-01T13:08:00Z</dcterms:created>
  <dcterms:modified xsi:type="dcterms:W3CDTF">2012-11-12T21:23:00Z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