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44aJ4FWM7l0GEWFYc/4ZMMgggj3JBmAgJ0KFASuw+e1dfebNgxHACh0e0ICmSwgERWwFFQs3us9du6jQlkrJEyYZhApQNJIYH+QGaWBknA18kdjfZFax1SJkM4EECVNVa63te4DOn7lpvrb3f/k4fpbTZXU95X4wz4AAHOMABDnCAAxzgAAfSks5gbBlBM4MHYZwBBzjAAQ5wgAMc4AAHiqAhgRcBBzjAAQ5wgAMc4AAHSp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cGBYzhmcGR6LuaE5+1JJ2uFGOnPldBop5Y7pvwAAAAAWRsigGTc0w8105upj6dTxnen05fvSqeN7jDPgAAc4wAEOcIADHODA8XLO4PCNu4IGzUsl5eFGOrh6cYq6w8MP9e5KAAAAAP8/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cCQNPPOtW+PvpzOvfv7b5gJ/953p1PP3R1ibvj3d0wZfNf8lY/vTv97/5u4h/y+O/l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3/9v9n/y+O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