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Y4aJ4FWM7l0GEWFYc/4ZMMgggj3JBmAgJ0KFASuw+e1dfebNgxHACh0e0ICmSwgERWwFFQs3us9du6jQlkrJEyYZhApQNJIYH+QGaWJknA18kdjfZFax1SJkM4EECVNVa63te4DOn7lpvrb3f/k4fpbTZXU95X4wz4AAHOMABDnCAAxzgAAfSks5gbBlBM4MHYZwBBzjAAQ5wgAMc4AAHiqAhgRcBBzjAAQ5wgAMc4AAHSp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vqSz14wz4AAHOMABDnCAAxzgwNkFnsHB7uU0VU3vsuo2M3gIxhlwgAMc4AAHOMABDnCgCJr/15DZ7t9Jm91/S5vdlXRmd5QOhqvGGXCAAxzgAAc4wAEOjFnsHB6M/3R1/3X6n/7+34y3+3c6uPpzmvT4k2m7f/NmeCweP/3pT73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27nFz/G52++k+79/6c0b91/f/7p9+t/v/7p/f/8iHn/S3g/h9m/k6N/12W+x2f7d/pv5/+z+3/7p8/P/3pT77fTpvhl/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