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exact" w:line="360" w:after="24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2 ПРОЕКТИРОВАНИЕ АРХИТЕКТУРЫ СИСТЕМЫ МОНИТОРИНГА ТАРИФОВ</w:t>
      </w:r>
    </w:p>
    <w:p>
      <w:pPr>
        <w:spacing w:lineRule="exact" w:line="360" w:before="240" w:after="12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2.1 Общая архитектура системы и контекстная модель</w:t>
      </w:r>
    </w:p>
    <w:p>
      <w:pPr>
        <w:spacing w:lineRule="exact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Проектирование архитектуры разрабатываемой системы выполнено на основе требований, сформулированных в разделах 1.3 и 1.5 первой главы пояснительной записки. К числу ключевых требований относятся: обновление тарифных данных не реже одного раза в пять минут, время ответа REST API не более 200 мс, одновременная работа не менее 50 пользователей, доступность 99,9 % в рабочее время, ведение истории тарифов глубиной не менее 12 месяцев, аутентификация на основе JWT с ролевой моделью, экспорт данных в форматах CSV и Microsoft Excel, поддержка webhook-уведомлений и наличие документированного REST API.</w:t>
      </w:r>
    </w:p>
    <w:p>
      <w:pPr>
        <w:spacing w:lineRule="exact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Архитектура системы спроектирована в соответствии с моделью C4 [12], предложенной С. Брауном для структурного описания программных систем. Согласно данной модели, описание начинается с верхнего уровня — контекстной схемы, отражающей взаимодействие системы с пользователями и внешними системами. Контекстная схема разрабатываемой системы представлена на рисунке 2.1.</w:t>
      </w:r>
    </w:p>
    <w:p>
      <w:pPr>
        <w:spacing w:before="12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31457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2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45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="240" w:lineRule="auto"/>
        <w:jc w:val="center"/>
      </w:pPr>
      <w:r>
        <w:rPr>
          <w:rFonts w:ascii="Times New Roman" w:hAnsi="Times New Roman"/>
          <w:sz w:val="28"/>
        </w:rPr>
        <w:t>Рисунок 2.1 – Контекстная схема системы TariffRadar</w:t>
      </w:r>
    </w:p>
    <w:p>
      <w:pPr>
        <w:spacing w:lineRule="exact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Из рисунка 2.1 следует, что система TariffRadar взаимодействует с тремя категориями пользователей и с тремя группами внешних систем. Пользователи системы разделены по ролям в соответствии с моделью управления доступом, описанной в подразделе 2.7: администратор обеспечивает управление учётными записями, аналитик имеет полномочия на внесение сделок, экспорт данных и регистрацию webhook-уведомлений, просматривающий обладает правом доступа только к аналитическим экранам. Внешние системы подразделяются на источники данных (официальные сайты и REST API логистических операторов) и системы-получатели уведомлений (внешние CRM-, ERP- и BI-системы предприятия-заказчика).</w:t>
      </w:r>
    </w:p>
    <w:p>
      <w:pPr>
        <w:spacing w:lineRule="exact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Контекстная модель определяет границы разрабатываемой системы и её внешние интерфейсы. На втором уровне модели C4 проводится детализация внутренней структуры системы в виде схемы контейнеров (автономно развёртываемых компонентов). Архитектура контейнеров разрабатываемой системы представлена на рисунке 2.2.</w:t>
      </w:r>
    </w:p>
    <w:p>
      <w:pPr>
        <w:spacing w:before="12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37525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2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52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="240" w:lineRule="auto"/>
        <w:jc w:val="center"/>
      </w:pPr>
      <w:r>
        <w:rPr>
          <w:rFonts w:ascii="Times New Roman" w:hAnsi="Times New Roman"/>
          <w:sz w:val="28"/>
        </w:rPr>
        <w:t>Рисунок 2.2 – Архитектура контейнеров системы</w:t>
      </w:r>
    </w:p>
    <w:p>
      <w:pPr>
        <w:spacing w:lineRule="exact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 соответствии с рисунком 2.2 разрабатываемая система состоит из четырёх логически обособленных контейнеров, выполняющих самостоятельную функциональную роль. Контейнер «HTTP API сервер» реализован на языке Go и обеспечивает обработку всех запросов клиентских приложений, валидацию входных данных, формирование ответов в формате JSON и применение middleware-цепочек (аутентификация, ограничение скорости, логирование). Контейнер «Сервис сбора данных» функционирует независимо от HTTP-сервера и в фоновом режиме осуществляет периодический опрос источников тарифных данных, парсинг полученной информации и её сохранение в основную базу данных. Контейнер PostgreSQL 15 представляет собой основное хранилище данных, в котором размещаются как нормализованные таблицы, так и материализованные представления, используемые для предрасчётной агрегации. Контейнер Redis 7 выполняет роль кэша агрегатов и сервисных счётчиков (rate-limiting, blacklist JWT-токенов).</w:t>
      </w:r>
    </w:p>
    <w:p>
      <w:pPr>
        <w:spacing w:lineRule="exact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Указанное разделение продиктовано необходимостью изоляции долговременных операций сбора данных от обработки пользовательских запросов с жёстким SLA по времени отклика. Использование общей кодовой базы для HTTP-сервера и сервиса сбора данных при их раздельном развёртывании в виде обособленных процессов обеспечивает повторное использование репозиторного слоя и доменных моделей.</w:t>
      </w:r>
    </w:p>
    <w:p>
      <w:pPr>
        <w:spacing w:lineRule="exact" w:line="360" w:before="240" w:after="12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2.2 Слоистая архитектура серверной части</w:t>
      </w:r>
    </w:p>
    <w:p>
      <w:pPr>
        <w:spacing w:lineRule="exact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Внутренняя структура серверной части построена в соответствии с принципами Clean Architecture, изложенными Р. Мартином в работе [5]. В основу подхода положено правило направления зависимостей: код, реализующий бизнес-логику, не должен зависеть от внешних деталей реализации (фреймворков, СУБД, протоколов передачи данных). Связь между слоями осуществляется посредством абстракций — интерфейсов языка Go, что обеспечивает независимое тестирование и возможность замены реализации каждого из слоёв без модификации остальных.</w:t>
      </w:r>
    </w:p>
    <w:p>
      <w:pPr>
        <w:spacing w:lineRule="exact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Серверная часть разработана в виде четырёхуровневой архитектуры. Структурная схема слоёв и их взаимодействия представлена на рисунке 2.3.</w:t>
      </w:r>
    </w:p>
    <w:p>
      <w:pPr>
        <w:spacing w:before="12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31457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2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45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="240" w:lineRule="auto"/>
        <w:jc w:val="center"/>
      </w:pPr>
      <w:r>
        <w:rPr>
          <w:rFonts w:ascii="Times New Roman" w:hAnsi="Times New Roman"/>
          <w:sz w:val="28"/>
        </w:rPr>
        <w:t>Рисунок 2.3 – Слоистая архитектура серверной части</w:t>
      </w:r>
    </w:p>
    <w:p>
      <w:pPr>
        <w:spacing w:lineRule="exact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Согласно рисунку 2.3, серверная часть включает четыре уровня: уровень обработки HTTP-запросов (handlers), сервисный уровень (services), уровень репозиториев (repositories) и уровень хранения данных (storage). Распределение функциональной ответственности между уровнями приведено в таблице 2.1.</w:t>
      </w:r>
    </w:p>
    <w:p>
      <w:pPr>
        <w:spacing w:before="120" w:after="0"/>
        <w:jc w:val="left"/>
      </w:pPr>
      <w:r>
        <w:rPr>
          <w:rFonts w:ascii="Times New Roman" w:hAnsi="Times New Roman"/>
          <w:sz w:val="28"/>
        </w:rPr>
        <w:t>Таблица 2.1 – Распределение ответственности между уровнями серверной части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Уровень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Назначение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Ключевые компоненты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Handlers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Приём HTTP-запросов, парсинг параметров, формирование ответов, применение цепочки middleware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auth, market, deals, benchmark, insights, my_routes, webhooks, export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Services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Реализация бизнес-логики, оркестрация репозиториев, агрегация данных, расчёт benchmark-показателей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AuthService, MarketService, BenchmarkService, InsightsService, ExportService, CollectorService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Repositories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Доступ к базе данных и кэшу, маппинг строк в доменные модели, инкапсуляция SQL-запросов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UserRepo, DealRepo, MarketRepo, BenchmarkRepo, InsightsRepo, UserRouteRepo, WebhookRepo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Storage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Физическое хранение данных и кэшированных значений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PostgreSQL 15, Redis 7</w:t>
            </w:r>
          </w:p>
        </w:tc>
      </w:tr>
    </w:tbl>
    <w:p>
      <w:pPr>
        <w:spacing w:after="120"/>
      </w:pPr>
    </w:p>
    <w:p>
      <w:pPr>
        <w:spacing w:lineRule="exact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Принципиальной особенностью спроектированной архитектуры является односторонняя зависимость уровней. Так, уровень handlers зависит от сервисного уровня, но не имеет прямого доступа к репозиториям или СУБД. Сервисный уровень оперирует абстрактными интерфейсами, реализации которых предоставляются репозиторным уровнем. Уровень репозиториев инкапсулирует все детали работы с PostgreSQL и Redis, что позволяет, например, заменить СУБД без изменения бизнес-логики. Подобная организация облегчает написание модульных тестов: каждый уровень может быть протестирован независимо, с применением подменных (mock) реализаций соседних уровней.</w:t>
      </w:r>
    </w:p>
    <w:p>
      <w:pPr>
        <w:spacing w:lineRule="exact" w:line="360" w:before="240" w:after="12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2.3 Модульная декомпозиция серверной части</w:t>
      </w:r>
    </w:p>
    <w:p>
      <w:pPr>
        <w:spacing w:lineRule="exact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Внутри каждого из четырёх уровней, описанных в подразделе 2.2, выделены функциональные модули, соответствующие логически обособленным частям предметной области. Принципом декомпозиции послужило соответствие модулей экранам пользовательского интерфейса и сценариям использования системы. Модульная структура серверной части представлена на рисунке 2.4.</w:t>
      </w:r>
    </w:p>
    <w:p>
      <w:pPr>
        <w:spacing w:before="12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365141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2_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514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="240" w:lineRule="auto"/>
        <w:jc w:val="center"/>
      </w:pPr>
      <w:r>
        <w:rPr>
          <w:rFonts w:ascii="Times New Roman" w:hAnsi="Times New Roman"/>
          <w:sz w:val="28"/>
        </w:rPr>
        <w:t>Рисунок 2.4 – Модульная декомпозиция серверной части</w:t>
      </w:r>
    </w:p>
    <w:p>
      <w:pPr>
        <w:spacing w:lineRule="exact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Согласно рисунку 2.4, выделено восемь функциональных модулей: auth, market, deals, benchmark, insights, my_routes, webhooks, export. Каждый модуль присутствует одновременно на трёх верхних уровнях (handlers, services, repositories). Назначение модулей описано в таблице 2.2.</w:t>
      </w:r>
    </w:p>
    <w:p>
      <w:pPr>
        <w:spacing w:before="120" w:after="0"/>
        <w:jc w:val="left"/>
      </w:pPr>
      <w:r>
        <w:rPr>
          <w:rFonts w:ascii="Times New Roman" w:hAnsi="Times New Roman"/>
          <w:sz w:val="28"/>
        </w:rPr>
        <w:t>Таблица 2.2 – Функциональные модули серверной части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Модуль</w:t>
            </w:r>
          </w:p>
        </w:tc>
        <w:tc>
          <w:tcPr>
            <w:tcW w:type="dxa" w:w="368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Назначение</w:t>
            </w:r>
          </w:p>
        </w:tc>
        <w:tc>
          <w:tcPr>
            <w:tcW w:type="dxa" w:w="408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Ключевые операции</w:t>
            </w:r>
          </w:p>
        </w:tc>
      </w:tr>
      <w:tr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auth</w:t>
            </w:r>
          </w:p>
        </w:tc>
        <w:tc>
          <w:tcPr>
            <w:tcW w:type="dxa" w:w="368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Управление учётными записями и аутентификацией</w:t>
            </w:r>
          </w:p>
        </w:tc>
        <w:tc>
          <w:tcPr>
            <w:tcW w:type="dxa" w:w="408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Регистрация, вход, выход, выдача и валидация JWT, blacklist токенов</w:t>
            </w:r>
          </w:p>
        </w:tc>
      </w:tr>
      <w:tr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market</w:t>
            </w:r>
          </w:p>
        </w:tc>
        <w:tc>
          <w:tcPr>
            <w:tcW w:type="dxa" w:w="368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Получение рыночных показателей по маршруту</w:t>
            </w:r>
          </w:p>
        </w:tc>
        <w:tc>
          <w:tcPr>
            <w:tcW w:type="dxa" w:w="408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Расчёт KPI (средняя/мин/макс ставка), формирование временных рядов</w:t>
            </w:r>
          </w:p>
        </w:tc>
      </w:tr>
      <w:tr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deals</w:t>
            </w:r>
          </w:p>
        </w:tc>
        <w:tc>
          <w:tcPr>
            <w:tcW w:type="dxa" w:w="368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Работа со сделками</w:t>
            </w:r>
          </w:p>
        </w:tc>
        <w:tc>
          <w:tcPr>
            <w:tcW w:type="dxa" w:w="408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Просмотр анонимизированной истории, добавление новых сделок аналитиком</w:t>
            </w:r>
          </w:p>
        </w:tc>
      </w:tr>
      <w:tr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benchmark</w:t>
            </w:r>
          </w:p>
        </w:tc>
        <w:tc>
          <w:tcPr>
            <w:tcW w:type="dxa" w:w="368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Сравнение пользовательской ставки с рынком</w:t>
            </w:r>
          </w:p>
        </w:tc>
        <w:tc>
          <w:tcPr>
            <w:tcW w:type="dxa" w:w="408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Расчёт перцентиля, отклонения, формирование рекомендации</w:t>
            </w:r>
          </w:p>
        </w:tc>
      </w:tr>
      <w:tr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insights</w:t>
            </w:r>
          </w:p>
        </w:tc>
        <w:tc>
          <w:tcPr>
            <w:tcW w:type="dxa" w:w="368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Аналитические отчёты</w:t>
            </w:r>
          </w:p>
        </w:tc>
        <w:tc>
          <w:tcPr>
            <w:tcW w:type="dxa" w:w="408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Топ растущих/падающих маршрутов, сезонность, сравнение по типам грузов</w:t>
            </w:r>
          </w:p>
        </w:tc>
      </w:tr>
      <w:tr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my_routes</w:t>
            </w:r>
          </w:p>
        </w:tc>
        <w:tc>
          <w:tcPr>
            <w:tcW w:type="dxa" w:w="368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Управление избранными маршрутами</w:t>
            </w:r>
          </w:p>
        </w:tc>
        <w:tc>
          <w:tcPr>
            <w:tcW w:type="dxa" w:w="408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Добавление/удаление маршрутов из списка избранного</w:t>
            </w:r>
          </w:p>
        </w:tc>
      </w:tr>
      <w:tr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webhooks</w:t>
            </w:r>
          </w:p>
        </w:tc>
        <w:tc>
          <w:tcPr>
            <w:tcW w:type="dxa" w:w="368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Уведомления при изменении тарифов</w:t>
            </w:r>
          </w:p>
        </w:tc>
        <w:tc>
          <w:tcPr>
            <w:tcW w:type="dxa" w:w="408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Регистрация webhook’ов, фильтрация событий, доставка с повторными попытками</w:t>
            </w:r>
          </w:p>
        </w:tc>
      </w:tr>
      <w:tr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export</w:t>
            </w:r>
          </w:p>
        </w:tc>
        <w:tc>
          <w:tcPr>
            <w:tcW w:type="dxa" w:w="368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Выгрузка данных во внешние форматы</w:t>
            </w:r>
          </w:p>
        </w:tc>
        <w:tc>
          <w:tcPr>
            <w:tcW w:type="dxa" w:w="408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Генерация CSV и XLSX, потоковая запись больших выборок</w:t>
            </w:r>
          </w:p>
        </w:tc>
      </w:tr>
    </w:tbl>
    <w:p>
      <w:pPr>
        <w:spacing w:after="120"/>
      </w:pPr>
    </w:p>
    <w:p>
      <w:pPr>
        <w:spacing w:lineRule="exact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Модульная декомпозиция обеспечивает изолированность сценариев использования: внесение новой функциональности в один из модулей не требует изменений в остальных. Кроме того, такая структура упрощает распределение задач между разработчиками и формирование плана поэтапной разработки, описанного в третьей главе пояснительной записки.</w:t>
      </w:r>
    </w:p>
    <w:p>
      <w:pPr>
        <w:spacing w:lineRule="exact" w:line="360" w:before="240" w:after="12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2.4 Проектирование модели данных</w:t>
      </w:r>
    </w:p>
    <w:p>
      <w:pPr>
        <w:spacing w:lineRule="exact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Проектирование структуры базы данных выполнено в три этапа: построение концептуальной модели в нотации «сущность—связь», переход к логической модели для реляционной СУБД и определение физических аспектов реализации (типов данных, индексов, ограничений целостности). При выборе структуры таблиц учитывались требования к скорости агрегационных запросов, объёму хранимых данных и возможности горизонтального масштабирования.</w:t>
      </w:r>
    </w:p>
    <w:p>
      <w:pPr>
        <w:spacing w:lineRule="exact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Логическая ER-диаграмма основных сущностей разрабатываемой системы приведена на рисунке 2.5.</w:t>
      </w:r>
    </w:p>
    <w:p>
      <w:pPr>
        <w:spacing w:before="12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365141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2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514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="240" w:lineRule="auto"/>
        <w:jc w:val="center"/>
      </w:pPr>
      <w:r>
        <w:rPr>
          <w:rFonts w:ascii="Times New Roman" w:hAnsi="Times New Roman"/>
          <w:sz w:val="28"/>
        </w:rPr>
        <w:t>Рисунок 2.5 – ER-диаграмма базы данных</w:t>
      </w:r>
    </w:p>
    <w:p>
      <w:pPr>
        <w:spacing w:lineRule="exact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Из рисунка 2.5 следует, что центральной сущностью модели является таблица deals («сделки»), хранящая факты выполненных перевозок. Каждая сделка связана со справочной сущностью routes («маршруты») по внешнему ключу route_id и с пользователем-инициатором по внешнему ключу user_id. Таблица routes выделена в отдельную сущность с целью устранения избыточности при хранении повторяющихся комбинаций «город отправления — город назначения — тип перевозки» и для возможности построения индексов исключительно по идентификатору маршрута.</w:t>
      </w:r>
    </w:p>
    <w:p>
      <w:pPr>
        <w:spacing w:lineRule="exact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Тип данных для денежных значений (поле price таблицы deals) выбран как NUMERIC(12,2), что обеспечивает точное представление сумм без накопления ошибок округления, характерных для типов с плавающей точкой. Идентификаторы пользователей реализованы в виде UUID, что упрощает распределённую генерацию идентификаторов и не раскрывает внешним сторонам количество зарегистрированных учётных записей. Для сделок и маршрутов применён тип BIGSERIAL, позволяющий сохранять монотонно возрастающую нумерацию и эффективно использовать кластеризованные индексы.</w:t>
      </w:r>
    </w:p>
    <w:p>
      <w:pPr>
        <w:spacing w:lineRule="exact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Сущности plans и user_subscriptions реализуют тарификацию доступа к системе. Справочник plans содержит описание тарифных планов (Free, Pro, Enterprise) и их количественных ограничений (максимальное число избранных маршрутов, разрешённое число webhook’ов, лимит запросов API в час). Сущности webhooks и webhook_deliveries предназначены для регистрации внешних адресов уведомлений и журналирования попыток доставки соответственно.</w:t>
      </w:r>
    </w:p>
    <w:p>
      <w:pPr>
        <w:spacing w:lineRule="exact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Перечень основных таблиц базы данных и их назначения приведён в таблице 2.3.</w:t>
      </w:r>
    </w:p>
    <w:p>
      <w:pPr>
        <w:spacing w:before="120" w:after="0"/>
        <w:jc w:val="left"/>
      </w:pPr>
      <w:r>
        <w:rPr>
          <w:rFonts w:ascii="Times New Roman" w:hAnsi="Times New Roman"/>
          <w:sz w:val="28"/>
        </w:rPr>
        <w:t>Таблица 2.3 – Перечень основных таблиц и материализованных представлений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Таблица</w:t>
            </w:r>
          </w:p>
        </w:tc>
        <w:tc>
          <w:tcPr>
            <w:tcW w:type="dxa" w:w="425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Назначение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Размер записи (оценочно)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users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Учётные записи пользователей системы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~ 350 байт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routes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Справочник уникальных маршрутов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~ 230 байт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deals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Сделки (факты перевозок)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~ 180 байт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user_routes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Избранные маршруты пользователей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~ 60 байт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plans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Справочник тарифных планов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~ 200 байт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user_subscriptions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Активные подписки пользователей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~ 100 байт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user_notifications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Настройки уведомлений (1:1 с users)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~ 80 байт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webhooks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Зарегистрированные webhook-адреса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~ 600 байт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webhook_deliveries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Журнал доставки webhook-уведомлений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~ 800 байт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mv_route_stats_30d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Материализованное представление: агрегаты за 30 дней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кэш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mv_route_series_30d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Материализованное представление: ряды за 30 дней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кэш</w:t>
            </w:r>
          </w:p>
        </w:tc>
      </w:tr>
    </w:tbl>
    <w:p>
      <w:pPr>
        <w:spacing w:after="120"/>
      </w:pPr>
    </w:p>
    <w:p>
      <w:pPr>
        <w:spacing w:lineRule="exact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Особое внимание при проектировании уделено индексам таблицы deals, поскольку именно эта таблица является основным источником данных для аналитических запросов и обладает наибольшим темпом роста. Согласно оценке нагрузки, при средней интенсивности 200–400 новых сделок в сутки за двенадцать месяцев в таблице будет накоплено от 70 до 150 тыс. записей, а при дальнейшем росте числа клиентов системы — до нескольких миллионов. Для обеспечения времени аналитических запросов не более 200 мс предусмотрены следующие индексы:</w:t>
      </w:r>
    </w:p>
    <w:p>
      <w:pPr>
        <w:spacing w:lineRule="exact" w:line="360"/>
        <w:ind w:left="709" w:firstLine="0"/>
        <w:jc w:val="both"/>
      </w:pPr>
      <w:r>
        <w:rPr>
          <w:rFonts w:ascii="Times New Roman" w:hAnsi="Times New Roman"/>
          <w:sz w:val="28"/>
        </w:rPr>
        <w:t>– idx_deals_route_date — составной индекс по полям (route_id, deal_date DESC), обслуживающий типовой запрос «свежие сделки по конкретному маршруту»;</w:t>
      </w:r>
    </w:p>
    <w:p>
      <w:pPr>
        <w:spacing w:lineRule="exact" w:line="360"/>
        <w:ind w:left="709" w:firstLine="0"/>
        <w:jc w:val="both"/>
      </w:pPr>
      <w:r>
        <w:rPr>
          <w:rFonts w:ascii="Times New Roman" w:hAnsi="Times New Roman"/>
          <w:sz w:val="28"/>
        </w:rPr>
        <w:t>– idx_deals_date — индекс по полю deal_date DESC для общих выборок и формирования сезонных рядов;</w:t>
      </w:r>
    </w:p>
    <w:p>
      <w:pPr>
        <w:spacing w:lineRule="exact" w:line="360"/>
        <w:ind w:left="709" w:firstLine="0"/>
        <w:jc w:val="both"/>
      </w:pPr>
      <w:r>
        <w:rPr>
          <w:rFonts w:ascii="Times New Roman" w:hAnsi="Times New Roman"/>
          <w:sz w:val="28"/>
        </w:rPr>
        <w:t>– idx_deals_user — индекс по полю user_id для отображения сделок текущего пользователя.</w:t>
      </w:r>
    </w:p>
    <w:p>
      <w:pPr>
        <w:spacing w:lineRule="exact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Дополнительно для обеспечения масштабируемости предусмотрена возможность партиционирования таблицы deals по полю deal_date (диапазонное по месяцам). На этапе MVP партиционирование не реализуется, однако структура таблицы спроектирована таким образом, чтобы переход к партиционным таблицам не требовал изменений в репозиторном слое.</w:t>
      </w:r>
    </w:p>
    <w:p>
      <w:pPr>
        <w:spacing w:lineRule="exact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Для соблюдения SLA по времени отклика API применены материализованные представления mv_route_stats_30d и mv_route_series_30d, содержащие агрегированные показатели по маршрутам. Обновление представлений выполняется командой REFRESH MATERIALIZED VIEW CONCURRENTLY каждые пять минут, что соответствует требованию ТЗ к актуальности данных. Применение CONCURRENTLY обеспечивает обновление без блокировки конкурентных запросов на чтение.</w:t>
      </w:r>
    </w:p>
    <w:p>
      <w:pPr>
        <w:spacing w:lineRule="exact" w:line="360" w:before="240" w:after="12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2.5 Проектирование REST API</w:t>
      </w:r>
    </w:p>
    <w:p>
      <w:pPr>
        <w:spacing w:lineRule="exact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Программный интерфейс системы спроектирован в соответствии с архитектурным стилем REST (Representational State Transfer), описанным Р. Филдингом и подробно изложенным в работе [10]. Соблюдение принципов REST обеспечивает единообразие взаимодействия между клиентом и сервером, независимость от состояния (stateless) и кэшируемость ответов.</w:t>
      </w:r>
    </w:p>
    <w:p>
      <w:pPr>
        <w:spacing w:lineRule="exact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При проектировании API соблюдены следующие принципы: ресурсо-ориентированная адресация (каждая URL-сущность соответствует одному типу ресурсов), использование стандартных HTTP-методов для операций (GET для чтения, POST для создания, PATCH для частичного обновления, DELETE для удаления), применение унифицированного формата представления данных JSON и единого формата ошибок, явное указание версии API в составе адресной строки (/api/v1).</w:t>
      </w:r>
    </w:p>
    <w:p>
      <w:pPr>
        <w:spacing w:lineRule="exact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Все ресурсы API сгруппированы в семейства, соответствующие функциональным модулям, описанным в подразделе 2.3. Сводный перечень основных групп эндпоинтов представлен в таблице 2.4.</w:t>
      </w:r>
    </w:p>
    <w:p>
      <w:pPr>
        <w:spacing w:before="120" w:after="0"/>
        <w:jc w:val="left"/>
      </w:pPr>
      <w:r>
        <w:rPr>
          <w:rFonts w:ascii="Times New Roman" w:hAnsi="Times New Roman"/>
          <w:sz w:val="28"/>
        </w:rPr>
        <w:t>Таблица 2.4 – Сводный перечень эндпоинтов REST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Группа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Метод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Путь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Назначение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Auth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POST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/auth/register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Регистрация нового пользователя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Auth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POST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/auth/login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Аутентификация и выдача JWT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Auth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GET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/me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Профиль текущего пользователя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Market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GET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/market/stats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KPI и временные ряды по маршруту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Market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GET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/routes/search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Поиск маршрута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Market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GET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/routes/suggestions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Автодополнение городов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Deals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GET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/deals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Анонимизированная история сделок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Deals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POST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/deals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Внесение новой сделки (analyst, admin)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Benchmark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POST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/benchmark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Сравнение ставки пользователя с рынком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Insights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GET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/insights/trends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Топ растущих и падающих маршрутов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Insights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GET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/insights/seasonality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Сезонность ставки по месяцам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Insights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GET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/insights/by-cargo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Сравнение по типам грузов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MyRoutes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GET / POST / DELETE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/my/routes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Управление избранными маршрутами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Webhooks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GET / POST / DELETE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/webhooks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Регистрация webhook-адресов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Export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GET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/export/deals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Экспорт истории сделок в CSV / XLSX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Settings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PATCH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/me, /me/password, /me/notifications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Настройки профиля и уведомлений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Service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GET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/health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Проверка живости сервиса</w:t>
            </w:r>
          </w:p>
        </w:tc>
      </w:tr>
    </w:tbl>
    <w:p>
      <w:pPr>
        <w:spacing w:after="120"/>
      </w:pPr>
    </w:p>
    <w:p>
      <w:pPr>
        <w:spacing w:lineRule="exact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Документация API оформлена в формате OpenAPI 3.0 и публикуется через интерфейс Swagger UI по адресу /docs. Использование стандарта OpenAPI обеспечивает совместимость с инструментами автогенерации клиентских библиотек и упрощает интеграцию с системами заказчика.</w:t>
      </w:r>
    </w:p>
    <w:p>
      <w:pPr>
        <w:spacing w:lineRule="exact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Для обеспечения единообразия ошибок все некорректные ответы сервера возвращаются в формате JSON-объекта со структурой {"error": {"code": "&lt;код&gt;", "message": "&lt;сообщение&gt;", "field": "&lt;поле&gt;"}}, где поле field присутствует только для ошибок валидации входных данных. Применение единого формата позволяет клиентскому приложению обрабатывать ошибки централизованно.</w:t>
      </w:r>
    </w:p>
    <w:p>
      <w:pPr>
        <w:spacing w:lineRule="exact" w:line="360" w:before="240" w:after="12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2.6 Стратегия кэширования и оптимизация производительности</w:t>
      </w:r>
    </w:p>
    <w:p>
      <w:pPr>
        <w:spacing w:lineRule="exact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Соблюдение требования к времени ответа API не более 200 мс при ожидаемой нагрузке достигается применением многоуровневой стратегии кэширования. Структура уровней кэша и их характеристики представлены на рисунке 2.6.</w:t>
      </w:r>
    </w:p>
    <w:p>
      <w:pPr>
        <w:spacing w:before="12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365141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2_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514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="240" w:lineRule="auto"/>
        <w:jc w:val="center"/>
      </w:pPr>
      <w:r>
        <w:rPr>
          <w:rFonts w:ascii="Times New Roman" w:hAnsi="Times New Roman"/>
          <w:sz w:val="28"/>
        </w:rPr>
        <w:t>Рисунок 2.6 – Sequence-диаграмма обработки запроса GET /market/stats</w:t>
      </w:r>
    </w:p>
    <w:p>
      <w:pPr>
        <w:spacing w:lineRule="exact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Согласно рисунку 2.6, при поступлении запроса на получение рыночных показателей по маршруту сервисный слой первоначально выполняет проверку наличия предвычисленного результата в кэше Redis. В случае попадания в кэш (cache hit) ответ формируется без обращения к базе данных, что обеспечивает время ответа порядка 10–30 мс. В случае промаха (cache miss) запрос перенаправляется в репозиторный слой, где данные читаются из материализованного представления mv_route_stats_30d, после чего сохраняются в кэш с временем жизни (TTL) в пять минут. Двухэтапный подход гарантирует выполнение SLA даже при холодном кэше — обращение к материализованному представлению занимает значительно меньше времени, чем агрегация исходной таблицы deals.</w:t>
      </w:r>
    </w:p>
    <w:p>
      <w:pPr>
        <w:spacing w:lineRule="exact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Принципиальная схема двухуровневого кэширования системы показана на рисунке 2.7.</w:t>
      </w:r>
    </w:p>
    <w:p>
      <w:pPr>
        <w:spacing w:before="12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3348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2_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="240" w:lineRule="auto"/>
        <w:jc w:val="center"/>
      </w:pPr>
      <w:r>
        <w:rPr>
          <w:rFonts w:ascii="Times New Roman" w:hAnsi="Times New Roman"/>
          <w:sz w:val="28"/>
        </w:rPr>
        <w:t>Рисунок 2.7 – Двухуровневая стратегия кэширования</w:t>
      </w:r>
    </w:p>
    <w:p>
      <w:pPr>
        <w:spacing w:lineRule="exact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 соответствии с рисунком 2.7 кэширование организовано на трёх уровнях. Первый уровень — кэш приложения в Redis, хранящий часто запрашиваемые агрегаты в виде сериализованных JSON-объектов. Второй уровень — материализованные представления PostgreSQL, обновляемые по расписанию. Третий уровень — таблица deals, являющаяся источником истины. Перечень используемых ключей кэша Redis и их характеристики приведены в таблице 2.5.</w:t>
      </w:r>
    </w:p>
    <w:p>
      <w:pPr>
        <w:spacing w:before="120" w:after="0"/>
        <w:jc w:val="left"/>
      </w:pPr>
      <w:r>
        <w:rPr>
          <w:rFonts w:ascii="Times New Roman" w:hAnsi="Times New Roman"/>
          <w:sz w:val="28"/>
        </w:rPr>
        <w:t>Таблица 2.5 – Стратегия кэширования: ключи Redis и их характеристики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Шаблон ключа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TTL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Назначение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stats:{route_id}:{period}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5 мин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Агрегированные показатели по маршруту за период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trends:{period}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15 мин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Топ растущих и падающих маршрутов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seasonality:{route_id}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24 ч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Сезонность ставки по месяцам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by-cargo:{period}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1 ч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Средние ставки по типам грузов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suggestions:{prefix}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10 мин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Автодополнение названий городов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subscription:{user_id}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30 мин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Текущая подписка пользователя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auth:blacklist:{jwt_id}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до exp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Чёрный список инвалидированных JWT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ratelimit:{user_id}:{minute}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1 мин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Счётчик запросов для ограничения частоты</w:t>
            </w:r>
          </w:p>
        </w:tc>
      </w:tr>
    </w:tbl>
    <w:p>
      <w:pPr>
        <w:spacing w:after="120"/>
      </w:pPr>
    </w:p>
    <w:p>
      <w:pPr>
        <w:spacing w:lineRule="exact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Применяется стратегия Cache-Aside с явной инвалидацией: при добавлении новой сделки модуль deals удаляет из кэша Redis все ключи вида stats:{route_id}:* для соответствующего маршрута. Это гарантирует, что повторное обращение к /market/stats по данному маршруту приведёт к пересчёту агрегатов на актуальной выборке. Sequence-диаграмма обработки операции добавления сделки с инвалидацией кэша и инициированием webhook-уведомлений приведена на рисунке 2.8.</w:t>
      </w:r>
    </w:p>
    <w:p>
      <w:pPr>
        <w:spacing w:before="12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355027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2_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50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="240" w:lineRule="auto"/>
        <w:jc w:val="center"/>
      </w:pPr>
      <w:r>
        <w:rPr>
          <w:rFonts w:ascii="Times New Roman" w:hAnsi="Times New Roman"/>
          <w:sz w:val="28"/>
        </w:rPr>
        <w:t>Рисунок 2.8 – Sequence-диаграмма обработки запроса POST /deals</w:t>
      </w:r>
    </w:p>
    <w:p>
      <w:pPr>
        <w:spacing w:lineRule="exact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Согласно рисунку 2.8, операция добавления сделки сопровождается выполнением трёх типов побочных действий: инвалидацией соответствующих ключей кэша, постановкой webhook-события в очередь и возвратом подтверждения клиенту. Постановка событий в очередь и доставка webhook-уведомлений выполняются асинхронно с применением goroutine-моделей языка Go, что исключает блокирование основного потока обработки запроса и обеспечивает быстрый ответ клиенту.</w:t>
      </w:r>
    </w:p>
    <w:p>
      <w:pPr>
        <w:spacing w:lineRule="exact" w:line="360" w:before="240" w:after="12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2.7 Безопасность системы и ролевая модель доступа</w:t>
      </w:r>
    </w:p>
    <w:p>
      <w:pPr>
        <w:spacing w:lineRule="exact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Защита данных и разграничение прав пользователей реализованы через четыре механизма: принудительное использование протокола HTTPS на уровне обратного прокси, аутентификация на основе JWT-токенов, ролевая модель доступа и ограничение частоты запросов (rate-limiting). Принципиальная схема взаимодействия указанных механизмов представлена на рисунке 2.9.</w:t>
      </w:r>
    </w:p>
    <w:p>
      <w:pPr>
        <w:spacing w:before="12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314572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2_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45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="240" w:lineRule="auto"/>
        <w:jc w:val="center"/>
      </w:pPr>
      <w:r>
        <w:rPr>
          <w:rFonts w:ascii="Times New Roman" w:hAnsi="Times New Roman"/>
          <w:sz w:val="28"/>
        </w:rPr>
        <w:t>Рисунок 2.9 – Схема аутентификации и матрица доступа по ролям</w:t>
      </w:r>
    </w:p>
    <w:p>
      <w:pPr>
        <w:spacing w:lineRule="exact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 соответствии с рисунком 2.9, каждый запрос к защищённым эндпоинтам должен содержать заголовок Authorization: Bearer &lt;JWT&gt;. Проверка токена выполняется в JWT-Middleware, последовательно: извлекается токен из заголовка, проверяется подпись по алгоритму HMAC-SHA256, проверяется срок действия (claim exp), производится сверка с чёрным списком инвалидированных токенов в Redis. При успешной валидации в контекст HTTP-запроса добавляются атрибуты user_id, role и идентификатор токена; в противном случае возвращается ответ HTTP 401 Unauthorized без вызова обработчика.</w:t>
      </w:r>
    </w:p>
    <w:p>
      <w:pPr>
        <w:spacing w:lineRule="exact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Ролевая модель включает три предопределённые роли: viewer (просматривающий), analyst (аналитик) и admin (администратор). Сводная матрица прав доступа представлена в таблице 2.6.</w:t>
      </w:r>
    </w:p>
    <w:p>
      <w:pPr>
        <w:spacing w:before="120" w:after="0"/>
        <w:jc w:val="left"/>
      </w:pPr>
      <w:r>
        <w:rPr>
          <w:rFonts w:ascii="Times New Roman" w:hAnsi="Times New Roman"/>
          <w:sz w:val="28"/>
        </w:rPr>
        <w:t>Таблица 2.6 – Матрица прав доступа по ролям пользователей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481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Действие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viewer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analyst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admin</w:t>
            </w:r>
          </w:p>
        </w:tc>
      </w:tr>
      <w:tr>
        <w:tc>
          <w:tcPr>
            <w:tcW w:type="dxa" w:w="481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Просмотр KPI и аналитики (GET-запросы)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+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+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+</w:t>
            </w:r>
          </w:p>
        </w:tc>
      </w:tr>
      <w:tr>
        <w:tc>
          <w:tcPr>
            <w:tcW w:type="dxa" w:w="481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Внесение новой сделки (POST /deals)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+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+</w:t>
            </w:r>
          </w:p>
        </w:tc>
      </w:tr>
      <w:tr>
        <w:tc>
          <w:tcPr>
            <w:tcW w:type="dxa" w:w="481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Регистрация webhook-уведомления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+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+</w:t>
            </w:r>
          </w:p>
        </w:tc>
      </w:tr>
      <w:tr>
        <w:tc>
          <w:tcPr>
            <w:tcW w:type="dxa" w:w="481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Экспорт данных в CSV / XLSX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+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+</w:t>
            </w:r>
          </w:p>
        </w:tc>
      </w:tr>
      <w:tr>
        <w:tc>
          <w:tcPr>
            <w:tcW w:type="dxa" w:w="481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Управление учётными записями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+</w:t>
            </w:r>
          </w:p>
        </w:tc>
      </w:tr>
      <w:tr>
        <w:tc>
          <w:tcPr>
            <w:tcW w:type="dxa" w:w="481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Изменение собственного профиля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+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+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+</w:t>
            </w:r>
          </w:p>
        </w:tc>
      </w:tr>
      <w:tr>
        <w:tc>
          <w:tcPr>
            <w:tcW w:type="dxa" w:w="481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Смена тарифного плана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+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+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+</w:t>
            </w:r>
          </w:p>
        </w:tc>
      </w:tr>
    </w:tbl>
    <w:p>
      <w:pPr>
        <w:spacing w:after="120"/>
      </w:pPr>
    </w:p>
    <w:p>
      <w:pPr>
        <w:spacing w:lineRule="exact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Дополнительно к ролевой модели применяется механизм ограничения частоты запросов, реализованный на основе счётчиков в Redis. Для каждого пользователя ведётся счётчик ratelimit:{user_id}:{minute} с временем жизни одна минута, инкрементируемый при каждом запросе. При превышении лимита, установленного для соответствующего тарифного плана, сервер возвращает ответ HTTP 429 Too Many Requests. Подобный механизм защищает систему от перегрузки и одновременно реализует биллинговую логику тарифных планов.</w:t>
      </w:r>
    </w:p>
    <w:p>
      <w:pPr>
        <w:spacing w:lineRule="exact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Хранение паролей пользователей выполняется в виде хеш-значений, формируемых по алгоритму bcrypt с фактором стоимости 12. Применение bcrypt обеспечивает устойчивость к атакам с использованием радужных таблиц и заведомо высокую вычислительную стоимость подбора пароля. Передача всех данных между клиентом и сервером выполняется по протоколу HTTPS; обрыв TLS-соединения осуществляется на уровне обратного прокси-сервера nginx, описание которого приведено в подразделе 2.8.</w:t>
      </w:r>
    </w:p>
    <w:p>
      <w:pPr>
        <w:spacing w:lineRule="exact" w:line="360" w:before="240" w:after="12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2.8 Архитектура развёртывания</w:t>
      </w:r>
    </w:p>
    <w:p>
      <w:pPr>
        <w:spacing w:lineRule="exact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Развёртывание разработанной системы осуществляется в виде набора Docker-контейнеров, описываемых файлом docker-compose.yml. Применение контейнеризации обеспечивает воспроизводимость развёртывания, изоляцию приложения от системного окружения и упрощённое переносимое масштабирование. Архитектура развёртывания представлена на рисунке 2.10.</w:t>
      </w:r>
    </w:p>
    <w:p>
      <w:pPr>
        <w:spacing w:before="12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3348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2_1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="240" w:lineRule="auto"/>
        <w:jc w:val="center"/>
      </w:pPr>
      <w:r>
        <w:rPr>
          <w:rFonts w:ascii="Times New Roman" w:hAnsi="Times New Roman"/>
          <w:sz w:val="28"/>
        </w:rPr>
        <w:t>Рисунок 2.10 – Архитектура развёртывания системы</w:t>
      </w:r>
    </w:p>
    <w:p>
      <w:pPr>
        <w:spacing w:lineRule="exact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Согласно рисунку 2.10, система развёртывается в виде шести контейнеров, объединённых внутренней сетью Docker. Контейнер nginx выполняет функции обратного прокси-сервера: производит обрыв TLS-соединения, перенаправляет HTTP-запросы на HTTPS, отдаёт статические ресурсы клиентского приложения и проксирует запросы /api/v1/* в контейнер tariffradar-api. Контейнер tariffradar-api содержит основной HTTP-сервер, написанный на Go и развёрнутый на образе Alpine Linux для минимизации размера. Контейнер tariffradar-collector выполняет функцию периодического сбора тарифных данных и развёртывается из той же кодовой базы, но запускается с иной точкой входа.</w:t>
      </w:r>
    </w:p>
    <w:p>
      <w:pPr>
        <w:spacing w:lineRule="exact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Контейнер postgres-db содержит СУБД PostgreSQL 15. Сохранение данных между перезапусками обеспечивается монтированием Docker-тома tariffradar-pgdata в директорию данных PostgreSQL. Контейнер redis-cache реализует кэш на базе Redis 7 с настройкой maxmemory-policy=allkeys-lru, что обеспечивает автоматическое вытеснение наименее используемых ключей при достижении предела оперативной памяти. Контейнер tariffradar-migrate является разовым: при запуске он выполняет все миграции базы данных с помощью утилиты goose и завершает работу.</w:t>
      </w:r>
    </w:p>
    <w:p>
      <w:pPr>
        <w:spacing w:lineRule="exact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Резервное копирование базы данных выполняется по расписанию при помощи утилиты pg_dump во внешнее хранилище. Журналы всех контейнеров перенаправляются в стандартный вывод и собираются инструментами Docker, что упрощает интеграцию с централизованными системами журналирования (Loki, ELK). Масштабирование контейнеров tariffradar-api и tariffradar-collector выполняется через параметр --scale утилиты docker-compose без изменения исходного кода приложения.</w:t>
      </w:r>
    </w:p>
    <w:p>
      <w:pPr>
        <w:spacing w:lineRule="exact" w:line="360" w:before="240" w:after="12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Выводы по главе 2</w:t>
      </w:r>
    </w:p>
    <w:p>
      <w:pPr>
        <w:spacing w:lineRule="exact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 настоящей главе спроектирована архитектура серверной части системы мониторинга и сравнения тарифов логистических компаний. На основе требований, сформулированных в первой главе, разработаны контекстная и контейнерная модели в нотации C4, обоснована и описана слоистая архитектура серверной части, включающая четыре уровня (handlers, services, repositories, storage). Произведена модульная декомпозиция в восемь функциональных модулей, соответствующих сценариям использования системы.</w:t>
      </w:r>
    </w:p>
    <w:p>
      <w:pPr>
        <w:spacing w:lineRule="exact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Спроектирована модель данных, включающая девять таблиц и два материализованных представления, обоснован выбор индексов и стратегии партиционирования. Разработана структура REST API, насчитывающая 17 групп эндпоинтов; задокументирована стратегия многоуровневого кэширования с применением Redis и материализованных представлений PostgreSQL, обеспечивающая выполнение требования к времени ответа API. Описана модель безопасности на основе JWT-аутентификации с тремя ролями и ограничением частоты запросов. Определена архитектура развёртывания в виде набора Docker-контейнеров.</w:t>
      </w:r>
    </w:p>
    <w:p>
      <w:pPr>
        <w:spacing w:lineRule="exact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Полученная архитектура удовлетворяет всем требованиям, сформулированным в подразделах 1.3 и 1.5 первой главы пояснительной записки, и служит основой для практической реализации серверной части системы, описание которой приведено в третьей главе.</w:t>
      </w:r>
    </w:p>
    <w:sectPr w:rsidR="00FC693F" w:rsidRPr="0006063C" w:rsidSect="00034616">
      <w:footerReference w:type="default" r:id="rId9"/>
      <w:pgSz w:w="12240" w:h="15840"/>
      <w:pgMar w:top="1134" w:right="567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8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360" w:before="0" w:after="0"/>
      <w:ind w:firstLine="709"/>
    </w:pPr>
    <w:rPr>
      <w:rFonts w:ascii="Times New Roman" w:hAnsi="Times New Roman" w:cs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