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0" w:lineRule="auto" w:line="4320"/>
        <w:ind w:firstLine="0"/>
        <w:jc w:val="center"/>
      </w:pPr>
      <w:r>
        <w:rPr>
          <w:rFonts w:ascii="Times New Roman" w:hAnsi="Times New Roman"/>
          <w:b/>
          <w:sz w:val="28"/>
        </w:rPr>
        <w:t>6 ТЕХНИКО-ЭКОНОМИЧЕСКОЕ ОБОСНОВАНИЕ И МОДЕЛЬ МОНЕТИЗАЦИИ</w:t>
      </w:r>
    </w:p>
    <w:p>
      <w:pPr>
        <w:spacing w:before="0" w:after="0" w:lineRule="auto" w:line="4320"/>
        <w:ind w:firstLine="1"/>
      </w:pPr>
      <w:r>
        <w:rPr>
          <w:rFonts w:ascii="Times New Roman" w:hAnsi="Times New Roman"/>
          <w:sz w:val="28"/>
        </w:rPr>
        <w:t>Платформа TariffRadar разработана как двусторонний B2B SaaS маркетплейс, обслуживающий логистический рынок Беларуси. Ключевой задачей технико-экономического анализа является обоснование жизнеспособности бизнес-модели, оценка доходов по предложенным тарифам подписок, и определение путей масштабирования платформы.</w:t>
      </w:r>
    </w:p>
    <w:p>
      <w:pPr>
        <w:spacing w:before="4000" w:after="0" w:lineRule="auto" w:line="4320"/>
        <w:ind w:left="0" w:firstLine="0"/>
      </w:pPr>
      <w:r>
        <w:rPr>
          <w:rFonts w:ascii="Times New Roman" w:hAnsi="Times New Roman"/>
          <w:b/>
          <w:sz w:val="28"/>
        </w:rPr>
        <w:t>6.1 Прогноз доходов по тарифам подписок</w:t>
      </w:r>
    </w:p>
    <w:p>
      <w:pPr>
        <w:spacing w:before="0" w:after="0" w:lineRule="auto" w:line="4320"/>
        <w:ind w:firstLine="1"/>
      </w:pPr>
      <w:r>
        <w:rPr>
          <w:rFonts w:ascii="Times New Roman" w:hAnsi="Times New Roman"/>
          <w:sz w:val="28"/>
        </w:rPr>
        <w:t>Экономическая модель платформы основана на SaaS-модели с тремя уровнями подписки. Каждый уровень предназначен для различных сегментов пользователей и обеспечивает разный набор функций, соответствующий потребностям и бюджету целевой аудитории.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Free (Базовый)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Pro ($29/мес)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Business ($99/мес)</w:t>
            </w:r>
          </w:p>
        </w:tc>
      </w:tr>
      <w:tr>
        <w:tc>
          <w:tcPr>
            <w:tcW w:type="dxa" w:w="2493"/>
          </w:tcPr>
          <w:p>
            <w:r>
              <w:t>Поиск грузов и предложений</w:t>
            </w:r>
          </w:p>
        </w:tc>
        <w:tc>
          <w:tcPr>
            <w:tcW w:type="dxa" w:w="2493"/>
          </w:tcPr>
          <w:p>
            <w:r>
              <w:t>До 5 поисков/день</w:t>
            </w:r>
          </w:p>
        </w:tc>
        <w:tc>
          <w:tcPr>
            <w:tcW w:type="dxa" w:w="2493"/>
          </w:tcPr>
          <w:p>
            <w:r>
              <w:t>Неограниченно</w:t>
            </w:r>
          </w:p>
        </w:tc>
        <w:tc>
          <w:tcPr>
            <w:tcW w:type="dxa" w:w="2493"/>
          </w:tcPr>
          <w:p>
            <w:r>
              <w:t>Неограниченно</w:t>
            </w:r>
          </w:p>
        </w:tc>
      </w:tr>
      <w:tr>
        <w:tc>
          <w:tcPr>
            <w:tcW w:type="dxa" w:w="2493"/>
          </w:tcPr>
          <w:p>
            <w:r>
              <w:t>История сделок и аналитика</w:t>
            </w:r>
          </w:p>
        </w:tc>
        <w:tc>
          <w:tcPr>
            <w:tcW w:type="dxa" w:w="2493"/>
          </w:tcPr>
          <w:p>
            <w:r>
              <w:t>30 дней</w:t>
            </w:r>
          </w:p>
        </w:tc>
        <w:tc>
          <w:tcPr>
            <w:tcW w:type="dxa" w:w="2493"/>
          </w:tcPr>
          <w:p>
            <w:r>
              <w:t>90 дней</w:t>
            </w:r>
          </w:p>
        </w:tc>
        <w:tc>
          <w:tcPr>
            <w:tcW w:type="dxa" w:w="2493"/>
          </w:tcPr>
          <w:p>
            <w:r>
              <w:t>12 месяцев</w:t>
            </w:r>
          </w:p>
        </w:tc>
      </w:tr>
      <w:tr>
        <w:tc>
          <w:tcPr>
            <w:tcW w:type="dxa" w:w="2493"/>
          </w:tcPr>
          <w:p>
            <w:r>
              <w:t>Экспорт CSV, API, Team</w:t>
            </w:r>
          </w:p>
        </w:tc>
        <w:tc>
          <w:tcPr>
            <w:tcW w:type="dxa" w:w="2493"/>
          </w:tcPr>
          <w:p>
            <w:r>
              <w:t>Нет</w:t>
            </w:r>
          </w:p>
        </w:tc>
        <w:tc>
          <w:tcPr>
            <w:tcW w:type="dxa" w:w="2493"/>
          </w:tcPr>
          <w:p>
            <w:r>
              <w:t>CSV только</w:t>
            </w:r>
          </w:p>
        </w:tc>
        <w:tc>
          <w:tcPr>
            <w:tcW w:type="dxa" w:w="2493"/>
          </w:tcPr>
          <w:p>
            <w:r>
              <w:t>Полный доступ</w:t>
            </w:r>
          </w:p>
        </w:tc>
      </w:tr>
    </w:tbl>
    <w:p>
      <w:pPr>
        <w:spacing w:before="2000" w:after="4000" w:lineRule="auto" w:line="4320"/>
        <w:ind w:firstLine="0"/>
        <w:jc w:val="center"/>
      </w:pPr>
      <w:r>
        <w:rPr>
          <w:rFonts w:ascii="Times New Roman" w:hAnsi="Times New Roman"/>
          <w:sz w:val="24"/>
        </w:rPr>
        <w:t>Таблица 6.1 – Функции по уровням подписки</w:t>
      </w:r>
    </w:p>
    <w:p>
      <w:pPr>
        <w:spacing w:before="0" w:after="0" w:lineRule="auto" w:line="4320"/>
        <w:ind w:firstLine="1"/>
      </w:pPr>
      <w:r>
        <w:rPr>
          <w:rFonts w:ascii="Times New Roman" w:hAnsi="Times New Roman"/>
          <w:sz w:val="28"/>
        </w:rPr>
        <w:t>Free-тариф предоставляет базовый доступ к маркетплейсу, достаточный для пользователей, которые редко проводят анализ рынка. Pro-тариф ориентирован на активных пользователей маркетплейса, предоставляя неограниченный доступ к поиску. Business-тариф предназначен для крупных логистических операторов и корпоративных грузоотправителей.</w:t>
      </w:r>
    </w:p>
    <w:p>
      <w:pPr>
        <w:spacing w:before="0" w:after="0" w:lineRule="auto" w:line="4320"/>
        <w:ind w:firstLine="1"/>
      </w:pPr>
      <w:r>
        <w:rPr>
          <w:rFonts w:ascii="Times New Roman" w:hAnsi="Times New Roman"/>
          <w:sz w:val="28"/>
        </w:rPr>
        <w:t>Прогноз доходов платформы основан на консервативной модели приобретения пользователей и конверсии. На первоначальном этапе предполагается следующее распределение базы пользователей: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Месяц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Пользователи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Ожидаемый MRR (USD)</w:t>
            </w:r>
          </w:p>
        </w:tc>
      </w:tr>
      <w:tr>
        <w:tc>
          <w:tcPr>
            <w:tcW w:type="dxa" w:w="3324"/>
          </w:tcPr>
          <w:p>
            <w:r>
              <w:t>Месяц 1-3</w:t>
            </w:r>
          </w:p>
        </w:tc>
        <w:tc>
          <w:tcPr>
            <w:tcW w:type="dxa" w:w="3324"/>
          </w:tcPr>
          <w:p>
            <w:r>
              <w:t>50 (40 Free / 8 Pro / 2 Bus)</w:t>
            </w:r>
          </w:p>
        </w:tc>
        <w:tc>
          <w:tcPr>
            <w:tcW w:type="dxa" w:w="3324"/>
          </w:tcPr>
          <w:p>
            <w:r>
              <w:t>$300</w:t>
            </w:r>
          </w:p>
        </w:tc>
      </w:tr>
      <w:tr>
        <w:tc>
          <w:tcPr>
            <w:tcW w:type="dxa" w:w="3324"/>
          </w:tcPr>
          <w:p>
            <w:r>
              <w:t>Месяц 4-6</w:t>
            </w:r>
          </w:p>
        </w:tc>
        <w:tc>
          <w:tcPr>
            <w:tcW w:type="dxa" w:w="3324"/>
          </w:tcPr>
          <w:p>
            <w:r>
              <w:t>150 (110 Free / 32 Pro / 8 Bus)</w:t>
            </w:r>
          </w:p>
        </w:tc>
        <w:tc>
          <w:tcPr>
            <w:tcW w:type="dxa" w:w="3324"/>
          </w:tcPr>
          <w:p>
            <w:r>
              <w:t>$1,100</w:t>
            </w:r>
          </w:p>
        </w:tc>
      </w:tr>
      <w:tr>
        <w:tc>
          <w:tcPr>
            <w:tcW w:type="dxa" w:w="3324"/>
          </w:tcPr>
          <w:p>
            <w:r>
              <w:t>Месяц 7-12</w:t>
            </w:r>
          </w:p>
        </w:tc>
        <w:tc>
          <w:tcPr>
            <w:tcW w:type="dxa" w:w="3324"/>
          </w:tcPr>
          <w:p>
            <w:r>
              <w:t>400 (280 Free / 90 Pro / 30 Bus)</w:t>
            </w:r>
          </w:p>
        </w:tc>
        <w:tc>
          <w:tcPr>
            <w:tcW w:type="dxa" w:w="3324"/>
          </w:tcPr>
          <w:p>
            <w:r>
              <w:t>$3,600</w:t>
            </w:r>
          </w:p>
        </w:tc>
      </w:tr>
      <w:tr>
        <w:tc>
          <w:tcPr>
            <w:tcW w:type="dxa" w:w="3324"/>
          </w:tcPr>
          <w:p>
            <w:r>
              <w:t>Итого в год</w:t>
            </w:r>
          </w:p>
        </w:tc>
        <w:tc>
          <w:tcPr>
            <w:tcW w:type="dxa" w:w="3324"/>
          </w:tcPr>
          <w:p>
            <w:r>
              <w:t>~600 активных пользователей</w:t>
            </w:r>
          </w:p>
        </w:tc>
        <w:tc>
          <w:tcPr>
            <w:tcW w:type="dxa" w:w="3324"/>
          </w:tcPr>
          <w:p>
            <w:r>
              <w:t>~$28,800</w:t>
            </w:r>
          </w:p>
        </w:tc>
      </w:tr>
    </w:tbl>
    <w:p>
      <w:pPr>
        <w:spacing w:before="2000" w:after="4000" w:lineRule="auto" w:line="4320"/>
        <w:ind w:firstLine="0"/>
        <w:jc w:val="center"/>
      </w:pPr>
      <w:r>
        <w:rPr>
          <w:rFonts w:ascii="Times New Roman" w:hAnsi="Times New Roman"/>
          <w:sz w:val="24"/>
        </w:rPr>
        <w:t>Таблица 6.2 – Прогноз доходов (MRR)</w:t>
      </w:r>
    </w:p>
    <w:p>
      <w:pPr>
        <w:spacing w:before="0" w:after="0" w:lineRule="auto" w:line="4320"/>
        <w:ind w:firstLine="1"/>
      </w:pPr>
      <w:r>
        <w:rPr>
          <w:rFonts w:ascii="Times New Roman" w:hAnsi="Times New Roman"/>
          <w:sz w:val="28"/>
        </w:rPr>
        <w:t>Расчеты основаны на следующих предположениях: коэффициент конверсии Free→Pro — 20%, Free→Business — 4%; средняя стоимость Pro — $29, Business — $99; коэффициент удержания — 5% для Free, 2% для Pro/Business. Прогноз консервативен.</w:t>
      </w:r>
    </w:p>
    <w:p>
      <w:pPr>
        <w:spacing w:before="4000" w:after="0" w:lineRule="auto" w:line="4320"/>
        <w:ind w:left="0" w:firstLine="0"/>
      </w:pPr>
      <w:r>
        <w:rPr>
          <w:rFonts w:ascii="Times New Roman" w:hAnsi="Times New Roman"/>
          <w:b/>
          <w:sz w:val="28"/>
        </w:rPr>
        <w:t>6.2 Анализ окупаемости и перспективы масштабирования</w:t>
      </w:r>
    </w:p>
    <w:p>
      <w:pPr>
        <w:spacing w:before="0" w:after="0" w:lineRule="auto" w:line="4320"/>
        <w:ind w:firstLine="1"/>
      </w:pPr>
      <w:r>
        <w:rPr>
          <w:rFonts w:ascii="Times New Roman" w:hAnsi="Times New Roman"/>
          <w:sz w:val="28"/>
        </w:rPr>
        <w:t>Анализ окупаемости показывает, что платформа достигает безубыточности примерно на 9–12-й месяц. Основные категории расходов:</w:t>
      </w:r>
    </w:p>
    <w:p>
      <w:pPr>
        <w:pStyle w:val="ListBullet"/>
      </w:pPr>
      <w:r>
        <w:rPr>
          <w:rFonts w:ascii="Times New Roman" w:hAnsi="Times New Roman"/>
          <w:sz w:val="28"/>
        </w:rPr>
        <w:t>Инфраструктура (хостинг, БД, кэш) — $800–1 200/месяц</w:t>
      </w:r>
    </w:p>
    <w:p>
      <w:pPr>
        <w:pStyle w:val="ListBullet"/>
      </w:pPr>
      <w:r>
        <w:rPr>
          <w:rFonts w:ascii="Times New Roman" w:hAnsi="Times New Roman"/>
          <w:sz w:val="28"/>
        </w:rPr>
        <w:t>Персонал разработки — $3 000–5 000/месяц</w:t>
      </w:r>
    </w:p>
    <w:p>
      <w:pPr>
        <w:pStyle w:val="ListBullet"/>
      </w:pPr>
      <w:r>
        <w:rPr>
          <w:rFonts w:ascii="Times New Roman" w:hAnsi="Times New Roman"/>
          <w:sz w:val="28"/>
        </w:rPr>
        <w:t>Платежные системы (Stripe) — 2,9% + $0,30 от транзакции</w:t>
      </w:r>
    </w:p>
    <w:p>
      <w:pPr>
        <w:pStyle w:val="ListBullet"/>
      </w:pPr>
      <w:r>
        <w:rPr>
          <w:rFonts w:ascii="Times New Roman" w:hAnsi="Times New Roman"/>
          <w:sz w:val="28"/>
        </w:rPr>
        <w:t>Маркетинг и привлечение пользователей — $500–1 000/месяц</w:t>
      </w:r>
    </w:p>
    <w:p>
      <w:pPr>
        <w:pStyle w:val="ListBullet"/>
      </w:pPr>
      <w:r>
        <w:rPr>
          <w:rFonts w:ascii="Times New Roman" w:hAnsi="Times New Roman"/>
          <w:sz w:val="28"/>
        </w:rPr>
        <w:t>Прочие (лицензии, инструменты) — $200–300/месяц</w:t>
      </w:r>
    </w:p>
    <w:p>
      <w:pPr>
        <w:spacing w:before="0" w:after="0" w:lineRule="auto" w:line="4320"/>
        <w:ind w:firstLine="1"/>
      </w:pPr>
      <w:r>
        <w:rPr>
          <w:rFonts w:ascii="Times New Roman" w:hAnsi="Times New Roman"/>
          <w:sz w:val="28"/>
        </w:rPr>
        <w:t>Общие ежемесячные расходы на первоначальном этапе — $5 500–7 500. При увеличении базы до 2 000 пользователей (месяц 18–24), доход вырастет до ~$15 000–20 000, что обеспечит окупаемость инвестиций.</w:t>
      </w:r>
    </w:p>
    <w:p>
      <w:pPr>
        <w:spacing w:before="0" w:after="0" w:lineRule="auto" w:line="4320"/>
        <w:ind w:firstLine="1"/>
      </w:pPr>
      <w:r>
        <w:rPr>
          <w:rFonts w:ascii="Times New Roman" w:hAnsi="Times New Roman"/>
          <w:sz w:val="28"/>
        </w:rPr>
        <w:t>Перспективы масштабирования определяются: (1) географическим расширением на рынки РФ, УК, КЗ; (2) углублением функциональности (GPS, ML-прогнозирование); (3) открытым API для интеграции с TMS; (4) монетизацией агрегированных данных; (5) мобильными приложениями.</w:t>
      </w:r>
    </w:p>
    <w:p>
      <w:pPr>
        <w:spacing w:before="0" w:after="0" w:lineRule="auto" w:line="4320"/>
        <w:ind w:firstLine="1"/>
      </w:pPr>
      <w:r>
        <w:rPr>
          <w:rFonts w:ascii="Times New Roman" w:hAnsi="Times New Roman"/>
          <w:sz w:val="28"/>
        </w:rPr>
        <w:t>Платформа может обслужить до 10 000 пользователей к концу 3-го года, генерируя месячный доход $100 000–150 000. Это сделает TariffRadar привлекательным объектом для инвестиций и приобретения крупными логистическими операторами.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