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ComplyVerse AI for Technology &amp; SaaS</w:t>
      </w:r>
    </w:p>
    <w:p>
      <w:pPr>
        <w:pStyle w:val="Heading3"/>
      </w:pPr>
      <w:r>
        <w:t>Governance. Risk. Compliance. Unified by Intelligence.</w:t>
      </w:r>
    </w:p>
    <w:p>
      <w:pPr>
        <w:pStyle w:val="Heading2"/>
      </w:pPr>
      <w:r>
        <w:t>The Technology GRC Challenge</w:t>
      </w:r>
    </w:p>
    <w:p>
      <w:r>
        <w:t>Technology and SaaS companies face a distinct compliance challenge: demonstrating security maturity to customers, partners, and regulators — while operating in an environment of continuous change. As companies scale from startup to enterprise, compliance requirements compound:</w:t>
      </w:r>
    </w:p>
    <w:p>
      <w:pPr>
        <w:pStyle w:val="ListBullet"/>
      </w:pPr>
      <w:r/>
      <w:r>
        <w:rPr>
          <w:b/>
        </w:rPr>
        <w:t>SOC 2 Type II</w:t>
      </w:r>
      <w:r>
        <w:t xml:space="preserve"> becomes table stakes for B2B SaaS sales</w:t>
      </w:r>
    </w:p>
    <w:p>
      <w:pPr>
        <w:pStyle w:val="ListBullet"/>
      </w:pPr>
      <w:r/>
      <w:r>
        <w:rPr>
          <w:b/>
        </w:rPr>
        <w:t>ISO 27001</w:t>
      </w:r>
      <w:r>
        <w:t xml:space="preserve"> is required for international enterprise customers</w:t>
      </w:r>
    </w:p>
    <w:p>
      <w:pPr>
        <w:pStyle w:val="ListBullet"/>
      </w:pPr>
      <w:r/>
      <w:r>
        <w:rPr>
          <w:b/>
        </w:rPr>
        <w:t>GDPR</w:t>
      </w:r>
      <w:r>
        <w:t xml:space="preserve"> and global privacy regulations follow international expansion</w:t>
      </w:r>
    </w:p>
    <w:p>
      <w:pPr>
        <w:pStyle w:val="ListBullet"/>
      </w:pPr>
      <w:r/>
      <w:r>
        <w:rPr>
          <w:b/>
        </w:rPr>
        <w:t>PCI DSS</w:t>
      </w:r>
      <w:r>
        <w:t xml:space="preserve"> applies when processing payment data</w:t>
      </w:r>
    </w:p>
    <w:p>
      <w:pPr>
        <w:pStyle w:val="ListBullet"/>
      </w:pPr>
      <w:r/>
      <w:r>
        <w:rPr>
          <w:b/>
        </w:rPr>
        <w:t>SOX</w:t>
      </w:r>
      <w:r>
        <w:t xml:space="preserve"> arrives with a public listing</w:t>
      </w:r>
    </w:p>
    <w:p>
      <w:pPr>
        <w:pStyle w:val="ListBullet"/>
      </w:pPr>
      <w:r/>
      <w:r>
        <w:rPr>
          <w:b/>
        </w:rPr>
        <w:t>FedRAMP</w:t>
      </w:r>
      <w:r>
        <w:t xml:space="preserve"> opens government sales channels</w:t>
      </w:r>
    </w:p>
    <w:p>
      <w:r>
        <w:t>Each new framework historically requires months of mapping effort. Meanwhile, continuous deployment cycles mean evidence of control operation must be ongoing, not point-in-time. And enterprise customers send lengthy security questionnaires that consume engineering and compliance time.</w:t>
      </w:r>
    </w:p>
    <w:p>
      <w:pPr>
        <w:pStyle w:val="Heading2"/>
      </w:pPr>
      <w:r>
        <w:t>Platform Overview</w:t>
      </w:r>
    </w:p>
    <w:p>
      <w:r>
        <w:t>ComplyVerse AI is an enterprise-grade, AI-native GRC platform that unifies audit management, compliance tracking, enterprise risk management, vulnerability management, IT asset governance, and evidence management into a single, multi-tenant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ma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Technology-Specific Capabilities</w:t>
      </w:r>
    </w:p>
    <w:p>
      <w:pPr>
        <w:pStyle w:val="Heading3"/>
      </w:pPr>
      <w:r>
        <w:t>Instant Cross-Framework Mapping</w:t>
      </w:r>
    </w:p>
    <w:p>
      <w:r>
        <w:t>Upload SOC 2 Trust Services Criteria and ISO 27001 Annex A controls. ComplyVerse AI's semantic similarity engine immediately maps controls across both frameworks, showing which SOC 2 controls already satisfy ISO 27001 requirements and where gaps exist. When a new framework is added (GDPR, PCI DSS, FedRAMP), the AI instantly shows existing coverage.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libra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Tech Impact:</w:t>
      </w:r>
      <w:r>
        <w:t xml:space="preserve"> Adding a new framework drops from 4–6 weeks to 1–3 days. One evidence artifact satisfies multiple framework requirements simultaneously.</w:t>
      </w:r>
    </w:p>
    <w:p>
      <w:pPr>
        <w:pStyle w:val="Heading3"/>
      </w:pPr>
      <w:r>
        <w:t>Continuous Evidence Collection</w:t>
      </w:r>
    </w:p>
    <w:p>
      <w:r>
        <w:t>The unified evidence vault captures evidence as it's created — access review screenshots, change management records, incident response logs, security configurations — and maps it to relevant controls automatically. SOC 2 Type II requires evidence of continuous control operation over a review period; ComplyVerse AI makes this automatic rather than retroactive.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manageme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Tech Impact:</w:t>
      </w:r>
      <w:r>
        <w:t xml:space="preserve"> SOC 2 evidence preparation drops from 6+ weeks to under 1 week. The external auditor receives organized, pre-approved evidence by control.</w:t>
      </w:r>
    </w:p>
    <w:p>
      <w:pPr>
        <w:pStyle w:val="Heading3"/>
      </w:pPr>
      <w:r>
        <w:t>Gap Analysis for New Markets</w:t>
      </w:r>
    </w:p>
    <w:p>
      <w:r>
        <w:t>Expanding to Europe and need GDPR compliance? Pursuing FedRAMP for government sales? Upload the framework and immediately see which controls you already cover through existing SOC 2 and ISO 27001 certifications. Get a prioritized remediation roadmap, not a blank spreadsheet.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libra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Vulnerability Management for Engineering Teams</w:t>
      </w:r>
    </w:p>
    <w:p>
      <w:r>
        <w:t>Import vulnerability data into the native vulnerability register. Track remediation with SLA compliance and MTTR metrics. Assign to engineering teams by department. Maintain the documentation trail that SOC 2 auditors require for vulnerability management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lnerabiliti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IS Project Management</w:t>
      </w:r>
    </w:p>
    <w:p>
      <w:r>
        <w:t>Track security initiatives — SIEM deployments, encryption upgrades, penetration testing programs, security training rollouts — with milestones, budgets, team assignments, and direct linkage to the risks they mitigate. Demonstrate to auditors and customers that security investments are planned, resourced, and tracked.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-projec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IT Asset Governance for Cloud-Native Environments</w:t>
      </w:r>
    </w:p>
    <w:p>
      <w:r>
        <w:t>Manage cloud resources (AWS, Azure, GCP), SaaS dependencies, internal applications, and third-party services. CIA triad ratings ensure that data classification aligns with access controls and encryption requirements.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-invent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Audit Management for Compliance Cycles</w:t>
      </w:r>
    </w:p>
    <w:p>
      <w:r>
        <w:t>Plan and execute internal audits aligned with SOC 2 control testing periods. AI-powered prior-audit cross-referencing identifies recurring findings from previous audit cycles, ensuring systemic issues are escalated and resolved.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managemen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Technology Compliance Frameworks Supported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 2 Type I &amp; Type 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Trust Services Criteria with evidence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ISO 27001:2022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Annex A controls with cross-framework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GDPR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protection requirements with HIPAA/ISO cross-mapping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CCPA / CPRA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California consumer privacy 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PCI DSS v4.0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 card security controls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 reporting controls (public companies)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FedRAMP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 cloud security 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NIST CSF / NIST 800-53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Cybersecurity framework controls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CIS Controls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best practice benchmarks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 Frameworks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any proprietary or customer-specific requirements</w:t>
            </w:r>
          </w:p>
        </w:tc>
      </w:tr>
    </w:tbl>
    <w:p/>
    <w:p>
      <w:pPr>
        <w:pStyle w:val="Heading2"/>
      </w:pPr>
      <w:r>
        <w:t>Key Metrics for Technology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 2 evidence preparation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60–75% reduction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 framework onboarding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From 4–6 weeks to 1–3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Cross-framework evidence duplication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Vulnerability remediation documentation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 from zero to compliant (new framework)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Weeks, not months</w:t>
            </w:r>
          </w:p>
        </w:tc>
      </w:tr>
    </w:tbl>
    <w:p/>
    <w:p>
      <w:pPr>
        <w:pStyle w:val="Heading2"/>
      </w:pPr>
      <w:r>
        <w:t>Getting Started</w:t>
      </w:r>
    </w:p>
    <w:p>
      <w:pPr>
        <w:pStyle w:val="ListNumber"/>
      </w:pPr>
      <w:r/>
      <w:r>
        <w:rPr>
          <w:b/>
        </w:rPr>
        <w:t>Discovery Call</w:t>
      </w:r>
      <w:r>
        <w:t xml:space="preserve"> — Assess your current compliance landscape and certification goals</w:t>
      </w:r>
    </w:p>
    <w:p>
      <w:pPr>
        <w:pStyle w:val="ListNumber"/>
      </w:pPr>
      <w:r/>
      <w:r>
        <w:rPr>
          <w:b/>
        </w:rPr>
        <w:t>Framework Upload</w:t>
      </w:r>
      <w:r>
        <w:t xml:space="preserve"> — Import SOC 2, ISO 27001, and applicable frameworks</w:t>
      </w:r>
    </w:p>
    <w:p>
      <w:pPr>
        <w:pStyle w:val="ListNumber"/>
      </w:pPr>
      <w:r/>
      <w:r>
        <w:rPr>
          <w:b/>
        </w:rPr>
        <w:t>AI Mapping</w:t>
      </w:r>
      <w:r>
        <w:t xml:space="preserve"> — Run cross-framework analysis and identify existing coverage</w:t>
      </w:r>
    </w:p>
    <w:p>
      <w:pPr>
        <w:pStyle w:val="ListNumber"/>
      </w:pPr>
      <w:r/>
      <w:r>
        <w:rPr>
          <w:b/>
        </w:rPr>
        <w:t>Evidence Integration</w:t>
      </w:r>
      <w:r>
        <w:t xml:space="preserve"> — Connect evidence workflows to the unified vault</w:t>
      </w:r>
    </w:p>
    <w:p>
      <w:pPr>
        <w:pStyle w:val="ListNumber"/>
      </w:pPr>
      <w:r/>
      <w:r>
        <w:rPr>
          <w:b/>
        </w:rPr>
        <w:t>Go-Live</w:t>
      </w:r>
      <w:r>
        <w:t xml:space="preserve"> — Continuous compliance from day one</w:t>
      </w:r>
    </w:p>
    <w:p>
      <w:r>
        <w:t xml:space="preserve">Typical time to first value: </w:t>
      </w:r>
      <w:r>
        <w:rPr>
          <w:b/>
        </w:rPr>
        <w:t>1–2 weeks</w:t>
      </w:r>
      <w:r/>
    </w:p>
    <w:p>
      <w:r/>
      <w:r>
        <w:rPr>
          <w:b/>
        </w:rPr>
        <w:t>Schedule Your Demo:</w:t>
      </w:r>
      <w:r>
        <w:t xml:space="preserve"> [demo-link]</w:t>
      </w:r>
    </w:p>
    <w:p>
      <w:r/>
      <w:r>
        <w:rPr>
          <w:b/>
        </w:rPr>
        <w:t>Contact:</w:t>
      </w:r>
      <w:r>
        <w:t xml:space="preserve"> info@[company-domain].com</w:t>
      </w:r>
    </w:p>
    <w:p>
      <w:r>
        <w:rPr>
          <w:i/>
          <w:color w:val="64748B"/>
          <w:sz w:val="20"/>
        </w:rPr>
        <w:t>ComplyVerse AI — Governance. Risk. Compliance. Unified by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