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ComplyVerse AI — Industry Solution Briefs</w:t>
      </w:r>
    </w:p>
    <w:p>
      <w:pPr>
        <w:pStyle w:val="Heading2"/>
      </w:pPr>
      <w:r>
        <w:t>SOLUTION BRIEF 1: Financial Services &amp; Banking</w:t>
      </w:r>
    </w:p>
    <w:p>
      <w:pPr>
        <w:pStyle w:val="Heading3"/>
      </w:pPr>
      <w:r>
        <w:t>ComplyVerse AI for Financial Services</w:t>
      </w:r>
    </w:p>
    <w:p>
      <w:r>
        <w:rPr>
          <w:i/>
          <w:color w:val="64748B"/>
          <w:sz w:val="20"/>
        </w:rPr>
        <w:t>Unified GRC for the Most Regulated Industry on Earth</w:t>
      </w:r>
    </w:p>
    <w:p>
      <w:pPr>
        <w:pStyle w:val="Heading3"/>
      </w:pPr>
      <w:r>
        <w:t>Industry Context</w:t>
      </w:r>
    </w:p>
    <w:p>
      <w:r>
        <w:t>Financial institutions operate under a regulatory burden unmatched by any other sector. A mid-market bank may simultaneously manage compliance obligations across:</w:t>
      </w:r>
    </w:p>
    <w:p>
      <w:pPr>
        <w:pStyle w:val="ListBullet"/>
      </w:pPr>
      <w:r/>
      <w:r>
        <w:rPr>
          <w:b/>
        </w:rPr>
        <w:t>SOX</w:t>
      </w:r>
      <w:r>
        <w:t xml:space="preserve"> (Sarbanes-Oxley) for financial reporting controls</w:t>
      </w:r>
    </w:p>
    <w:p>
      <w:pPr>
        <w:pStyle w:val="ListBullet"/>
      </w:pPr>
      <w:r/>
      <w:r>
        <w:rPr>
          <w:b/>
        </w:rPr>
        <w:t>OCC/FDIC</w:t>
      </w:r>
      <w:r>
        <w:t xml:space="preserve"> regulatory requirements for bank safety and soundness</w:t>
      </w:r>
    </w:p>
    <w:p>
      <w:pPr>
        <w:pStyle w:val="ListBullet"/>
      </w:pPr>
      <w:r/>
      <w:r>
        <w:rPr>
          <w:b/>
        </w:rPr>
        <w:t>Basel III</w:t>
      </w:r>
      <w:r>
        <w:t xml:space="preserve"> capital and liquidity requirements</w:t>
      </w:r>
    </w:p>
    <w:p>
      <w:pPr>
        <w:pStyle w:val="ListBullet"/>
      </w:pPr>
      <w:r/>
      <w:r>
        <w:rPr>
          <w:b/>
        </w:rPr>
        <w:t>PCI DSS</w:t>
      </w:r>
      <w:r>
        <w:t xml:space="preserve"> for payment card data security</w:t>
      </w:r>
    </w:p>
    <w:p>
      <w:pPr>
        <w:pStyle w:val="ListBullet"/>
      </w:pPr>
      <w:r/>
      <w:r>
        <w:rPr>
          <w:b/>
        </w:rPr>
        <w:t>GLBA</w:t>
      </w:r>
      <w:r>
        <w:t xml:space="preserve"> (Gramm-Leach-Bliley Act) for customer data protection</w:t>
      </w:r>
    </w:p>
    <w:p>
      <w:pPr>
        <w:pStyle w:val="ListBullet"/>
      </w:pPr>
      <w:r/>
      <w:r>
        <w:rPr>
          <w:b/>
        </w:rPr>
        <w:t>BSA/AML</w:t>
      </w:r>
      <w:r>
        <w:t xml:space="preserve"> (Bank Secrecy Act / Anti-Money Laundering)</w:t>
      </w:r>
    </w:p>
    <w:p>
      <w:pPr>
        <w:pStyle w:val="ListBullet"/>
      </w:pPr>
      <w:r/>
      <w:r>
        <w:rPr>
          <w:b/>
        </w:rPr>
        <w:t>FFIEC</w:t>
      </w:r>
      <w:r>
        <w:t xml:space="preserve"> cybersecurity assessment framework</w:t>
      </w:r>
    </w:p>
    <w:p>
      <w:pPr>
        <w:pStyle w:val="ListBullet"/>
      </w:pPr>
      <w:r/>
      <w:r>
        <w:rPr>
          <w:b/>
        </w:rPr>
        <w:t>State-level</w:t>
      </w:r>
      <w:r>
        <w:t xml:space="preserve"> banking and privacy regulations</w:t>
      </w:r>
    </w:p>
    <w:p>
      <w:r>
        <w:t>Multi-entity structures — holding companies with subsidiary banks, wealth management divisions, and insurance arms — multiply the complexity, with each entity potentially subject to different regulatory requirements.</w:t>
      </w:r>
    </w:p>
    <w:p>
      <w:r>
        <w:t>Internal audit departments in financial services typically execute 25–50 engagements annually, with regulatory expectations for statistical rigor in sampling, comprehensive workpaper documentation, and demonstrated follow-up on prior findings.</w:t>
      </w:r>
    </w:p>
    <w:p>
      <w:pPr>
        <w:pStyle w:val="Heading3"/>
      </w:pPr>
      <w:r>
        <w:t>The Challenge</w:t>
      </w:r>
    </w:p>
    <w:p>
      <w:pPr>
        <w:pStyle w:val="ListBullet"/>
      </w:pPr>
      <w:r/>
      <w:r>
        <w:rPr>
          <w:b/>
        </w:rPr>
        <w:t>Framework proliferation:</w:t>
      </w:r>
      <w:r>
        <w:t xml:space="preserve"> 8+ frameworks with thousands of controls, many overlapping but described in different regulatory language</w:t>
      </w:r>
    </w:p>
    <w:p>
      <w:pPr>
        <w:pStyle w:val="ListBullet"/>
      </w:pPr>
      <w:r/>
      <w:r>
        <w:rPr>
          <w:b/>
        </w:rPr>
        <w:t>Regulatory examination readiness:</w:t>
      </w:r>
      <w:r>
        <w:t xml:space="preserve"> OCC and FDIC examiners expect organized evidence, traceable control testing, and demonstrated remediation of prior findings</w:t>
      </w:r>
    </w:p>
    <w:p>
      <w:pPr>
        <w:pStyle w:val="ListBullet"/>
      </w:pPr>
      <w:r/>
      <w:r>
        <w:rPr>
          <w:b/>
        </w:rPr>
        <w:t>Multi-entity audit complexity:</w:t>
      </w:r>
      <w:r>
        <w:t xml:space="preserve"> Audit plans that span multiple legal entities with different risk profiles</w:t>
      </w:r>
    </w:p>
    <w:p>
      <w:pPr>
        <w:pStyle w:val="ListBullet"/>
      </w:pPr>
      <w:r/>
      <w:r>
        <w:rPr>
          <w:b/>
        </w:rPr>
        <w:t>Prior finding recurrence:</w:t>
      </w:r>
      <w:r>
        <w:t xml:space="preserve"> Regulators specifically scrutinize whether previously identified deficiencies have been remediated — requiring systematic tracking across engagements</w:t>
      </w:r>
    </w:p>
    <w:p>
      <w:pPr>
        <w:pStyle w:val="ListBullet"/>
      </w:pPr>
      <w:r/>
      <w:r>
        <w:rPr>
          <w:b/>
        </w:rPr>
        <w:t>Board reporting:</w:t>
      </w:r>
      <w:r>
        <w:t xml:space="preserve"> Audit committees and boards require quarterly risk and compliance reports compiled from multiple data sources</w:t>
      </w:r>
    </w:p>
    <w:p>
      <w:pPr>
        <w:pStyle w:val="Heading3"/>
      </w:pPr>
      <w:r>
        <w:t>How ComplyVerse AI Solves It</w:t>
      </w:r>
    </w:p>
    <w:p>
      <w:r/>
      <w:r>
        <w:rPr>
          <w:b/>
        </w:rPr>
        <w:t>AI Cross-Framework Control Mapping</w:t>
      </w:r>
      <w:r/>
    </w:p>
    <w:p>
      <w:r>
        <w:t>Upload SOX, OCC, PCI DSS, FFIEC, and GLBA frameworks. The AI automatically identifies overlapping controls across all frameworks, creates unified control groups, and maps evidence requirements. What previously required a dedicated analyst for months is completed in hours.</w:t>
      </w:r>
    </w:p>
    <w:p>
      <w:r/>
      <w:r>
        <w:rPr>
          <w:b/>
        </w:rPr>
        <w:t>Prior-Audit Intelligence</w:t>
      </w:r>
      <w:r/>
    </w:p>
    <w:p>
      <w:r>
        <w:t>When examiners ask "Has this finding appeared before?" — ComplyVerse AI answers instantly. The platform automatically cross-references findings across all historical engagements, showing recurrence patterns, severity trends, and remediation status. This capability directly addresses regulatory expectations for systemic issue identification.</w:t>
      </w:r>
    </w:p>
    <w:p>
      <w:r/>
      <w:r>
        <w:rPr>
          <w:b/>
        </w:rPr>
        <w:t>Statistical Sampling with Audit Trail</w:t>
      </w:r>
      <w:r/>
    </w:p>
    <w:p>
      <w:r>
        <w:t>Built-in sampling with three methodologies (random, monetary unit, attribute) at configurable confidence levels. Sample calculations are linked directly to workpapers, providing the defensible documentation examiners expect.</w:t>
      </w:r>
    </w:p>
    <w:p>
      <w:r/>
      <w:r>
        <w:rPr>
          <w:b/>
        </w:rPr>
        <w:t>Multi-Entity Audit Management</w:t>
      </w:r>
      <w:r/>
    </w:p>
    <w:p>
      <w:r>
        <w:t>Plan and execute engagements across entities with entity-specific risk scoring, resource allocation, and finding tracking — all within a single platform with role-based access ensuring appropriate data isolation.</w:t>
      </w:r>
    </w:p>
    <w:p>
      <w:r/>
      <w:r>
        <w:rPr>
          <w:b/>
        </w:rPr>
        <w:t>Board-Ready Dashboards</w:t>
      </w:r>
      <w:r/>
    </w:p>
    <w:p>
      <w:r>
        <w:t>Real-time risk heat maps, compliance status across all frameworks, finding trends, and remediation timelines — available on demand, not after days of manual compilation.</w:t>
      </w:r>
    </w:p>
    <w:p>
      <w:pPr>
        <w:pStyle w:val="Heading3"/>
      </w:pPr>
      <w:r>
        <w:t>Key Metrics for Financial Services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Typical Improvement</w:t>
            </w:r>
          </w:p>
        </w:tc>
      </w:tr>
      <w:tr>
        <w:tc>
          <w:tcPr>
            <w:tcW w:type="dxa" w:w="4320"/>
          </w:tcPr>
          <w:p>
            <w:r>
              <w:rPr>
                <w:sz w:val="18"/>
              </w:rPr>
              <w:t>Examination preparation time</w:t>
            </w:r>
          </w:p>
        </w:tc>
        <w:tc>
          <w:tcPr>
            <w:tcW w:type="dxa" w:w="4320"/>
          </w:tcPr>
          <w:p>
            <w:r>
              <w:rPr>
                <w:sz w:val="18"/>
              </w:rPr>
              <w:t>50–65% reduction</w:t>
            </w:r>
          </w:p>
        </w:tc>
      </w:tr>
      <w:tr>
        <w:tc>
          <w:tcPr>
            <w:tcW w:type="dxa" w:w="4320"/>
          </w:tcPr>
          <w:p>
            <w:r>
              <w:rPr>
                <w:sz w:val="18"/>
              </w:rPr>
              <w:t>Cross-framework control mapping</w:t>
            </w:r>
          </w:p>
        </w:tc>
        <w:tc>
          <w:tcPr>
            <w:tcW w:type="dxa" w:w="4320"/>
          </w:tcPr>
          <w:p>
            <w:r>
              <w:rPr>
                <w:sz w:val="18"/>
              </w:rPr>
              <w:t>80–90% reduction in effort</w:t>
            </w:r>
          </w:p>
        </w:tc>
      </w:tr>
      <w:tr>
        <w:tc>
          <w:tcPr>
            <w:tcW w:type="dxa" w:w="4320"/>
          </w:tcPr>
          <w:p>
            <w:r>
              <w:rPr>
                <w:sz w:val="18"/>
              </w:rPr>
              <w:t>Prior finding identification</w:t>
            </w:r>
          </w:p>
        </w:tc>
        <w:tc>
          <w:tcPr>
            <w:tcW w:type="dxa" w:w="4320"/>
          </w:tcPr>
          <w:p>
            <w:r>
              <w:rPr>
                <w:sz w:val="18"/>
              </w:rPr>
              <w:t>From manual/ad hoc to automated</w:t>
            </w:r>
          </w:p>
        </w:tc>
      </w:tr>
      <w:tr>
        <w:tc>
          <w:tcPr>
            <w:tcW w:type="dxa" w:w="4320"/>
          </w:tcPr>
          <w:p>
            <w:r>
              <w:rPr>
                <w:sz w:val="18"/>
              </w:rPr>
              <w:t>Board report preparation</w:t>
            </w:r>
          </w:p>
        </w:tc>
        <w:tc>
          <w:tcPr>
            <w:tcW w:type="dxa" w:w="4320"/>
          </w:tcPr>
          <w:p>
            <w:r>
              <w:rPr>
                <w:sz w:val="18"/>
              </w:rPr>
              <w:t>From 3–5 days to same-day</w:t>
            </w:r>
          </w:p>
        </w:tc>
      </w:tr>
      <w:tr>
        <w:tc>
          <w:tcPr>
            <w:tcW w:type="dxa" w:w="4320"/>
          </w:tcPr>
          <w:p>
            <w:r>
              <w:rPr>
                <w:sz w:val="18"/>
              </w:rPr>
              <w:t>Annual GRC tooling cost</w:t>
            </w:r>
          </w:p>
        </w:tc>
        <w:tc>
          <w:tcPr>
            <w:tcW w:type="dxa" w:w="4320"/>
          </w:tcPr>
          <w:p>
            <w:r>
              <w:rPr>
                <w:sz w:val="18"/>
              </w:rPr>
              <w:t>40–60% reduction</w:t>
            </w:r>
          </w:p>
        </w:tc>
      </w:tr>
    </w:tbl>
    <w:p/>
    <w:p>
      <w:pPr>
        <w:pStyle w:val="Heading3"/>
      </w:pPr>
      <w:r>
        <w:t>Compliance Frameworks Supported</w:t>
      </w:r>
    </w:p>
    <w:p>
      <w:r>
        <w:t>SOX, OCC/FDIC, Basel III, PCI DSS, GLBA, BSA/AML, FFIEC CAT, NIST CSF, ISO 27001, state banking regulations, and any custom regulatory framework.</w:t>
      </w:r>
    </w:p>
    <w:p>
      <w:pPr>
        <w:pStyle w:val="Heading2"/>
      </w:pPr>
      <w:r>
        <w:t>SOLUTION BRIEF 2: Healthcare &amp; Life Sciences</w:t>
      </w:r>
    </w:p>
    <w:p>
      <w:pPr>
        <w:pStyle w:val="Heading3"/>
      </w:pPr>
      <w:r>
        <w:t>ComplyVerse AI for Healthcare</w:t>
      </w:r>
    </w:p>
    <w:p>
      <w:r>
        <w:rPr>
          <w:i/>
          <w:color w:val="64748B"/>
          <w:sz w:val="20"/>
        </w:rPr>
        <w:t>Protecting Patient Data and Meeting Regulatory Mandates Across the Care Continuum</w:t>
      </w:r>
    </w:p>
    <w:p>
      <w:pPr>
        <w:pStyle w:val="Heading3"/>
      </w:pPr>
      <w:r>
        <w:t>Industry Context</w:t>
      </w:r>
    </w:p>
    <w:p>
      <w:r>
        <w:t>Healthcare organizations face a unique convergence of regulatory, privacy, and security requirements:</w:t>
      </w:r>
    </w:p>
    <w:p>
      <w:pPr>
        <w:pStyle w:val="ListBullet"/>
      </w:pPr>
      <w:r/>
      <w:r>
        <w:rPr>
          <w:b/>
        </w:rPr>
        <w:t>HIPAA</w:t>
      </w:r>
      <w:r>
        <w:t xml:space="preserve"> (Health Insurance Portability and Accountability Act) — Privacy Rule, Security Rule, Breach Notification Rule</w:t>
      </w:r>
    </w:p>
    <w:p>
      <w:pPr>
        <w:pStyle w:val="ListBullet"/>
      </w:pPr>
      <w:r/>
      <w:r>
        <w:rPr>
          <w:b/>
        </w:rPr>
        <w:t>HITRUST CSF</w:t>
      </w:r>
      <w:r>
        <w:t xml:space="preserve"> — the de facto security framework for healthcare organizations</w:t>
      </w:r>
    </w:p>
    <w:p>
      <w:pPr>
        <w:pStyle w:val="ListBullet"/>
      </w:pPr>
      <w:r/>
      <w:r>
        <w:rPr>
          <w:b/>
        </w:rPr>
        <w:t>FDA 21 CFR Part 11</w:t>
      </w:r>
      <w:r>
        <w:t xml:space="preserve"> — electronic records and electronic signatures (life sciences)</w:t>
      </w:r>
    </w:p>
    <w:p>
      <w:pPr>
        <w:pStyle w:val="ListBullet"/>
      </w:pPr>
      <w:r/>
      <w:r>
        <w:rPr>
          <w:b/>
        </w:rPr>
        <w:t>HITECH Act</w:t>
      </w:r>
      <w:r>
        <w:t xml:space="preserve"> — enforcement and breach notification requirements</w:t>
      </w:r>
    </w:p>
    <w:p>
      <w:pPr>
        <w:pStyle w:val="ListBullet"/>
      </w:pPr>
      <w:r/>
      <w:r>
        <w:rPr>
          <w:b/>
        </w:rPr>
        <w:t>State privacy and breach notification laws</w:t>
      </w:r>
      <w:r>
        <w:t xml:space="preserve"> — increasingly stringent and varied</w:t>
      </w:r>
    </w:p>
    <w:p>
      <w:pPr>
        <w:pStyle w:val="ListBullet"/>
      </w:pPr>
      <w:r/>
      <w:r>
        <w:rPr>
          <w:b/>
        </w:rPr>
        <w:t>Joint Commission</w:t>
      </w:r>
      <w:r>
        <w:t xml:space="preserve"> accreditation requirements</w:t>
      </w:r>
    </w:p>
    <w:p>
      <w:pPr>
        <w:pStyle w:val="ListBullet"/>
      </w:pPr>
      <w:r/>
      <w:r>
        <w:rPr>
          <w:b/>
        </w:rPr>
        <w:t>CMS Conditions of Participation</w:t>
      </w:r>
      <w:r>
        <w:t xml:space="preserve"> for Medicare/Medicaid providers</w:t>
      </w:r>
    </w:p>
    <w:p>
      <w:r>
        <w:t>Healthcare systems also manage large, complex IT environments — electronic health records (EHR), clinical devices, telehealth platforms, patient portals, and extensive third-party vendor ecosystems — creating a broad attack surface that must be governed.</w:t>
      </w:r>
    </w:p>
    <w:p>
      <w:pPr>
        <w:pStyle w:val="Heading3"/>
      </w:pPr>
      <w:r>
        <w:t>The Challenge</w:t>
      </w:r>
    </w:p>
    <w:p>
      <w:pPr>
        <w:pStyle w:val="ListBullet"/>
      </w:pPr>
      <w:r/>
      <w:r>
        <w:rPr>
          <w:b/>
        </w:rPr>
        <w:t>HITRUST certification</w:t>
      </w:r>
      <w:r>
        <w:t xml:space="preserve"> requires comprehensive evidence collection across hundreds of controls, often taking 6+ months to prepare</w:t>
      </w:r>
    </w:p>
    <w:p>
      <w:pPr>
        <w:pStyle w:val="ListBullet"/>
      </w:pPr>
      <w:r/>
      <w:r>
        <w:rPr>
          <w:b/>
        </w:rPr>
        <w:t>HIPAA compliance</w:t>
      </w:r>
      <w:r>
        <w:t xml:space="preserve"> spans administrative, physical, and technical safeguards — each with different evidence requirements and responsible parties across clinical, IT, and administrative departments</w:t>
      </w:r>
    </w:p>
    <w:p>
      <w:pPr>
        <w:pStyle w:val="ListBullet"/>
      </w:pPr>
      <w:r/>
      <w:r>
        <w:rPr>
          <w:b/>
        </w:rPr>
        <w:t>IT asset inventory complexity:</w:t>
      </w:r>
      <w:r>
        <w:t xml:space="preserve"> Healthcare organizations operate thousands of IT assets including clinical devices (IoT/IoMT), EHR systems, imaging platforms, telehealth infrastructure, and standard enterprise IT</w:t>
      </w:r>
    </w:p>
    <w:p>
      <w:pPr>
        <w:pStyle w:val="ListBullet"/>
      </w:pPr>
      <w:r/>
      <w:r>
        <w:rPr>
          <w:b/>
        </w:rPr>
        <w:t>Vulnerability management</w:t>
      </w:r>
      <w:r>
        <w:t xml:space="preserve"> must account for assets that cannot be easily patched (medical devices, legacy clinical systems) while maintaining compliance documentation</w:t>
      </w:r>
    </w:p>
    <w:p>
      <w:pPr>
        <w:pStyle w:val="ListBullet"/>
      </w:pPr>
      <w:r/>
      <w:r>
        <w:rPr>
          <w:b/>
        </w:rPr>
        <w:t>Evidence fragmentation:</w:t>
      </w:r>
      <w:r>
        <w:t xml:space="preserve"> Compliance evidence is scattered across departments with no unified repository or version control</w:t>
      </w:r>
    </w:p>
    <w:p>
      <w:pPr>
        <w:pStyle w:val="Heading3"/>
      </w:pPr>
      <w:r>
        <w:t>How ComplyVerse AI Solves It</w:t>
      </w:r>
    </w:p>
    <w:p>
      <w:r/>
      <w:r>
        <w:rPr>
          <w:b/>
        </w:rPr>
        <w:t>HIPAA-HITRUST Unified Mapping</w:t>
      </w:r>
      <w:r/>
    </w:p>
    <w:p>
      <w:r>
        <w:t>Upload HIPAA and HITRUST CSF frameworks. The AI automatically identifies the extensive overlap between HIPAA safeguards and HITRUST controls, creating unified control groups. One evidence artifact satisfies both frameworks simultaneously, dramatically reducing certification preparation effort.</w:t>
      </w:r>
    </w:p>
    <w:p>
      <w:r/>
      <w:r>
        <w:rPr>
          <w:b/>
        </w:rPr>
        <w:t>Comprehensive IT Asset Governance</w:t>
      </w:r>
      <w:r/>
    </w:p>
    <w:p>
      <w:r>
        <w:t>Manage the full healthcare IT asset inventory — from EHR systems and clinical devices to cloud services and third-party vendors. CIA triad ratings (Confidentiality, Integrity, Availability) are critical in healthcare where patient data confidentiality and system availability directly impact care delivery.</w:t>
      </w:r>
    </w:p>
    <w:p>
      <w:r/>
      <w:r>
        <w:rPr>
          <w:b/>
        </w:rPr>
        <w:t>Vulnerability Management with Compliance Context</w:t>
      </w:r>
      <w:r/>
    </w:p>
    <w:p>
      <w:r>
        <w:t>Track vulnerabilities across the healthcare IT environment with SLA-based remediation timelines. For medical devices and legacy systems where patching is not immediately possible, document compensating controls and risk acceptance decisions — all linked to the relevant compliance obligations.</w:t>
      </w:r>
    </w:p>
    <w:p>
      <w:r/>
      <w:r>
        <w:rPr>
          <w:b/>
        </w:rPr>
        <w:t>Evidence Vault for Continuous Readiness</w:t>
      </w:r>
      <w:r/>
    </w:p>
    <w:p>
      <w:r>
        <w:t>Centralize all compliance evidence — access reviews, security configurations, training records, incident response documentation, risk assessments — in a single vault with version control and approval workflows. When the HITRUST assessor or HIPAA auditor arrives, evidence is organized, current, and traceable to specific controls.</w:t>
      </w:r>
    </w:p>
    <w:p>
      <w:r/>
      <w:r>
        <w:rPr>
          <w:b/>
        </w:rPr>
        <w:t>Department-Level Compliance Coordination</w:t>
      </w:r>
      <w:r/>
    </w:p>
    <w:p>
      <w:r>
        <w:t>Healthcare compliance requires coordination across clinical departments, IT, human resources, facilities, and administration. ComplyVerse AI's role-based access and department-level assignment ensure the right people see the right obligations and evidence requirements.</w:t>
      </w:r>
    </w:p>
    <w:p>
      <w:pPr>
        <w:pStyle w:val="Heading3"/>
      </w:pPr>
      <w:r>
        <w:t>Key Metrics for Healthcare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Typical Improvement</w:t>
            </w:r>
          </w:p>
        </w:tc>
      </w:tr>
      <w:tr>
        <w:tc>
          <w:tcPr>
            <w:tcW w:type="dxa" w:w="4320"/>
          </w:tcPr>
          <w:p>
            <w:r>
              <w:rPr>
                <w:sz w:val="18"/>
              </w:rPr>
              <w:t>HITRUST certification preparation</w:t>
            </w:r>
          </w:p>
        </w:tc>
        <w:tc>
          <w:tcPr>
            <w:tcW w:type="dxa" w:w="4320"/>
          </w:tcPr>
          <w:p>
            <w:r>
              <w:rPr>
                <w:sz w:val="18"/>
              </w:rPr>
              <w:t>60–70% reduction in time</w:t>
            </w:r>
          </w:p>
        </w:tc>
      </w:tr>
      <w:tr>
        <w:tc>
          <w:tcPr>
            <w:tcW w:type="dxa" w:w="4320"/>
          </w:tcPr>
          <w:p>
            <w:r>
              <w:rPr>
                <w:sz w:val="18"/>
              </w:rPr>
              <w:t>HIPAA evidence collection effort</w:t>
            </w:r>
          </w:p>
        </w:tc>
        <w:tc>
          <w:tcPr>
            <w:tcW w:type="dxa" w:w="4320"/>
          </w:tcPr>
          <w:p>
            <w:r>
              <w:rPr>
                <w:sz w:val="18"/>
              </w:rPr>
              <w:t>50–65% reduction</w:t>
            </w:r>
          </w:p>
        </w:tc>
      </w:tr>
      <w:tr>
        <w:tc>
          <w:tcPr>
            <w:tcW w:type="dxa" w:w="4320"/>
          </w:tcPr>
          <w:p>
            <w:r>
              <w:rPr>
                <w:sz w:val="18"/>
              </w:rPr>
              <w:t>Controls with evidence coverage</w:t>
            </w:r>
          </w:p>
        </w:tc>
        <w:tc>
          <w:tcPr>
            <w:tcW w:type="dxa" w:w="4320"/>
          </w:tcPr>
          <w:p>
            <w:r>
              <w:rPr>
                <w:sz w:val="18"/>
              </w:rPr>
              <w:t>From 60–70% to 90%+</w:t>
            </w:r>
          </w:p>
        </w:tc>
      </w:tr>
      <w:tr>
        <w:tc>
          <w:tcPr>
            <w:tcW w:type="dxa" w:w="4320"/>
          </w:tcPr>
          <w:p>
            <w:r>
              <w:rPr>
                <w:sz w:val="18"/>
              </w:rPr>
              <w:t>IT assets with current assessments</w:t>
            </w:r>
          </w:p>
        </w:tc>
        <w:tc>
          <w:tcPr>
            <w:tcW w:type="dxa" w:w="4320"/>
          </w:tcPr>
          <w:p>
            <w:r>
              <w:rPr>
                <w:sz w:val="18"/>
              </w:rPr>
              <w:t>From 30–40% to 85%+</w:t>
            </w:r>
          </w:p>
        </w:tc>
      </w:tr>
      <w:tr>
        <w:tc>
          <w:tcPr>
            <w:tcW w:type="dxa" w:w="4320"/>
          </w:tcPr>
          <w:p>
            <w:r>
              <w:rPr>
                <w:sz w:val="18"/>
              </w:rPr>
              <w:t>Cross-framework evidence duplication</w:t>
            </w:r>
          </w:p>
        </w:tc>
        <w:tc>
          <w:tcPr>
            <w:tcW w:type="dxa" w:w="4320"/>
          </w:tcPr>
          <w:p>
            <w:r>
              <w:rPr>
                <w:sz w:val="18"/>
              </w:rPr>
              <w:t>Eliminated (unified mapping)</w:t>
            </w:r>
          </w:p>
        </w:tc>
      </w:tr>
    </w:tbl>
    <w:p/>
    <w:p>
      <w:pPr>
        <w:pStyle w:val="Heading3"/>
      </w:pPr>
      <w:r>
        <w:t>Compliance Frameworks Supported</w:t>
      </w:r>
    </w:p>
    <w:p>
      <w:r>
        <w:t>HIPAA (all rules), HITRUST CSF, FDA 21 CFR Part 11, HITECH Act, Joint Commission, CMS CoP, NIST CSF, ISO 27001, state privacy laws, and any custom regulatory framework.</w:t>
      </w:r>
    </w:p>
    <w:p>
      <w:pPr>
        <w:pStyle w:val="Heading2"/>
      </w:pPr>
      <w:r>
        <w:t>SOLUTION BRIEF 3: Technology &amp; SaaS</w:t>
      </w:r>
    </w:p>
    <w:p>
      <w:pPr>
        <w:pStyle w:val="Heading3"/>
      </w:pPr>
      <w:r>
        <w:t>ComplyVerse AI for Technology Companies</w:t>
      </w:r>
    </w:p>
    <w:p>
      <w:r>
        <w:rPr>
          <w:i/>
          <w:color w:val="64748B"/>
          <w:sz w:val="20"/>
        </w:rPr>
        <w:t>Continuous Compliance at the Speed of Continuous Deployment</w:t>
      </w:r>
    </w:p>
    <w:p>
      <w:pPr>
        <w:pStyle w:val="Heading3"/>
      </w:pPr>
      <w:r>
        <w:t>Industry Context</w:t>
      </w:r>
    </w:p>
    <w:p>
      <w:r>
        <w:t>Technology and SaaS companies face a distinct compliance challenge: the need to demonstrate security and compliance maturity to customers, partners, and regulators — while operating in an environment of continuous change.</w:t>
      </w:r>
    </w:p>
    <w:p>
      <w:r>
        <w:t>Key frameworks and requirements:</w:t>
      </w:r>
    </w:p>
    <w:p>
      <w:pPr>
        <w:pStyle w:val="ListBullet"/>
      </w:pPr>
      <w:r/>
      <w:r>
        <w:rPr>
          <w:b/>
        </w:rPr>
        <w:t>SOC 2 Type II</w:t>
      </w:r>
      <w:r>
        <w:t xml:space="preserve"> — the baseline trust certification for B2B SaaS</w:t>
      </w:r>
    </w:p>
    <w:p>
      <w:pPr>
        <w:pStyle w:val="ListBullet"/>
      </w:pPr>
      <w:r/>
      <w:r>
        <w:rPr>
          <w:b/>
        </w:rPr>
        <w:t>ISO 27001</w:t>
      </w:r>
      <w:r>
        <w:t xml:space="preserve"> — international information security management standard</w:t>
      </w:r>
    </w:p>
    <w:p>
      <w:pPr>
        <w:pStyle w:val="ListBullet"/>
      </w:pPr>
      <w:r/>
      <w:r>
        <w:rPr>
          <w:b/>
        </w:rPr>
        <w:t>GDPR</w:t>
      </w:r>
      <w:r>
        <w:t xml:space="preserve"> — European data protection requirements (and similar global privacy regulations)</w:t>
      </w:r>
    </w:p>
    <w:p>
      <w:pPr>
        <w:pStyle w:val="ListBullet"/>
      </w:pPr>
      <w:r/>
      <w:r>
        <w:rPr>
          <w:b/>
        </w:rPr>
        <w:t>CCPA/CPRA</w:t>
      </w:r>
      <w:r>
        <w:t xml:space="preserve"> — California consumer privacy</w:t>
      </w:r>
    </w:p>
    <w:p>
      <w:pPr>
        <w:pStyle w:val="ListBullet"/>
      </w:pPr>
      <w:r/>
      <w:r>
        <w:rPr>
          <w:b/>
        </w:rPr>
        <w:t>SOX</w:t>
      </w:r>
      <w:r>
        <w:t xml:space="preserve"> — for publicly traded technology companies</w:t>
      </w:r>
    </w:p>
    <w:p>
      <w:pPr>
        <w:pStyle w:val="ListBullet"/>
      </w:pPr>
      <w:r/>
      <w:r>
        <w:rPr>
          <w:b/>
        </w:rPr>
        <w:t>PCI DSS</w:t>
      </w:r>
      <w:r>
        <w:t xml:space="preserve"> — for companies processing payment data</w:t>
      </w:r>
    </w:p>
    <w:p>
      <w:pPr>
        <w:pStyle w:val="ListBullet"/>
      </w:pPr>
      <w:r/>
      <w:r>
        <w:rPr>
          <w:b/>
        </w:rPr>
        <w:t>FedRAMP</w:t>
      </w:r>
      <w:r>
        <w:t xml:space="preserve"> — for companies selling to US federal government</w:t>
      </w:r>
    </w:p>
    <w:p>
      <w:pPr>
        <w:pStyle w:val="ListBullet"/>
      </w:pPr>
      <w:r/>
      <w:r>
        <w:rPr>
          <w:b/>
        </w:rPr>
        <w:t>Customer security questionnaires</w:t>
      </w:r>
      <w:r>
        <w:t xml:space="preserve"> — ad hoc requirements from enterprise customers</w:t>
      </w:r>
    </w:p>
    <w:p>
      <w:r>
        <w:t>The technology sector's rapid pace of change — continuous deployment, cloud-native infrastructure, frequent organizational scaling — means that compliance evidence becomes stale quickly and traditional annual audit cycles are insufficient.</w:t>
      </w:r>
    </w:p>
    <w:p>
      <w:pPr>
        <w:pStyle w:val="Heading3"/>
      </w:pPr>
      <w:r>
        <w:t>The Challenge</w:t>
      </w:r>
    </w:p>
    <w:p>
      <w:pPr>
        <w:pStyle w:val="ListBullet"/>
      </w:pPr>
      <w:r/>
      <w:r>
        <w:rPr>
          <w:b/>
        </w:rPr>
        <w:t>Multi-framework overlap:</w:t>
      </w:r>
      <w:r>
        <w:t xml:space="preserve"> SOC 2 Trust Services Criteria, ISO 27001 Annex A, and GDPR requirements overlap significantly, but most organizations map and evidence them separately</w:t>
      </w:r>
    </w:p>
    <w:p>
      <w:pPr>
        <w:pStyle w:val="ListBullet"/>
      </w:pPr>
      <w:r/>
      <w:r>
        <w:rPr>
          <w:b/>
        </w:rPr>
        <w:t>Continuous deployment vs. point-in-time audits:</w:t>
      </w:r>
      <w:r>
        <w:t xml:space="preserve"> SOC 2 Type II requires evidence of continuous control operation over a period — gathering this evidence retroactively is painful</w:t>
      </w:r>
    </w:p>
    <w:p>
      <w:pPr>
        <w:pStyle w:val="ListBullet"/>
      </w:pPr>
      <w:r/>
      <w:r>
        <w:rPr>
          <w:b/>
        </w:rPr>
        <w:t>Customer security questionnaires:</w:t>
      </w:r>
      <w:r>
        <w:t xml:space="preserve"> Enterprise customers send lengthy security questionnaires that require pulling data from multiple sources, consuming 10–20 hours per week for growing SaaS companies</w:t>
      </w:r>
    </w:p>
    <w:p>
      <w:pPr>
        <w:pStyle w:val="ListBullet"/>
      </w:pPr>
      <w:r/>
      <w:r>
        <w:rPr>
          <w:b/>
        </w:rPr>
        <w:t>Framework additions:</w:t>
      </w:r>
      <w:r>
        <w:t xml:space="preserve"> Adding a new framework (e.g., GDPR when expanding to Europe, or FedRAMP when pursuing government contracts) historically requires months of mapping effort</w:t>
      </w:r>
    </w:p>
    <w:p>
      <w:pPr>
        <w:pStyle w:val="ListBullet"/>
      </w:pPr>
      <w:r/>
      <w:r>
        <w:rPr>
          <w:b/>
        </w:rPr>
        <w:t>Scaling compliance teams:</w:t>
      </w:r>
      <w:r>
        <w:t xml:space="preserve"> As the company grows, compliance cannot scale linearly with headcount — automation is essential</w:t>
      </w:r>
    </w:p>
    <w:p>
      <w:pPr>
        <w:pStyle w:val="Heading3"/>
      </w:pPr>
      <w:r>
        <w:t>How ComplyVerse AI Solves It</w:t>
      </w:r>
    </w:p>
    <w:p>
      <w:r/>
      <w:r>
        <w:rPr>
          <w:b/>
        </w:rPr>
        <w:t>Instant Cross-Framework Mapping</w:t>
      </w:r>
      <w:r/>
    </w:p>
    <w:p>
      <w:r>
        <w:t>Upload SOC 2, ISO 27001, and GDPR. The AI maps controls across all three frameworks immediately, showing which SOC 2 controls already satisfy ISO 27001 and GDPR requirements. When a new framework is added (e.g., FedRAMP, PCI DSS), the AI instantly shows existing coverage, reducing a months-long project to days.</w:t>
      </w:r>
    </w:p>
    <w:p>
      <w:r/>
      <w:r>
        <w:rPr>
          <w:b/>
        </w:rPr>
        <w:t>Continuous Evidence Collection</w:t>
      </w:r>
      <w:r/>
    </w:p>
    <w:p>
      <w:r>
        <w:t>The unified evidence vault captures evidence as it's created — access review screenshots, change management records, incident response logs, security configurations — and maps it to relevant controls automatically. When the SOC 2 auditor arrives, the evidence package is organized, current, and approved.</w:t>
      </w:r>
    </w:p>
    <w:p>
      <w:r/>
      <w:r>
        <w:rPr>
          <w:b/>
        </w:rPr>
        <w:t>Gap Analysis for New Markets</w:t>
      </w:r>
      <w:r/>
    </w:p>
    <w:p>
      <w:r>
        <w:t>Considering FedRAMP for government sales? Expanding to Europe and need GDPR compliance? Upload the framework and immediately see which controls you already cover through existing certifications and where gaps exist. Prioritize remediation with a clear roadmap.</w:t>
      </w:r>
    </w:p>
    <w:p>
      <w:r/>
      <w:r>
        <w:rPr>
          <w:b/>
        </w:rPr>
        <w:t>IS Project Management</w:t>
      </w:r>
      <w:r/>
    </w:p>
    <w:p>
      <w:r>
        <w:t>Track security initiatives — from SIEM deployments to encryption upgrades to penetration testing programs — with milestones, budgets, team assignments, and direct linkage to the risks they mitigate. Demonstrate to auditors and customers that security improvements are planned, resourced, and tracked.</w:t>
      </w:r>
    </w:p>
    <w:p>
      <w:r/>
      <w:r>
        <w:rPr>
          <w:b/>
        </w:rPr>
        <w:t>Vulnerability Integration</w:t>
      </w:r>
      <w:r/>
    </w:p>
    <w:p>
      <w:r>
        <w:t>Import vulnerability data from scanners into the native vulnerability register. Track remediation with SLA compliance, assign to engineering teams by department, and maintain the documentation trail that SOC 2 auditors require for vulnerability management controls.</w:t>
      </w:r>
    </w:p>
    <w:p>
      <w:pPr>
        <w:pStyle w:val="Heading3"/>
      </w:pPr>
      <w:r>
        <w:t>Key Metrics for Technology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Typical Improvement</w:t>
            </w:r>
          </w:p>
        </w:tc>
      </w:tr>
      <w:tr>
        <w:tc>
          <w:tcPr>
            <w:tcW w:type="dxa" w:w="4320"/>
          </w:tcPr>
          <w:p>
            <w:r>
              <w:rPr>
                <w:sz w:val="18"/>
              </w:rPr>
              <w:t>SOC 2 evidence preparation</w:t>
            </w:r>
          </w:p>
        </w:tc>
        <w:tc>
          <w:tcPr>
            <w:tcW w:type="dxa" w:w="4320"/>
          </w:tcPr>
          <w:p>
            <w:r>
              <w:rPr>
                <w:sz w:val="18"/>
              </w:rPr>
              <w:t>60–75% reduction</w:t>
            </w:r>
          </w:p>
        </w:tc>
      </w:tr>
      <w:tr>
        <w:tc>
          <w:tcPr>
            <w:tcW w:type="dxa" w:w="4320"/>
          </w:tcPr>
          <w:p>
            <w:r>
              <w:rPr>
                <w:sz w:val="18"/>
              </w:rPr>
              <w:t>New framework onboarding</w:t>
            </w:r>
          </w:p>
        </w:tc>
        <w:tc>
          <w:tcPr>
            <w:tcW w:type="dxa" w:w="4320"/>
          </w:tcPr>
          <w:p>
            <w:r>
              <w:rPr>
                <w:sz w:val="18"/>
              </w:rPr>
              <w:t>From 4–6 weeks to 1–3 days</w:t>
            </w:r>
          </w:p>
        </w:tc>
      </w:tr>
      <w:tr>
        <w:tc>
          <w:tcPr>
            <w:tcW w:type="dxa" w:w="4320"/>
          </w:tcPr>
          <w:p>
            <w:r>
              <w:rPr>
                <w:sz w:val="18"/>
              </w:rPr>
              <w:t>Cross-framework evidence duplication</w:t>
            </w:r>
          </w:p>
        </w:tc>
        <w:tc>
          <w:tcPr>
            <w:tcW w:type="dxa" w:w="4320"/>
          </w:tcPr>
          <w:p>
            <w:r>
              <w:rPr>
                <w:sz w:val="18"/>
              </w:rPr>
              <w:t>Eliminated</w:t>
            </w:r>
          </w:p>
        </w:tc>
      </w:tr>
      <w:tr>
        <w:tc>
          <w:tcPr>
            <w:tcW w:type="dxa" w:w="4320"/>
          </w:tcPr>
          <w:p>
            <w:r>
              <w:rPr>
                <w:sz w:val="18"/>
              </w:rPr>
              <w:t>Security questionnaire response time</w:t>
            </w:r>
          </w:p>
        </w:tc>
        <w:tc>
          <w:tcPr>
            <w:tcW w:type="dxa" w:w="4320"/>
          </w:tcPr>
          <w:p>
            <w:r>
              <w:rPr>
                <w:sz w:val="18"/>
              </w:rPr>
              <w:t>60–75% reduction</w:t>
            </w:r>
          </w:p>
        </w:tc>
      </w:tr>
      <w:tr>
        <w:tc>
          <w:tcPr>
            <w:tcW w:type="dxa" w:w="4320"/>
          </w:tcPr>
          <w:p>
            <w:r>
              <w:rPr>
                <w:sz w:val="18"/>
              </w:rPr>
              <w:t>Vulnerability remediation documentation</w:t>
            </w:r>
          </w:p>
        </w:tc>
        <w:tc>
          <w:tcPr>
            <w:tcW w:type="dxa" w:w="4320"/>
          </w:tcPr>
          <w:p>
            <w:r>
              <w:rPr>
                <w:sz w:val="18"/>
              </w:rPr>
              <w:t>Automated (previously manual)</w:t>
            </w:r>
          </w:p>
        </w:tc>
      </w:tr>
    </w:tbl>
    <w:p/>
    <w:p>
      <w:pPr>
        <w:pStyle w:val="Heading3"/>
      </w:pPr>
      <w:r>
        <w:t>Compliance Frameworks Supported</w:t>
      </w:r>
    </w:p>
    <w:p>
      <w:r>
        <w:t>SOC 2 (Type I &amp; II), ISO 27001, GDPR, CCPA/CPRA, SOX, PCI DSS, FedRAMP, NIST CSF, NIST 800-53, CIS Controls, and any custom framework or customer-specific requirements.</w:t>
      </w:r>
    </w:p>
    <w:p>
      <w:pPr>
        <w:pStyle w:val="Heading2"/>
      </w:pPr>
      <w:r>
        <w:t>Quick Reference: Cross-Industry Value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Value Driver</w:t>
            </w:r>
          </w:p>
        </w:tc>
        <w:tc>
          <w:tcPr>
            <w:tcW w:type="dxa" w:w="2160"/>
          </w:tcPr>
          <w:p>
            <w:r>
              <w:rPr>
                <w:b/>
                <w:sz w:val="18"/>
              </w:rPr>
              <w:t>Financial Services</w:t>
            </w:r>
          </w:p>
        </w:tc>
        <w:tc>
          <w:tcPr>
            <w:tcW w:type="dxa" w:w="2160"/>
          </w:tcPr>
          <w:p>
            <w:r>
              <w:rPr>
                <w:b/>
                <w:sz w:val="18"/>
              </w:rPr>
              <w:t>Healthcare</w:t>
            </w:r>
          </w:p>
        </w:tc>
        <w:tc>
          <w:tcPr>
            <w:tcW w:type="dxa" w:w="2160"/>
          </w:tcPr>
          <w:p>
            <w:r>
              <w:rPr>
                <w:b/>
                <w:sz w:val="18"/>
              </w:rPr>
              <w:t>Technology</w:t>
            </w:r>
          </w:p>
        </w:tc>
      </w:tr>
      <w:tr>
        <w:tc>
          <w:tcPr>
            <w:tcW w:type="dxa" w:w="2160"/>
          </w:tcPr>
          <w:p>
            <w:r>
              <w:rPr>
                <w:sz w:val="18"/>
              </w:rPr>
              <w:t>Primary Pain Point</w:t>
            </w:r>
          </w:p>
        </w:tc>
        <w:tc>
          <w:tcPr>
            <w:tcW w:type="dxa" w:w="2160"/>
          </w:tcPr>
          <w:p>
            <w:r>
              <w:rPr>
                <w:sz w:val="18"/>
              </w:rPr>
              <w:t>Multi-framework regulatory density</w:t>
            </w:r>
          </w:p>
        </w:tc>
        <w:tc>
          <w:tcPr>
            <w:tcW w:type="dxa" w:w="2160"/>
          </w:tcPr>
          <w:p>
            <w:r>
              <w:rPr>
                <w:sz w:val="18"/>
              </w:rPr>
              <w:t>HITRUST/HIPAA evidence burden</w:t>
            </w:r>
          </w:p>
        </w:tc>
        <w:tc>
          <w:tcPr>
            <w:tcW w:type="dxa" w:w="2160"/>
          </w:tcPr>
          <w:p>
            <w:r>
              <w:rPr>
                <w:sz w:val="18"/>
              </w:rPr>
              <w:t>Continuous compliance at speed</w:t>
            </w:r>
          </w:p>
        </w:tc>
      </w:tr>
      <w:tr>
        <w:tc>
          <w:tcPr>
            <w:tcW w:type="dxa" w:w="2160"/>
          </w:tcPr>
          <w:p>
            <w:r>
              <w:rPr>
                <w:sz w:val="18"/>
              </w:rPr>
              <w:t>Key AI Capability</w:t>
            </w:r>
          </w:p>
        </w:tc>
        <w:tc>
          <w:tcPr>
            <w:tcW w:type="dxa" w:w="2160"/>
          </w:tcPr>
          <w:p>
            <w:r>
              <w:rPr>
                <w:sz w:val="18"/>
              </w:rPr>
              <w:t>Prior-audit cross-referencing</w:t>
            </w:r>
          </w:p>
        </w:tc>
        <w:tc>
          <w:tcPr>
            <w:tcW w:type="dxa" w:w="2160"/>
          </w:tcPr>
          <w:p>
            <w:r>
              <w:rPr>
                <w:sz w:val="18"/>
              </w:rPr>
              <w:t>HIPAA-HITRUST unified mapping</w:t>
            </w:r>
          </w:p>
        </w:tc>
        <w:tc>
          <w:tcPr>
            <w:tcW w:type="dxa" w:w="2160"/>
          </w:tcPr>
          <w:p>
            <w:r>
              <w:rPr>
                <w:sz w:val="18"/>
              </w:rPr>
              <w:t>Instant new framework onboarding</w:t>
            </w:r>
          </w:p>
        </w:tc>
      </w:tr>
      <w:tr>
        <w:tc>
          <w:tcPr>
            <w:tcW w:type="dxa" w:w="2160"/>
          </w:tcPr>
          <w:p>
            <w:r>
              <w:rPr>
                <w:sz w:val="18"/>
              </w:rPr>
              <w:t>Critical Module</w:t>
            </w:r>
          </w:p>
        </w:tc>
        <w:tc>
          <w:tcPr>
            <w:tcW w:type="dxa" w:w="2160"/>
          </w:tcPr>
          <w:p>
            <w:r>
              <w:rPr>
                <w:sz w:val="18"/>
              </w:rPr>
              <w:t>Audit Management</w:t>
            </w:r>
          </w:p>
        </w:tc>
        <w:tc>
          <w:tcPr>
            <w:tcW w:type="dxa" w:w="2160"/>
          </w:tcPr>
          <w:p>
            <w:r>
              <w:rPr>
                <w:sz w:val="18"/>
              </w:rPr>
              <w:t>Evidence Management</w:t>
            </w:r>
          </w:p>
        </w:tc>
        <w:tc>
          <w:tcPr>
            <w:tcW w:type="dxa" w:w="2160"/>
          </w:tcPr>
          <w:p>
            <w:r>
              <w:rPr>
                <w:sz w:val="18"/>
              </w:rPr>
              <w:t>Unified Control Library</w:t>
            </w:r>
          </w:p>
        </w:tc>
      </w:tr>
      <w:tr>
        <w:tc>
          <w:tcPr>
            <w:tcW w:type="dxa" w:w="2160"/>
          </w:tcPr>
          <w:p>
            <w:r>
              <w:rPr>
                <w:sz w:val="18"/>
              </w:rPr>
              <w:t>Secondary Module</w:t>
            </w:r>
          </w:p>
        </w:tc>
        <w:tc>
          <w:tcPr>
            <w:tcW w:type="dxa" w:w="2160"/>
          </w:tcPr>
          <w:p>
            <w:r>
              <w:rPr>
                <w:sz w:val="18"/>
              </w:rPr>
              <w:t>Unified Control Library</w:t>
            </w:r>
          </w:p>
        </w:tc>
        <w:tc>
          <w:tcPr>
            <w:tcW w:type="dxa" w:w="2160"/>
          </w:tcPr>
          <w:p>
            <w:r>
              <w:rPr>
                <w:sz w:val="18"/>
              </w:rPr>
              <w:t>IT Asset Governance</w:t>
            </w:r>
          </w:p>
        </w:tc>
        <w:tc>
          <w:tcPr>
            <w:tcW w:type="dxa" w:w="2160"/>
          </w:tcPr>
          <w:p>
            <w:r>
              <w:rPr>
                <w:sz w:val="18"/>
              </w:rPr>
              <w:t>Vulnerability Management</w:t>
            </w:r>
          </w:p>
        </w:tc>
      </w:tr>
      <w:tr>
        <w:tc>
          <w:tcPr>
            <w:tcW w:type="dxa" w:w="2160"/>
          </w:tcPr>
          <w:p>
            <w:r>
              <w:rPr>
                <w:sz w:val="18"/>
              </w:rPr>
              <w:t>Typical Framework Count</w:t>
            </w:r>
          </w:p>
        </w:tc>
        <w:tc>
          <w:tcPr>
            <w:tcW w:type="dxa" w:w="2160"/>
          </w:tcPr>
          <w:p>
            <w:r>
              <w:rPr>
                <w:sz w:val="18"/>
              </w:rPr>
              <w:t>6–10</w:t>
            </w:r>
          </w:p>
        </w:tc>
        <w:tc>
          <w:tcPr>
            <w:tcW w:type="dxa" w:w="2160"/>
          </w:tcPr>
          <w:p>
            <w:r>
              <w:rPr>
                <w:sz w:val="18"/>
              </w:rPr>
              <w:t>4–7</w:t>
            </w:r>
          </w:p>
        </w:tc>
        <w:tc>
          <w:tcPr>
            <w:tcW w:type="dxa" w:w="2160"/>
          </w:tcPr>
          <w:p>
            <w:r>
              <w:rPr>
                <w:sz w:val="18"/>
              </w:rPr>
              <w:t>3–6</w:t>
            </w:r>
          </w:p>
        </w:tc>
      </w:tr>
      <w:tr>
        <w:tc>
          <w:tcPr>
            <w:tcW w:type="dxa" w:w="2160"/>
          </w:tcPr>
          <w:p>
            <w:r>
              <w:rPr>
                <w:sz w:val="18"/>
              </w:rPr>
              <w:t>Primary Buyer</w:t>
            </w:r>
          </w:p>
        </w:tc>
        <w:tc>
          <w:tcPr>
            <w:tcW w:type="dxa" w:w="2160"/>
          </w:tcPr>
          <w:p>
            <w:r>
              <w:rPr>
                <w:sz w:val="18"/>
              </w:rPr>
              <w:t>CAE / CRO</w:t>
            </w:r>
          </w:p>
        </w:tc>
        <w:tc>
          <w:tcPr>
            <w:tcW w:type="dxa" w:w="2160"/>
          </w:tcPr>
          <w:p>
            <w:r>
              <w:rPr>
                <w:sz w:val="18"/>
              </w:rPr>
              <w:t>CISO / Privacy Officer</w:t>
            </w:r>
          </w:p>
        </w:tc>
        <w:tc>
          <w:tcPr>
            <w:tcW w:type="dxa" w:w="2160"/>
          </w:tcPr>
          <w:p>
            <w:r>
              <w:rPr>
                <w:sz w:val="18"/>
              </w:rPr>
              <w:t>VP Security / Head of Compliance</w:t>
            </w:r>
          </w:p>
        </w:tc>
      </w:tr>
      <w:tr>
        <w:tc>
          <w:tcPr>
            <w:tcW w:type="dxa" w:w="2160"/>
          </w:tcPr>
          <w:p>
            <w:r>
              <w:rPr>
                <w:sz w:val="18"/>
              </w:rPr>
              <w:t>Decision Influencer</w:t>
            </w:r>
          </w:p>
        </w:tc>
        <w:tc>
          <w:tcPr>
            <w:tcW w:type="dxa" w:w="2160"/>
          </w:tcPr>
          <w:p>
            <w:r>
              <w:rPr>
                <w:sz w:val="18"/>
              </w:rPr>
              <w:t>CFO / Board Audit Committee</w:t>
            </w:r>
          </w:p>
        </w:tc>
        <w:tc>
          <w:tcPr>
            <w:tcW w:type="dxa" w:w="2160"/>
          </w:tcPr>
          <w:p>
            <w:r>
              <w:rPr>
                <w:sz w:val="18"/>
              </w:rPr>
              <w:t>CIO / CMO</w:t>
            </w:r>
          </w:p>
        </w:tc>
        <w:tc>
          <w:tcPr>
            <w:tcW w:type="dxa" w:w="2160"/>
          </w:tcPr>
          <w:p>
            <w:r>
              <w:rPr>
                <w:sz w:val="18"/>
              </w:rPr>
              <w:t>CTO / CEO</w:t>
            </w:r>
          </w:p>
        </w:tc>
      </w:tr>
    </w:tbl>
    <w:p/>
    <w:p>
      <w:r>
        <w:rPr>
          <w:i/>
          <w:color w:val="64748B"/>
          <w:sz w:val="20"/>
        </w:rPr>
        <w:t>End of Solution Briefs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