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95A2" w14:textId="24504822" w:rsidR="008C2213" w:rsidRPr="008C2213" w:rsidRDefault="00255D2D" w:rsidP="008C2213">
      <w:pPr>
        <w:rPr>
          <w:rFonts w:ascii="Trebuchet MS" w:hAnsi="Trebuchet MS"/>
        </w:rPr>
      </w:pPr>
      <w:r w:rsidRPr="005A559F">
        <w:rPr>
          <w:rFonts w:ascii="Trebuchet MS" w:hAnsi="Trebuchet MS"/>
          <w:noProof/>
        </w:rPr>
        <mc:AlternateContent>
          <mc:Choice Requires="wps">
            <w:drawing>
              <wp:anchor distT="0" distB="0" distL="114300" distR="114300" simplePos="0" relativeHeight="251658240" behindDoc="0" locked="0" layoutInCell="1" allowOverlap="1" wp14:anchorId="4515CBFC" wp14:editId="6F896CE6">
                <wp:simplePos x="0" y="0"/>
                <wp:positionH relativeFrom="page">
                  <wp:posOffset>-1482090</wp:posOffset>
                </wp:positionH>
                <wp:positionV relativeFrom="page">
                  <wp:posOffset>2143760</wp:posOffset>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663"/>
                              <w:gridCol w:w="1970"/>
                            </w:tblGrid>
                            <w:tr w:rsidR="000F06E6" w14:paraId="5407DC79" w14:textId="77777777">
                              <w:trPr>
                                <w:jc w:val="center"/>
                              </w:trPr>
                              <w:tc>
                                <w:tcPr>
                                  <w:tcW w:w="2568" w:type="pct"/>
                                  <w:vAlign w:val="center"/>
                                </w:tcPr>
                                <w:p w14:paraId="637CDF05" w14:textId="77777777" w:rsidR="000F06E6" w:rsidRDefault="000F06E6">
                                  <w:pPr>
                                    <w:jc w:val="right"/>
                                  </w:pPr>
                                  <w:r>
                                    <w:rPr>
                                      <w:noProof/>
                                    </w:rPr>
                                    <w:drawing>
                                      <wp:inline distT="0" distB="0" distL="0" distR="0" wp14:anchorId="1758FBC7" wp14:editId="4BBFAFAC">
                                        <wp:extent cx="2503915" cy="2051403"/>
                                        <wp:effectExtent l="0" t="0" r="0" b="6350"/>
                                        <wp:docPr id="521603910" name="Picture 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13520" name="Picture 3"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545074" cy="2085124"/>
                                                </a:xfrm>
                                                <a:prstGeom prst="rect">
                                                  <a:avLst/>
                                                </a:prstGeom>
                                              </pic:spPr>
                                            </pic:pic>
                                          </a:graphicData>
                                        </a:graphic>
                                      </wp:inline>
                                    </w:drawing>
                                  </w:r>
                                </w:p>
                                <w:sdt>
                                  <w:sdtPr>
                                    <w:rPr>
                                      <w:caps/>
                                      <w:color w:val="191919" w:themeColor="text1" w:themeTint="E6"/>
                                      <w:sz w:val="72"/>
                                      <w:szCs w:val="72"/>
                                      <w:lang w:val="pt-PT"/>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4884BF7F" w14:textId="77777777" w:rsidR="000F06E6" w:rsidRPr="00DF12B4" w:rsidRDefault="000F06E6">
                                      <w:pPr>
                                        <w:pStyle w:val="NoSpacing"/>
                                        <w:spacing w:line="312" w:lineRule="auto"/>
                                        <w:jc w:val="right"/>
                                        <w:rPr>
                                          <w:caps/>
                                          <w:color w:val="191919" w:themeColor="text1" w:themeTint="E6"/>
                                          <w:sz w:val="72"/>
                                          <w:szCs w:val="72"/>
                                          <w:lang w:val="pt-PT"/>
                                        </w:rPr>
                                      </w:pPr>
                                      <w:r>
                                        <w:rPr>
                                          <w:caps/>
                                          <w:color w:val="191919" w:themeColor="text1" w:themeTint="E6"/>
                                          <w:sz w:val="72"/>
                                          <w:szCs w:val="72"/>
                                          <w:lang w:val="pt-PT"/>
                                        </w:rPr>
                                        <w:t xml:space="preserve">     </w:t>
                                      </w:r>
                                    </w:p>
                                  </w:sdtContent>
                                </w:sdt>
                                <w:p w14:paraId="27B34E92" w14:textId="77777777" w:rsidR="000F06E6" w:rsidRDefault="000F06E6">
                                  <w:pPr>
                                    <w:jc w:val="right"/>
                                    <w:rPr>
                                      <w:sz w:val="24"/>
                                      <w:szCs w:val="24"/>
                                    </w:rPr>
                                  </w:pPr>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r>
                                        <w:rPr>
                                          <w:color w:val="000000" w:themeColor="text1"/>
                                          <w:sz w:val="24"/>
                                          <w:szCs w:val="24"/>
                                        </w:rPr>
                                        <w:t xml:space="preserve">     </w:t>
                                      </w:r>
                                    </w:sdtContent>
                                  </w:sdt>
                                </w:p>
                              </w:tc>
                              <w:tc>
                                <w:tcPr>
                                  <w:tcW w:w="2432" w:type="pct"/>
                                  <w:vAlign w:val="center"/>
                                </w:tcPr>
                                <w:p w14:paraId="24D9EBF1" w14:textId="77777777" w:rsidR="000F06E6" w:rsidRPr="00B45FFB" w:rsidRDefault="000F06E6" w:rsidP="00857FE3">
                                  <w:pPr>
                                    <w:pStyle w:val="NoSpacing"/>
                                    <w:jc w:val="center"/>
                                    <w:rPr>
                                      <w:caps/>
                                      <w:color w:val="E97132" w:themeColor="accent2"/>
                                      <w:sz w:val="26"/>
                                      <w:szCs w:val="26"/>
                                      <w:lang w:val="pt-PT"/>
                                    </w:rPr>
                                  </w:pPr>
                                  <w:r w:rsidRPr="00B45FFB">
                                    <w:rPr>
                                      <w:caps/>
                                      <w:color w:val="E97132" w:themeColor="accent2"/>
                                      <w:sz w:val="26"/>
                                      <w:szCs w:val="26"/>
                                      <w:lang w:val="pt-PT"/>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573D392B" w14:textId="0E0420E5" w:rsidR="000F06E6" w:rsidRPr="00375D3D" w:rsidRDefault="000F06E6" w:rsidP="00857FE3">
                                      <w:pPr>
                                        <w:jc w:val="center"/>
                                        <w:rPr>
                                          <w:color w:val="000000" w:themeColor="text1"/>
                                        </w:rPr>
                                      </w:pPr>
                                      <w:r w:rsidRPr="00E836F6">
                                        <w:rPr>
                                          <w:color w:val="000000" w:themeColor="text1"/>
                                        </w:rPr>
                                        <w:t xml:space="preserve">Este relatório foi realizado no âmbito do projeto da UC de </w:t>
                                      </w:r>
                                      <w:r>
                                        <w:rPr>
                                          <w:color w:val="000000" w:themeColor="text1"/>
                                        </w:rPr>
                                        <w:t>Computação Móvel</w:t>
                                      </w:r>
                                    </w:p>
                                  </w:sdtContent>
                                </w:sdt>
                                <w:sdt>
                                  <w:sdtPr>
                                    <w:rPr>
                                      <w:color w:val="E97132" w:themeColor="accent2"/>
                                      <w:sz w:val="26"/>
                                      <w:szCs w:val="26"/>
                                      <w:lang w:val="pt-PT"/>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2C6FE6F" w14:textId="66FF6D96" w:rsidR="000F06E6" w:rsidRPr="00402827" w:rsidRDefault="000F06E6" w:rsidP="00857FE3">
                                      <w:pPr>
                                        <w:pStyle w:val="NoSpacing"/>
                                        <w:jc w:val="center"/>
                                        <w:rPr>
                                          <w:color w:val="E97132" w:themeColor="accent2"/>
                                          <w:sz w:val="26"/>
                                          <w:szCs w:val="26"/>
                                          <w:lang w:val="pt-PT"/>
                                        </w:rPr>
                                      </w:pPr>
                                      <w:r>
                                        <w:rPr>
                                          <w:color w:val="E97132" w:themeColor="accent2"/>
                                          <w:sz w:val="26"/>
                                          <w:szCs w:val="26"/>
                                          <w:lang w:val="pt-PT"/>
                                        </w:rPr>
                                        <w:t>João Cacheira, João Cabrita, Diogo Raposo, Tiago Inácio</w:t>
                                      </w:r>
                                    </w:p>
                                  </w:sdtContent>
                                </w:sdt>
                                <w:p w14:paraId="071BE409" w14:textId="77777777" w:rsidR="000F06E6" w:rsidRPr="00402827" w:rsidRDefault="000F06E6" w:rsidP="00857FE3">
                                  <w:pPr>
                                    <w:pStyle w:val="NoSpacing"/>
                                    <w:jc w:val="center"/>
                                    <w:rPr>
                                      <w:lang w:val="pt-PT"/>
                                    </w:rPr>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Pr="000F06E6">
                                        <w:rPr>
                                          <w:color w:val="0E2841" w:themeColor="text2"/>
                                          <w:lang w:val="pt-PT"/>
                                        </w:rPr>
                                        <w:t xml:space="preserve">     </w:t>
                                      </w:r>
                                    </w:sdtContent>
                                  </w:sdt>
                                </w:p>
                              </w:tc>
                            </w:tr>
                          </w:tbl>
                          <w:p w14:paraId="4CA1F86E" w14:textId="77777777" w:rsidR="000F06E6" w:rsidRDefault="000F06E6" w:rsidP="000F06E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515CBFC" id="_x0000_t202" coordsize="21600,21600" o:spt="202" path="m,l,21600r21600,l21600,xe">
                <v:stroke joinstyle="miter"/>
                <v:path gradientshapeok="t" o:connecttype="rect"/>
              </v:shapetype>
              <v:shape id="Text Box 139" o:spid="_x0000_s1026" type="#_x0000_t202" style="position:absolute;left:0;text-align:left;margin-left:-116.7pt;margin-top:168.8pt;width:134.85pt;height:302.4pt;z-index:251658240;visibility:visible;mso-wrap-style:square;mso-width-percent:941;mso-height-percent:773;mso-wrap-distance-left:9pt;mso-wrap-distance-top:0;mso-wrap-distance-right:9pt;mso-wrap-distance-bottom:0;mso-position-horizontal:absolute;mso-position-horizontal-relative:page;mso-position-vertical:absolute;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" fillcolor="white [3201]" stroked="f" strokeweight="1.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663"/>
                        <w:gridCol w:w="1970"/>
                      </w:tblGrid>
                      <w:tr w:rsidR="000F06E6" w14:paraId="5407DC79" w14:textId="77777777">
                        <w:trPr>
                          <w:jc w:val="center"/>
                        </w:trPr>
                        <w:tc>
                          <w:tcPr>
                            <w:tcW w:w="2568" w:type="pct"/>
                            <w:vAlign w:val="center"/>
                          </w:tcPr>
                          <w:p w14:paraId="637CDF05" w14:textId="77777777" w:rsidR="000F06E6" w:rsidRDefault="000F06E6">
                            <w:pPr>
                              <w:jc w:val="right"/>
                            </w:pPr>
                            <w:r>
                              <w:rPr>
                                <w:noProof/>
                              </w:rPr>
                              <w:drawing>
                                <wp:inline distT="0" distB="0" distL="0" distR="0" wp14:anchorId="1758FBC7" wp14:editId="4BBFAFAC">
                                  <wp:extent cx="2503915" cy="2051403"/>
                                  <wp:effectExtent l="0" t="0" r="0" b="6350"/>
                                  <wp:docPr id="521603910" name="Picture 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13520" name="Picture 3"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545074" cy="2085124"/>
                                          </a:xfrm>
                                          <a:prstGeom prst="rect">
                                            <a:avLst/>
                                          </a:prstGeom>
                                        </pic:spPr>
                                      </pic:pic>
                                    </a:graphicData>
                                  </a:graphic>
                                </wp:inline>
                              </w:drawing>
                            </w:r>
                          </w:p>
                          <w:sdt>
                            <w:sdtPr>
                              <w:rPr>
                                <w:caps/>
                                <w:color w:val="191919" w:themeColor="text1" w:themeTint="E6"/>
                                <w:sz w:val="72"/>
                                <w:szCs w:val="72"/>
                                <w:lang w:val="pt-PT"/>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4884BF7F" w14:textId="77777777" w:rsidR="000F06E6" w:rsidRPr="00DF12B4" w:rsidRDefault="000F06E6">
                                <w:pPr>
                                  <w:pStyle w:val="NoSpacing"/>
                                  <w:spacing w:line="312" w:lineRule="auto"/>
                                  <w:jc w:val="right"/>
                                  <w:rPr>
                                    <w:caps/>
                                    <w:color w:val="191919" w:themeColor="text1" w:themeTint="E6"/>
                                    <w:sz w:val="72"/>
                                    <w:szCs w:val="72"/>
                                    <w:lang w:val="pt-PT"/>
                                  </w:rPr>
                                </w:pPr>
                                <w:r>
                                  <w:rPr>
                                    <w:caps/>
                                    <w:color w:val="191919" w:themeColor="text1" w:themeTint="E6"/>
                                    <w:sz w:val="72"/>
                                    <w:szCs w:val="72"/>
                                    <w:lang w:val="pt-PT"/>
                                  </w:rPr>
                                  <w:t xml:space="preserve">     </w:t>
                                </w:r>
                              </w:p>
                            </w:sdtContent>
                          </w:sdt>
                          <w:p w14:paraId="27B34E92" w14:textId="77777777" w:rsidR="000F06E6" w:rsidRDefault="000F06E6">
                            <w:pPr>
                              <w:jc w:val="right"/>
                              <w:rPr>
                                <w:sz w:val="24"/>
                                <w:szCs w:val="24"/>
                              </w:rPr>
                            </w:pPr>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r>
                                  <w:rPr>
                                    <w:color w:val="000000" w:themeColor="text1"/>
                                    <w:sz w:val="24"/>
                                    <w:szCs w:val="24"/>
                                  </w:rPr>
                                  <w:t xml:space="preserve">     </w:t>
                                </w:r>
                              </w:sdtContent>
                            </w:sdt>
                          </w:p>
                        </w:tc>
                        <w:tc>
                          <w:tcPr>
                            <w:tcW w:w="2432" w:type="pct"/>
                            <w:vAlign w:val="center"/>
                          </w:tcPr>
                          <w:p w14:paraId="24D9EBF1" w14:textId="77777777" w:rsidR="000F06E6" w:rsidRPr="00B45FFB" w:rsidRDefault="000F06E6" w:rsidP="00857FE3">
                            <w:pPr>
                              <w:pStyle w:val="NoSpacing"/>
                              <w:jc w:val="center"/>
                              <w:rPr>
                                <w:caps/>
                                <w:color w:val="E97132" w:themeColor="accent2"/>
                                <w:sz w:val="26"/>
                                <w:szCs w:val="26"/>
                                <w:lang w:val="pt-PT"/>
                              </w:rPr>
                            </w:pPr>
                            <w:r w:rsidRPr="00B45FFB">
                              <w:rPr>
                                <w:caps/>
                                <w:color w:val="E97132" w:themeColor="accent2"/>
                                <w:sz w:val="26"/>
                                <w:szCs w:val="26"/>
                                <w:lang w:val="pt-PT"/>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573D392B" w14:textId="0E0420E5" w:rsidR="000F06E6" w:rsidRPr="00375D3D" w:rsidRDefault="000F06E6" w:rsidP="00857FE3">
                                <w:pPr>
                                  <w:jc w:val="center"/>
                                  <w:rPr>
                                    <w:color w:val="000000" w:themeColor="text1"/>
                                  </w:rPr>
                                </w:pPr>
                                <w:r w:rsidRPr="00E836F6">
                                  <w:rPr>
                                    <w:color w:val="000000" w:themeColor="text1"/>
                                  </w:rPr>
                                  <w:t xml:space="preserve">Este relatório foi realizado no âmbito do projeto da UC de </w:t>
                                </w:r>
                                <w:r>
                                  <w:rPr>
                                    <w:color w:val="000000" w:themeColor="text1"/>
                                  </w:rPr>
                                  <w:t>Computação Móvel</w:t>
                                </w:r>
                              </w:p>
                            </w:sdtContent>
                          </w:sdt>
                          <w:sdt>
                            <w:sdtPr>
                              <w:rPr>
                                <w:color w:val="E97132" w:themeColor="accent2"/>
                                <w:sz w:val="26"/>
                                <w:szCs w:val="26"/>
                                <w:lang w:val="pt-PT"/>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2C6FE6F" w14:textId="66FF6D96" w:rsidR="000F06E6" w:rsidRPr="00402827" w:rsidRDefault="000F06E6" w:rsidP="00857FE3">
                                <w:pPr>
                                  <w:pStyle w:val="NoSpacing"/>
                                  <w:jc w:val="center"/>
                                  <w:rPr>
                                    <w:color w:val="E97132" w:themeColor="accent2"/>
                                    <w:sz w:val="26"/>
                                    <w:szCs w:val="26"/>
                                    <w:lang w:val="pt-PT"/>
                                  </w:rPr>
                                </w:pPr>
                                <w:r>
                                  <w:rPr>
                                    <w:color w:val="E97132" w:themeColor="accent2"/>
                                    <w:sz w:val="26"/>
                                    <w:szCs w:val="26"/>
                                    <w:lang w:val="pt-PT"/>
                                  </w:rPr>
                                  <w:t>João Cacheira, João Cabrita, Diogo Raposo, Tiago Inácio</w:t>
                                </w:r>
                              </w:p>
                            </w:sdtContent>
                          </w:sdt>
                          <w:p w14:paraId="071BE409" w14:textId="77777777" w:rsidR="000F06E6" w:rsidRPr="00402827" w:rsidRDefault="000F06E6" w:rsidP="00857FE3">
                            <w:pPr>
                              <w:pStyle w:val="NoSpacing"/>
                              <w:jc w:val="center"/>
                              <w:rPr>
                                <w:lang w:val="pt-PT"/>
                              </w:rPr>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Pr="000F06E6">
                                  <w:rPr>
                                    <w:color w:val="0E2841" w:themeColor="text2"/>
                                    <w:lang w:val="pt-PT"/>
                                  </w:rPr>
                                  <w:t xml:space="preserve">     </w:t>
                                </w:r>
                              </w:sdtContent>
                            </w:sdt>
                          </w:p>
                        </w:tc>
                      </w:tr>
                    </w:tbl>
                    <w:p w14:paraId="4CA1F86E" w14:textId="77777777" w:rsidR="000F06E6" w:rsidRDefault="000F06E6" w:rsidP="000F06E6"/>
                  </w:txbxContent>
                </v:textbox>
                <w10:wrap anchorx="page" anchory="page"/>
              </v:shape>
            </w:pict>
          </mc:Fallback>
        </mc:AlternateContent>
      </w:r>
      <w:sdt>
        <w:sdtPr>
          <w:rPr>
            <w:rFonts w:ascii="Trebuchet MS" w:hAnsi="Trebuchet MS"/>
          </w:rPr>
          <w:id w:val="417906862"/>
          <w:docPartObj>
            <w:docPartGallery w:val="Cover Pages"/>
            <w:docPartUnique/>
          </w:docPartObj>
        </w:sdtPr>
        <w:sdtContent>
          <w:r w:rsidR="000F06E6" w:rsidRPr="005A559F">
            <w:rPr>
              <w:rFonts w:ascii="Trebuchet MS" w:hAnsi="Trebuchet MS"/>
            </w:rPr>
            <w:br w:type="page"/>
          </w:r>
        </w:sdtContent>
      </w:sdt>
    </w:p>
    <w:p w14:paraId="5A259D6C" w14:textId="77777777" w:rsidR="007208C7" w:rsidRPr="007208C7" w:rsidRDefault="007208C7" w:rsidP="007208C7">
      <w:pPr>
        <w:rPr>
          <w:b/>
          <w:bCs/>
        </w:rPr>
      </w:pPr>
      <w:r w:rsidRPr="007208C7">
        <w:rPr>
          <w:b/>
          <w:bCs/>
        </w:rPr>
        <w:lastRenderedPageBreak/>
        <w:t>Descrição Geral da Aplicação e Público-Alvo</w:t>
      </w:r>
    </w:p>
    <w:p w14:paraId="70151E49" w14:textId="77777777" w:rsidR="007208C7" w:rsidRPr="007208C7" w:rsidRDefault="007208C7" w:rsidP="007208C7">
      <w:r w:rsidRPr="007208C7">
        <w:t xml:space="preserve">No âmbito da unidade curricular de Computação Móvel, o desenvolvimento de aplicações eficazes para dispositivos Android exige uma abordagem centrada no utilizador, com especial atenção às boas práticas de programação, design intuitivo e usabilidade. Neste contexto, surge o projeto </w:t>
      </w:r>
      <w:r w:rsidRPr="007208C7">
        <w:rPr>
          <w:b/>
          <w:bCs/>
        </w:rPr>
        <w:t>AirCare</w:t>
      </w:r>
      <w:r w:rsidRPr="007208C7">
        <w:t xml:space="preserve"> (</w:t>
      </w:r>
      <w:r w:rsidRPr="007208C7">
        <w:rPr>
          <w:i/>
          <w:iCs/>
        </w:rPr>
        <w:t>air</w:t>
      </w:r>
      <w:r w:rsidRPr="007208C7">
        <w:t xml:space="preserve"> – ar, </w:t>
      </w:r>
      <w:r w:rsidRPr="007208C7">
        <w:rPr>
          <w:i/>
          <w:iCs/>
        </w:rPr>
        <w:t>care</w:t>
      </w:r>
      <w:r w:rsidRPr="007208C7">
        <w:t xml:space="preserve"> – cuidado, formando conjuntamente o conceito definido pelo grupo), uma aplicação móvel desenvolvida em </w:t>
      </w:r>
      <w:r w:rsidRPr="007208C7">
        <w:rPr>
          <w:b/>
          <w:bCs/>
        </w:rPr>
        <w:t>Dart</w:t>
      </w:r>
      <w:r w:rsidRPr="007208C7">
        <w:t xml:space="preserve">, com recurso ao framework </w:t>
      </w:r>
      <w:r w:rsidRPr="007208C7">
        <w:rPr>
          <w:b/>
          <w:bCs/>
        </w:rPr>
        <w:t>Flutter</w:t>
      </w:r>
      <w:r w:rsidRPr="007208C7">
        <w:t>, concebida para monitorizar e divulgar informações sobre a qualidade do ar e condições ambientais em tempo real.</w:t>
      </w:r>
    </w:p>
    <w:p w14:paraId="7537BF7E" w14:textId="77777777" w:rsidR="007208C7" w:rsidRPr="007208C7" w:rsidRDefault="007208C7" w:rsidP="007208C7">
      <w:r w:rsidRPr="007208C7">
        <w:t>O principal objetivo do AirCare é tornar dados ambientais relevantes acessíveis a qualquer utilizador, independentemente do seu nível de literacia digital ou familiaridade com tecnologia móvel, permitindo uma compreensão clara e imediata da situação atual da qualidade do ar e do ambiente que o rodeia numa determinada região.</w:t>
      </w:r>
    </w:p>
    <w:p w14:paraId="76BA310B" w14:textId="77777777" w:rsidR="007208C7" w:rsidRPr="007208C7" w:rsidRDefault="007208C7" w:rsidP="007208C7">
      <w:r w:rsidRPr="007208C7">
        <w:t xml:space="preserve">A aplicação será desenvolvida com base nas boas práticas de design de interfaces para plataformas Android, seguindo as diretrizes de </w:t>
      </w:r>
      <w:r w:rsidRPr="007208C7">
        <w:rPr>
          <w:b/>
          <w:bCs/>
        </w:rPr>
        <w:t>Material Design</w:t>
      </w:r>
      <w:r w:rsidRPr="007208C7">
        <w:t>, garantindo uma apresentação visual clara, consistente e intuitiva. Serão também asseguradas a responsividade e a fluidez de interação em diferentes tamanhos e resoluções de ecrã, características fundamentais no contexto da fragmentação do ecossistema Android.</w:t>
      </w:r>
    </w:p>
    <w:p w14:paraId="5FF85EF7" w14:textId="77777777" w:rsidR="007208C7" w:rsidRPr="007208C7" w:rsidRDefault="007208C7" w:rsidP="007208C7">
      <w:r w:rsidRPr="007208C7">
        <w:t>Do ponto de vista técnico, o projeto seguirá as boas práticas de programação em Dart, nomeadamente a organização modular do código, a separação de responsabilidades, a gestão eficiente do estado da aplicação e a adoção de padrões arquiteturais adequados ao desenvolvimento móvel, garantindo assim uma aplicação robusta, escalável e de fácil manutenção.</w:t>
      </w:r>
    </w:p>
    <w:p w14:paraId="56602031" w14:textId="77777777" w:rsidR="007208C7" w:rsidRPr="007208C7" w:rsidRDefault="007208C7" w:rsidP="007208C7">
      <w:r w:rsidRPr="007208C7">
        <w:t>A aplicação AirCare destina-se a um público diversificado, abrangendo tanto utilizadores comuns como especialistas nas suas respetivas áreas. Entre os principais destinatários encontram-se grupos vulneráveis, como crianças, idosos e pessoas com doenças respiratórias crónicas, que necessitam de alertas simples e imediatos sobre a qualidade do ar, apresentados de forma clara e acessível, independentemente do seu nível de literacia digital.</w:t>
      </w:r>
    </w:p>
    <w:p w14:paraId="40BFD84F" w14:textId="77777777" w:rsidR="007208C7" w:rsidRPr="007208C7" w:rsidRDefault="007208C7" w:rsidP="007208C7">
      <w:r w:rsidRPr="007208C7">
        <w:t>A aplicação é igualmente direcionada a profissionais cujas atividades são diretamente influenciadas pelas condições ambientais, nomeadamente médicos, atletas, trabalhadores ao ar livre e decisores políticos, para quem o acesso a dados mais técnicos e detalhados representa uma mais-valia no exercício das suas funções. O público geral, incluindo pais, cidadãos ambientalmente conscientes e instituições públicas, poderá também recorrer à aplicação para aceder a informações fiáveis em tempo real, promovendo decisões mais informadas e comportamentos sustentáveis no quotidiano.</w:t>
      </w:r>
    </w:p>
    <w:p w14:paraId="1ADA26BE" w14:textId="77777777" w:rsidR="007208C7" w:rsidRPr="007208C7" w:rsidRDefault="007208C7" w:rsidP="007208C7">
      <w:r w:rsidRPr="007208C7">
        <w:t>Ao considerar diferentes faixas etárias, níveis de literacia digital, motivações e contextos culturais, o AirCare é concebido de forma inclusiva e adaptável, assegurando que a experiência de utilização seja adequada e significativa para a diversidade de perfis que compõem o seu público-alvo.</w:t>
      </w:r>
    </w:p>
    <w:p w14:paraId="3E0D0AE9" w14:textId="19EDD477" w:rsidR="007208C7" w:rsidRPr="007208C7" w:rsidRDefault="007208C7" w:rsidP="007208C7"/>
    <w:p w14:paraId="1A6CB067" w14:textId="77777777" w:rsidR="00255D2D" w:rsidRDefault="00255D2D">
      <w:pPr>
        <w:spacing w:line="278" w:lineRule="auto"/>
        <w:jc w:val="left"/>
        <w:rPr>
          <w:b/>
          <w:bCs/>
        </w:rPr>
      </w:pPr>
      <w:r>
        <w:rPr>
          <w:b/>
          <w:bCs/>
        </w:rPr>
        <w:br w:type="page"/>
      </w:r>
    </w:p>
    <w:p w14:paraId="156855DA" w14:textId="53FC8AFB" w:rsidR="007208C7" w:rsidRPr="007208C7" w:rsidRDefault="007208C7" w:rsidP="007208C7">
      <w:pPr>
        <w:rPr>
          <w:b/>
          <w:bCs/>
        </w:rPr>
      </w:pPr>
      <w:r w:rsidRPr="007208C7">
        <w:rPr>
          <w:b/>
          <w:bCs/>
        </w:rPr>
        <w:lastRenderedPageBreak/>
        <w:t>Descrição das Funcionalidades Gerais</w:t>
      </w:r>
    </w:p>
    <w:p w14:paraId="5EB2516D" w14:textId="77777777" w:rsidR="007208C7" w:rsidRPr="007208C7" w:rsidRDefault="007208C7" w:rsidP="007208C7">
      <w:r w:rsidRPr="007208C7">
        <w:t>As funcionalidades gerais do AirCare correspondem àquelas que qualquer aplicação móvel tipicamente possui, independentemente do seu domínio temático, e que constituem a base estrutural da experiência de utilização.</w:t>
      </w:r>
    </w:p>
    <w:p w14:paraId="79EABC81" w14:textId="77777777" w:rsidR="007208C7" w:rsidRPr="007208C7" w:rsidRDefault="007208C7" w:rsidP="007208C7">
      <w:r w:rsidRPr="007208C7">
        <w:rPr>
          <w:b/>
          <w:bCs/>
        </w:rPr>
        <w:t>F01.1 – Funcionalidade de Login</w:t>
      </w:r>
    </w:p>
    <w:p w14:paraId="09D11A2B" w14:textId="715D2E78" w:rsidR="007208C7" w:rsidRPr="007208C7" w:rsidRDefault="007208C7" w:rsidP="007208C7">
      <w:r w:rsidRPr="007208C7">
        <w:t>Permite ao utilizador aceder à aplicação introduzindo o seu nome de utilizador e a respetiva password. O sistema valida as credenciais fornecidas e concede o acesso à aplicação caso os dados estejam corretos, apresentando mensagens de erro claras e objetivas em caso de insucesso, em conformidade com as boas práticas de feedback visual em interfaces móveis.</w:t>
      </w:r>
    </w:p>
    <w:p w14:paraId="35E5A050" w14:textId="77777777" w:rsidR="007208C7" w:rsidRPr="007208C7" w:rsidRDefault="007208C7" w:rsidP="007208C7">
      <w:r w:rsidRPr="007208C7">
        <w:rPr>
          <w:b/>
          <w:bCs/>
        </w:rPr>
        <w:t>F01.2 – Funcionalidade de Recuperação de Password</w:t>
      </w:r>
    </w:p>
    <w:p w14:paraId="5C21850E" w14:textId="2C5521B9" w:rsidR="007208C7" w:rsidRPr="007208C7" w:rsidRDefault="007208C7" w:rsidP="007208C7">
      <w:r w:rsidRPr="007208C7">
        <w:t>Permite ao utilizador recuperar o acesso à conta caso tenha esquecido a password. O sistema disponibiliza um mecanismo de redefinição segura, nomeadamente através do envio de um email com um link de redefinição, garantindo um fluxo simples e guiado que minimize a fricção para o utilizador.</w:t>
      </w:r>
    </w:p>
    <w:p w14:paraId="0CFA4008" w14:textId="77777777" w:rsidR="007208C7" w:rsidRPr="007208C7" w:rsidRDefault="007208C7" w:rsidP="007208C7">
      <w:r w:rsidRPr="007208C7">
        <w:rPr>
          <w:b/>
          <w:bCs/>
        </w:rPr>
        <w:t>F01.3 – Funcionalidade de Registo</w:t>
      </w:r>
    </w:p>
    <w:p w14:paraId="32FF58A4" w14:textId="462B0A06" w:rsidR="007208C7" w:rsidRPr="007208C7" w:rsidRDefault="007208C7" w:rsidP="007208C7">
      <w:r w:rsidRPr="007208C7">
        <w:t>Permite a criação de uma nova conta de utilizador. O sistema solicita os seguintes dados: nome de utilizador, email, morada, password e localidade. O formulário de registo é estruturado de forma progressiva e validado em tempo real, assegurando uma experiência de preenchimento intuitiva. Após a validação dos dados, a conta é criada e fica apta para login.</w:t>
      </w:r>
    </w:p>
    <w:p w14:paraId="08F86CC4" w14:textId="77777777" w:rsidR="007208C7" w:rsidRPr="007208C7" w:rsidRDefault="007208C7" w:rsidP="007208C7">
      <w:r w:rsidRPr="007208C7">
        <w:rPr>
          <w:b/>
          <w:bCs/>
        </w:rPr>
        <w:t>F01.4 – Criação e Gestão de Perfil de Utilizador</w:t>
      </w:r>
    </w:p>
    <w:p w14:paraId="3C85B62C" w14:textId="4BC2221F" w:rsidR="007208C7" w:rsidRPr="007208C7" w:rsidRDefault="007208C7" w:rsidP="007208C7">
      <w:r w:rsidRPr="007208C7">
        <w:t>Permite ao utilizador completar e editar o seu perfil pessoal dentro da aplicação. Após o registo ou login, o utilizador pode aceder a uma área de perfil onde visualiza e atualiza os seus dados, nomeadamente o nome de utilizador, email, morada, localidade e password. Esta funcionalidade assegura que as informações do utilizador se mantêm atualizadas e contribui para a personalização da experiência de utilização.</w:t>
      </w:r>
    </w:p>
    <w:p w14:paraId="543EB2F3" w14:textId="77777777" w:rsidR="00255D2D" w:rsidRDefault="00255D2D">
      <w:pPr>
        <w:spacing w:line="278" w:lineRule="auto"/>
        <w:jc w:val="left"/>
        <w:rPr>
          <w:b/>
          <w:bCs/>
        </w:rPr>
      </w:pPr>
      <w:r>
        <w:rPr>
          <w:b/>
          <w:bCs/>
        </w:rPr>
        <w:br w:type="page"/>
      </w:r>
    </w:p>
    <w:p w14:paraId="70AA828F" w14:textId="7D73883E" w:rsidR="007208C7" w:rsidRPr="007208C7" w:rsidRDefault="007208C7" w:rsidP="007208C7">
      <w:pPr>
        <w:rPr>
          <w:b/>
          <w:bCs/>
        </w:rPr>
      </w:pPr>
      <w:r w:rsidRPr="007208C7">
        <w:rPr>
          <w:b/>
          <w:bCs/>
        </w:rPr>
        <w:lastRenderedPageBreak/>
        <w:t>Descrição das Funcionalidades Essenciais Específicas do Tema</w:t>
      </w:r>
    </w:p>
    <w:p w14:paraId="585F9A37" w14:textId="77777777" w:rsidR="007208C7" w:rsidRPr="007208C7" w:rsidRDefault="007208C7" w:rsidP="007208C7">
      <w:r w:rsidRPr="007208C7">
        <w:t>As funcionalidades seguintes são específicas do domínio ambiental do AirCare e respondem diretamente aos objetivos principais da aplicação, distinguindo-a de soluções móveis genéricas.</w:t>
      </w:r>
    </w:p>
    <w:p w14:paraId="66AC09F8" w14:textId="77777777" w:rsidR="007208C7" w:rsidRPr="007208C7" w:rsidRDefault="007208C7" w:rsidP="007208C7">
      <w:r w:rsidRPr="007208C7">
        <w:rPr>
          <w:b/>
          <w:bCs/>
        </w:rPr>
        <w:t>F02 – Consulta de Qualidade do Ar</w:t>
      </w:r>
    </w:p>
    <w:p w14:paraId="4063208A" w14:textId="34961A16" w:rsidR="007208C7" w:rsidRPr="007208C7" w:rsidRDefault="007208C7" w:rsidP="007208C7">
      <w:r w:rsidRPr="007208C7">
        <w:t xml:space="preserve">O sistema permite aos utilizadores consultar os níveis de poluentes atmosféricos — </w:t>
      </w:r>
      <w:r w:rsidRPr="007208C7">
        <w:rPr>
          <w:b/>
          <w:bCs/>
        </w:rPr>
        <w:t>CO₂</w:t>
      </w:r>
      <w:r w:rsidRPr="007208C7">
        <w:t xml:space="preserve"> (Dióxido de Carbono), </w:t>
      </w:r>
      <w:r w:rsidRPr="007208C7">
        <w:rPr>
          <w:b/>
          <w:bCs/>
        </w:rPr>
        <w:t>NO₂</w:t>
      </w:r>
      <w:r w:rsidRPr="007208C7">
        <w:t xml:space="preserve"> (Dióxido de Nitrogénio), </w:t>
      </w:r>
      <w:r w:rsidRPr="007208C7">
        <w:rPr>
          <w:b/>
          <w:bCs/>
        </w:rPr>
        <w:t>PM2.5</w:t>
      </w:r>
      <w:r w:rsidRPr="007208C7">
        <w:t xml:space="preserve"> (partículas com diâmetro inferior a 2,5 micrómetros) e </w:t>
      </w:r>
      <w:r w:rsidRPr="007208C7">
        <w:rPr>
          <w:b/>
          <w:bCs/>
        </w:rPr>
        <w:t>PM10</w:t>
      </w:r>
      <w:r w:rsidRPr="007208C7">
        <w:t xml:space="preserve"> (partículas com diâmetro inferior a 10 micrómetros) — na sua localidade ou noutras regiões disponíveis no mapa interativo. Os dados são apresentados de forma visualmente clara, recorrendo a indicadores cromáticos e escalas de fácil interpretação, adequadas a diferentes perfis de utilizadores.</w:t>
      </w:r>
    </w:p>
    <w:p w14:paraId="35E41D2F" w14:textId="77777777" w:rsidR="007208C7" w:rsidRPr="007208C7" w:rsidRDefault="007208C7" w:rsidP="007208C7">
      <w:r w:rsidRPr="007208C7">
        <w:rPr>
          <w:b/>
          <w:bCs/>
        </w:rPr>
        <w:t>F03 – Consulta de Condições Meteorológicas</w:t>
      </w:r>
    </w:p>
    <w:p w14:paraId="3FA6341F" w14:textId="0AA13054" w:rsidR="007208C7" w:rsidRPr="007208C7" w:rsidRDefault="007208C7" w:rsidP="007208C7">
      <w:r w:rsidRPr="007208C7">
        <w:t>O sistema apresenta informações meteorológicas atualizadas em tempo real, incluindo temperatura, humidade, velocidade do vento e condições climáticas gerais. A interface exibe estes dados de forma hierarquizada e visualmente organizada, priorizando as informações mais relevantes para o utilizador.</w:t>
      </w:r>
    </w:p>
    <w:p w14:paraId="662A6E43" w14:textId="77777777" w:rsidR="007208C7" w:rsidRPr="007208C7" w:rsidRDefault="007208C7" w:rsidP="007208C7">
      <w:r w:rsidRPr="007208C7">
        <w:rPr>
          <w:b/>
          <w:bCs/>
        </w:rPr>
        <w:t>F04 – Mapa Interativo</w:t>
      </w:r>
    </w:p>
    <w:p w14:paraId="79A82FFE" w14:textId="6028350F" w:rsidR="007208C7" w:rsidRPr="007208C7" w:rsidRDefault="007208C7" w:rsidP="007208C7">
      <w:r w:rsidRPr="007208C7">
        <w:t>O sistema disponibiliza um mapa interativo onde os utilizadores podem visualizar a qualidade do ar e as condições meteorológicas em diferentes localizações. O mapa permite a seleção de locais específicos e o acesso a informação detalhada sobre cada região, sendo desenvolvido com componentes nativos Android que garantem fluidez e desempenho adequados a diversos tamanhos de ecrã.</w:t>
      </w:r>
    </w:p>
    <w:p w14:paraId="44462952" w14:textId="77777777" w:rsidR="007208C7" w:rsidRPr="007208C7" w:rsidRDefault="007208C7" w:rsidP="007208C7">
      <w:r w:rsidRPr="007208C7">
        <w:rPr>
          <w:b/>
          <w:bCs/>
        </w:rPr>
        <w:t>F05 – Recomendações Personalizadas</w:t>
      </w:r>
    </w:p>
    <w:p w14:paraId="2C949D02" w14:textId="6BD662AF" w:rsidR="007208C7" w:rsidRPr="007208C7" w:rsidRDefault="007208C7" w:rsidP="007208C7">
      <w:r w:rsidRPr="007208C7">
        <w:t>O sistema fornece recomendações personalizadas para reduzir a exposição à poluição, com base nos dados ambientais em tempo real e nas condições de saúde indicadas pelo utilizador no seu perfil. As recomendações são apresentadas de forma clara e acessível, adaptando a linguagem ao perfil do utilizador.</w:t>
      </w:r>
    </w:p>
    <w:p w14:paraId="5C5816B0" w14:textId="77777777" w:rsidR="007208C7" w:rsidRPr="007208C7" w:rsidRDefault="007208C7" w:rsidP="007208C7">
      <w:r w:rsidRPr="007208C7">
        <w:rPr>
          <w:b/>
          <w:bCs/>
        </w:rPr>
        <w:t>F06 – Alertas e Notificações</w:t>
      </w:r>
    </w:p>
    <w:p w14:paraId="410D9F06" w14:textId="58263241" w:rsidR="007208C7" w:rsidRPr="007208C7" w:rsidRDefault="007208C7" w:rsidP="007208C7">
      <w:r w:rsidRPr="007208C7">
        <w:t>O sistema permite a configuração de alertas que notificam os utilizadores quando os níveis de poluição atingem valores críticos ou ocorrem alterações climáticas relevantes. As notificações são geridas através do sistema de notificações nativo do Android, garantindo integração consistente com o ecossistema do dispositivo.</w:t>
      </w:r>
    </w:p>
    <w:p w14:paraId="429A6E1D" w14:textId="77777777" w:rsidR="007208C7" w:rsidRPr="007208C7" w:rsidRDefault="007208C7" w:rsidP="007208C7">
      <w:r w:rsidRPr="007208C7">
        <w:rPr>
          <w:b/>
          <w:bCs/>
        </w:rPr>
        <w:t>F07 – Acessibilidade e Experiência Multimodal</w:t>
      </w:r>
    </w:p>
    <w:p w14:paraId="397F2C92" w14:textId="77777777" w:rsidR="007208C7" w:rsidRPr="007208C7" w:rsidRDefault="007208C7" w:rsidP="007208C7">
      <w:r w:rsidRPr="007208C7">
        <w:t>O sistema incorpora suporte a leitura em voz alta, recorrendo às APIs de acessibilidade do Android, de forma a melhorar a experiência de utilizadores com deficiência visual. Adicionalmente, são disponibilizadas opções de alto contraste e ajuste do tamanho de fonte, em conformidade com os princípios do design inclusivo e as diretrizes de acessibilidade móvel.</w:t>
      </w:r>
    </w:p>
    <w:p w14:paraId="5EDDB54E" w14:textId="4C62C679" w:rsidR="007208C7" w:rsidRDefault="007208C7" w:rsidP="007208C7"/>
    <w:p w14:paraId="2E2ACBA1" w14:textId="77777777" w:rsidR="00255D2D" w:rsidRPr="007208C7" w:rsidRDefault="00255D2D" w:rsidP="007208C7"/>
    <w:p w14:paraId="7A814A1F" w14:textId="77777777" w:rsidR="007208C7" w:rsidRPr="007208C7" w:rsidRDefault="007208C7" w:rsidP="007208C7">
      <w:r w:rsidRPr="007208C7">
        <w:rPr>
          <w:b/>
          <w:bCs/>
        </w:rPr>
        <w:lastRenderedPageBreak/>
        <w:t>F08 – Histórico de Qualidade do Ar e Clima</w:t>
      </w:r>
    </w:p>
    <w:p w14:paraId="699201BC" w14:textId="065876ED" w:rsidR="007208C7" w:rsidRPr="007208C7" w:rsidRDefault="007208C7" w:rsidP="007208C7">
      <w:r w:rsidRPr="007208C7">
        <w:t>O sistema armazena dados históricos da qualidade do ar e das condições meteorológicas, permitindo que os utilizadores consultem tendências e padrões ao longo do tempo. Esta informação é apresentada através de gráficos e visualizações intuitivas, facilitando a interpretação de dados por parte de qualquer perfil de utilizador.</w:t>
      </w:r>
    </w:p>
    <w:p w14:paraId="215978A4" w14:textId="77777777" w:rsidR="007208C7" w:rsidRPr="007208C7" w:rsidRDefault="007208C7" w:rsidP="007208C7">
      <w:r w:rsidRPr="007208C7">
        <w:rPr>
          <w:b/>
          <w:bCs/>
        </w:rPr>
        <w:t>F09 – Aprendizagem do Comportamento do Utilizador</w:t>
      </w:r>
    </w:p>
    <w:p w14:paraId="4A41F0F9" w14:textId="3D624820" w:rsidR="007208C7" w:rsidRPr="007208C7" w:rsidRDefault="007208C7" w:rsidP="007208C7">
      <w:r w:rsidRPr="007208C7">
        <w:t>O sistema é capaz de identificar padrões de uso e sugerir informações e alertas mais relevantes com base no histórico de interações do utilizador, promovendo uma experiência progressivamente mais personalizada e adaptada às suas necessidades.</w:t>
      </w:r>
    </w:p>
    <w:p w14:paraId="5EC66D7A" w14:textId="77777777" w:rsidR="007208C7" w:rsidRPr="007208C7" w:rsidRDefault="007208C7" w:rsidP="007208C7">
      <w:r w:rsidRPr="007208C7">
        <w:rPr>
          <w:b/>
          <w:bCs/>
        </w:rPr>
        <w:t>F10 – Modo Offline</w:t>
      </w:r>
    </w:p>
    <w:p w14:paraId="53113EC5" w14:textId="790472D4" w:rsidR="007208C7" w:rsidRPr="007208C7" w:rsidRDefault="007208C7" w:rsidP="007208C7">
      <w:r w:rsidRPr="007208C7">
        <w:t>O sistema permite o acesso a informações previamente armazenadas localmente no dispositivo, como o histórico de qualidade do ar e previsões meteorológicas, mesmo na ausência de ligação à internet. Esta funcionalidade assegura a continuidade da experiência de utilização em contextos de conectividade limitada, característica particularmente relevante no âmbito do desenvolvimento móvel para Android.</w:t>
      </w:r>
    </w:p>
    <w:p w14:paraId="57A1DC6A" w14:textId="77777777" w:rsidR="007208C7" w:rsidRPr="007208C7" w:rsidRDefault="007208C7" w:rsidP="007208C7">
      <w:r w:rsidRPr="007208C7">
        <w:rPr>
          <w:b/>
          <w:bCs/>
        </w:rPr>
        <w:t>F11 – Integração com Fontes Externas</w:t>
      </w:r>
    </w:p>
    <w:p w14:paraId="29E5D0A7" w14:textId="7A160AE6" w:rsidR="007208C7" w:rsidRPr="007208C7" w:rsidRDefault="007208C7" w:rsidP="007208C7">
      <w:r w:rsidRPr="007208C7">
        <w:t>O sistema integra-se com APIs externas para obter dados em tempo real sobre qualidade do ar e condições meteorológicas provenientes de fontes fiáveis. Esta integração é gerida de forma eficiente, garantindo a atualização contínua da informação apresentada na aplicação.</w:t>
      </w:r>
    </w:p>
    <w:p w14:paraId="70825E5F" w14:textId="77777777" w:rsidR="007208C7" w:rsidRPr="007208C7" w:rsidRDefault="007208C7" w:rsidP="007208C7">
      <w:r w:rsidRPr="007208C7">
        <w:rPr>
          <w:b/>
          <w:bCs/>
        </w:rPr>
        <w:t>F12 – Comparação entre Localizações</w:t>
      </w:r>
    </w:p>
    <w:p w14:paraId="35BCC368" w14:textId="604C1526" w:rsidR="007208C7" w:rsidRPr="007208C7" w:rsidRDefault="007208C7" w:rsidP="007208C7">
      <w:r w:rsidRPr="007208C7">
        <w:t>O sistema permite aos utilizadores comparar os níveis de poluição e as condições meteorológicas entre diferentes localizações, facilitando a tomada de decisões informadas relativamente a deslocações e atividades ao ar livre. A comparação é apresentada de forma visual e de fácil leitura, recorrendo a elementos gráficos adequados a interfaces móveis.</w:t>
      </w:r>
    </w:p>
    <w:p w14:paraId="25A12D12" w14:textId="77777777" w:rsidR="007208C7" w:rsidRPr="007208C7" w:rsidRDefault="007208C7" w:rsidP="007208C7">
      <w:r w:rsidRPr="007208C7">
        <w:rPr>
          <w:b/>
          <w:bCs/>
        </w:rPr>
        <w:t>F13 – Relatórios e Estatísticas Personalizadas</w:t>
      </w:r>
    </w:p>
    <w:p w14:paraId="5A6E55FF" w14:textId="18D751E5" w:rsidR="007208C7" w:rsidRPr="007208C7" w:rsidRDefault="007208C7" w:rsidP="007208C7">
      <w:r w:rsidRPr="007208C7">
        <w:t>O sistema oferece aos utilizadores a possibilidade de gerar relatórios personalizados sobre a qualidade do ar e as condições climáticas ao longo do tempo, incluindo gráficos e análises estatísticas. Estes relatórios podem ser consultados diretamente na aplicação, promovendo uma maior consciencialização ambiental por parte do utilizador.</w:t>
      </w:r>
    </w:p>
    <w:p w14:paraId="55E5FF90" w14:textId="77777777" w:rsidR="007208C7" w:rsidRPr="007208C7" w:rsidRDefault="007208C7" w:rsidP="007208C7">
      <w:r w:rsidRPr="007208C7">
        <w:rPr>
          <w:b/>
          <w:bCs/>
        </w:rPr>
        <w:t>F14 – Gamificação e Incentivos</w:t>
      </w:r>
    </w:p>
    <w:p w14:paraId="1261FB1C" w14:textId="260BED3C" w:rsidR="007208C7" w:rsidRPr="007208C7" w:rsidRDefault="007208C7" w:rsidP="007208C7">
      <w:r w:rsidRPr="007208C7">
        <w:t>O sistema integra elementos de gamificação, como desafios ambientais e recompensas virtuais, com o objetivo de incentivar os utilizadores a adotarem hábitos mais sustentáveis e a contribuírem ativamente com relatórios comunitários. Esta funcionalidade promove o envolvimento contínuo com a aplicação, aumentando a motivação e a fidelização do utilizador.</w:t>
      </w:r>
    </w:p>
    <w:p w14:paraId="2B01EC30" w14:textId="77777777" w:rsidR="007349D4" w:rsidRDefault="007349D4">
      <w:pPr>
        <w:spacing w:line="278" w:lineRule="auto"/>
        <w:jc w:val="left"/>
        <w:rPr>
          <w:b/>
          <w:bCs/>
        </w:rPr>
      </w:pPr>
      <w:r>
        <w:rPr>
          <w:b/>
          <w:bCs/>
        </w:rPr>
        <w:br w:type="page"/>
      </w:r>
    </w:p>
    <w:p w14:paraId="53EB292D" w14:textId="3298CD1F" w:rsidR="007208C7" w:rsidRPr="007208C7" w:rsidRDefault="007208C7" w:rsidP="007208C7">
      <w:pPr>
        <w:rPr>
          <w:b/>
          <w:bCs/>
        </w:rPr>
      </w:pPr>
      <w:r w:rsidRPr="007208C7">
        <w:rPr>
          <w:b/>
          <w:bCs/>
        </w:rPr>
        <w:lastRenderedPageBreak/>
        <w:t>Indicação dos Aspetos Originais e das Mais-Valias</w:t>
      </w:r>
    </w:p>
    <w:p w14:paraId="7F97928A" w14:textId="77777777" w:rsidR="007208C7" w:rsidRPr="007208C7" w:rsidRDefault="007208C7" w:rsidP="007208C7">
      <w:r w:rsidRPr="007208C7">
        <w:rPr>
          <w:b/>
          <w:bCs/>
        </w:rPr>
        <w:t>Experiência Personalizada e Adaptativa</w:t>
      </w:r>
    </w:p>
    <w:p w14:paraId="76662A79" w14:textId="2CEAB9A2" w:rsidR="007208C7" w:rsidRPr="007208C7" w:rsidRDefault="007208C7" w:rsidP="007208C7">
      <w:r w:rsidRPr="007208C7">
        <w:t>O AirCare não se limita a apresentar dados genéricos sobre a qualidade do ar. Através da aprendizagem do comportamento do utilizador (F09) e das recomendações personalizadas (F05), a aplicação adapta-se progressivamente ao perfil e às rotinas de cada utilizador, tornando a informação cada vez mais relevante e contextualizada para quem a utiliza.</w:t>
      </w:r>
    </w:p>
    <w:p w14:paraId="48785746" w14:textId="77777777" w:rsidR="007208C7" w:rsidRPr="007208C7" w:rsidRDefault="007208C7" w:rsidP="007208C7">
      <w:r w:rsidRPr="007208C7">
        <w:rPr>
          <w:b/>
          <w:bCs/>
        </w:rPr>
        <w:t>Acessibilidade como Prioridade Transversal</w:t>
      </w:r>
    </w:p>
    <w:p w14:paraId="0E9830BF" w14:textId="0D7B590D" w:rsidR="007208C7" w:rsidRPr="007208C7" w:rsidRDefault="007208C7" w:rsidP="007208C7">
      <w:r w:rsidRPr="007208C7">
        <w:t>Ao contrário de muitas aplicações ambientais existentes, o AirCare foi concebido desde a sua génese com um foco profundo no design inclusivo. A combinação de leitura em voz alta, alto contraste e ajuste de tamanho de fonte (F07) garante que a aplicação é verdadeiramente utilizável por pessoas com deficiência visual ou baixa literacia digital, um aspeto frequentemente negligenciado em soluções desta natureza.</w:t>
      </w:r>
    </w:p>
    <w:p w14:paraId="7F92BF6A" w14:textId="77777777" w:rsidR="007208C7" w:rsidRPr="007208C7" w:rsidRDefault="007208C7" w:rsidP="007208C7">
      <w:r w:rsidRPr="007208C7">
        <w:rPr>
          <w:b/>
          <w:bCs/>
        </w:rPr>
        <w:t>Fusão de Dados Ambientais e Meteorológicos numa Única Plataforma</w:t>
      </w:r>
    </w:p>
    <w:p w14:paraId="3D28AE6C" w14:textId="27767DC6" w:rsidR="007208C7" w:rsidRPr="007208C7" w:rsidRDefault="007208C7" w:rsidP="007208C7">
      <w:r w:rsidRPr="007208C7">
        <w:t>O AirCare centraliza num único ponto de acesso informação sobre qualidade do ar (F02) e condições meteorológicas (F03), complementada por um mapa interativo (F04) e pela possibilidade de comparação entre localizações (F12). Esta integração evita que o utilizador recorra a múltiplas aplicações para obter uma visão completa das condições ambientais.</w:t>
      </w:r>
    </w:p>
    <w:p w14:paraId="5CB84896" w14:textId="77777777" w:rsidR="007208C7" w:rsidRPr="007208C7" w:rsidRDefault="007208C7" w:rsidP="007208C7">
      <w:r w:rsidRPr="007208C7">
        <w:rPr>
          <w:b/>
          <w:bCs/>
        </w:rPr>
        <w:t>Continuidade de Serviço em Modo Offline</w:t>
      </w:r>
    </w:p>
    <w:p w14:paraId="4C2AA1E8" w14:textId="7F367511" w:rsidR="007208C7" w:rsidRPr="007208C7" w:rsidRDefault="007208C7" w:rsidP="007208C7">
      <w:r w:rsidRPr="007208C7">
        <w:t>A disponibilidade de funcionalidades em modo offline (F10) representa uma mais-valia significativa, garantindo que o utilizador mantém acesso a informação relevante mesmo em contextos de conectividade limitada, algo particularmente importante para populações em zonas rurais ou com acesso instável à internet.</w:t>
      </w:r>
    </w:p>
    <w:p w14:paraId="1A9218BA" w14:textId="77777777" w:rsidR="007208C7" w:rsidRPr="007208C7" w:rsidRDefault="007208C7" w:rsidP="007208C7">
      <w:r w:rsidRPr="007208C7">
        <w:rPr>
          <w:b/>
          <w:bCs/>
        </w:rPr>
        <w:t>Consciencialização Ambiental através da Gamificação</w:t>
      </w:r>
    </w:p>
    <w:p w14:paraId="1EE57EB7" w14:textId="20194F13" w:rsidR="007208C7" w:rsidRPr="007208C7" w:rsidRDefault="007208C7" w:rsidP="007208C7">
      <w:r w:rsidRPr="007208C7">
        <w:t>A integração de elementos de gamificação (F14), como desafios ambientais e recompensas virtuais, distingue o AirCare de aplicações puramente informativas. Esta abordagem promove o envolvimento ativo do utilizador e incentiva a adoção de comportamentos mais sustentáveis, transformando a aplicação numa ferramenta de mudança de hábitos e não apenas de consulta de dados.</w:t>
      </w:r>
    </w:p>
    <w:p w14:paraId="653AF4CA" w14:textId="77777777" w:rsidR="007208C7" w:rsidRPr="007208C7" w:rsidRDefault="007208C7" w:rsidP="007208C7">
      <w:r w:rsidRPr="007208C7">
        <w:rPr>
          <w:b/>
          <w:bCs/>
        </w:rPr>
        <w:t>Público-Alvo Verdadeiramente Diversificado</w:t>
      </w:r>
    </w:p>
    <w:p w14:paraId="7219E196" w14:textId="133C9818" w:rsidR="007208C7" w:rsidRPr="007208C7" w:rsidRDefault="007208C7" w:rsidP="007208C7">
      <w:r w:rsidRPr="007208C7">
        <w:t>A conceção do AirCare contempla simultaneamente utilizadores vulneráveis, como crianças, idosos e pessoas com doenças respiratórias, e utilizadores especializados, como médicos, atletas e decisores políticos. Esta amplitude de público-alvo, aliada à adaptabilidade da interface, confere à aplicação uma versatilidade pouco comum em soluções do mesmo género.</w:t>
      </w:r>
    </w:p>
    <w:p w14:paraId="65F02988" w14:textId="77777777" w:rsidR="007208C7" w:rsidRPr="007208C7" w:rsidRDefault="007208C7" w:rsidP="007208C7">
      <w:r w:rsidRPr="007208C7">
        <w:rPr>
          <w:b/>
          <w:bCs/>
        </w:rPr>
        <w:t>Análise Histórica e Geração de Relatórios</w:t>
      </w:r>
    </w:p>
    <w:p w14:paraId="56664409" w14:textId="1AF6599F" w:rsidR="007208C7" w:rsidRPr="007208C7" w:rsidRDefault="007208C7" w:rsidP="007208C7">
      <w:r w:rsidRPr="007208C7">
        <w:t xml:space="preserve">A possibilidade de consultar históricos de dados (F08) e gerar relatórios e estatísticas personalizadas (F13) eleva o AirCare acima de uma simples aplicação de monitorização em tempo real, posicionando-a também como uma ferramenta de análise e </w:t>
      </w:r>
      <w:r w:rsidRPr="007208C7">
        <w:lastRenderedPageBreak/>
        <w:t>acompanhamento ambiental ao longo do tempo, útil tanto para o cidadão comum como para profissionais e instituições.</w:t>
      </w:r>
    </w:p>
    <w:p w14:paraId="2C4CFF89" w14:textId="77777777" w:rsidR="007208C7" w:rsidRPr="007208C7" w:rsidRDefault="007208C7" w:rsidP="007208C7">
      <w:r w:rsidRPr="007208C7">
        <w:rPr>
          <w:b/>
          <w:bCs/>
        </w:rPr>
        <w:t>Integração com Múltiplas Fontes de Dados Externas</w:t>
      </w:r>
    </w:p>
    <w:p w14:paraId="20F404B0" w14:textId="77777777" w:rsidR="007208C7" w:rsidRPr="007208C7" w:rsidRDefault="007208C7" w:rsidP="007208C7">
      <w:r w:rsidRPr="007208C7">
        <w:t>Através da integração com APIs externas (F11), o AirCare garante que a informação apresentada provém de fontes fiáveis e atualizadas, assegurando a credibilidade e rigor dos dados disponibilizados aos utilizadores, independentemente da sua localização geográfica.</w:t>
      </w:r>
    </w:p>
    <w:p w14:paraId="013B7A55" w14:textId="77777777" w:rsidR="00C62E92" w:rsidRDefault="00C62E92" w:rsidP="008C2213"/>
    <w:sectPr w:rsidR="00C62E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E6"/>
    <w:rsid w:val="000F06E6"/>
    <w:rsid w:val="00255D2D"/>
    <w:rsid w:val="003B70C1"/>
    <w:rsid w:val="007208C7"/>
    <w:rsid w:val="007349D4"/>
    <w:rsid w:val="00760785"/>
    <w:rsid w:val="00857FE3"/>
    <w:rsid w:val="008C2213"/>
    <w:rsid w:val="009A4B0B"/>
    <w:rsid w:val="00BD0A30"/>
    <w:rsid w:val="00C62E92"/>
    <w:rsid w:val="00FD7C1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B74D"/>
  <w15:chartTrackingRefBased/>
  <w15:docId w15:val="{383B52E1-DADC-4CDA-9ED0-78EA9FFE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6E6"/>
    <w:pPr>
      <w:spacing w:line="259" w:lineRule="auto"/>
      <w:jc w:val="both"/>
    </w:pPr>
    <w:rPr>
      <w:kern w:val="0"/>
      <w:sz w:val="22"/>
      <w:szCs w:val="22"/>
    </w:rPr>
  </w:style>
  <w:style w:type="paragraph" w:styleId="Heading1">
    <w:name w:val="heading 1"/>
    <w:basedOn w:val="Normal"/>
    <w:next w:val="Normal"/>
    <w:link w:val="Heading1Char"/>
    <w:uiPriority w:val="9"/>
    <w:qFormat/>
    <w:rsid w:val="000F0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6E6"/>
    <w:rPr>
      <w:rFonts w:eastAsiaTheme="majorEastAsia" w:cstheme="majorBidi"/>
      <w:color w:val="272727" w:themeColor="text1" w:themeTint="D8"/>
    </w:rPr>
  </w:style>
  <w:style w:type="paragraph" w:styleId="Title">
    <w:name w:val="Title"/>
    <w:basedOn w:val="Normal"/>
    <w:next w:val="Normal"/>
    <w:link w:val="TitleChar"/>
    <w:uiPriority w:val="10"/>
    <w:qFormat/>
    <w:rsid w:val="000F0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6E6"/>
    <w:pPr>
      <w:spacing w:before="160"/>
      <w:jc w:val="center"/>
    </w:pPr>
    <w:rPr>
      <w:i/>
      <w:iCs/>
      <w:color w:val="404040" w:themeColor="text1" w:themeTint="BF"/>
    </w:rPr>
  </w:style>
  <w:style w:type="character" w:customStyle="1" w:styleId="QuoteChar">
    <w:name w:val="Quote Char"/>
    <w:basedOn w:val="DefaultParagraphFont"/>
    <w:link w:val="Quote"/>
    <w:uiPriority w:val="29"/>
    <w:rsid w:val="000F06E6"/>
    <w:rPr>
      <w:i/>
      <w:iCs/>
      <w:color w:val="404040" w:themeColor="text1" w:themeTint="BF"/>
    </w:rPr>
  </w:style>
  <w:style w:type="paragraph" w:styleId="ListParagraph">
    <w:name w:val="List Paragraph"/>
    <w:basedOn w:val="Normal"/>
    <w:uiPriority w:val="34"/>
    <w:qFormat/>
    <w:rsid w:val="000F06E6"/>
    <w:pPr>
      <w:ind w:left="720"/>
      <w:contextualSpacing/>
    </w:pPr>
  </w:style>
  <w:style w:type="character" w:styleId="IntenseEmphasis">
    <w:name w:val="Intense Emphasis"/>
    <w:basedOn w:val="DefaultParagraphFont"/>
    <w:uiPriority w:val="21"/>
    <w:qFormat/>
    <w:rsid w:val="000F06E6"/>
    <w:rPr>
      <w:i/>
      <w:iCs/>
      <w:color w:val="0F4761" w:themeColor="accent1" w:themeShade="BF"/>
    </w:rPr>
  </w:style>
  <w:style w:type="paragraph" w:styleId="IntenseQuote">
    <w:name w:val="Intense Quote"/>
    <w:basedOn w:val="Normal"/>
    <w:next w:val="Normal"/>
    <w:link w:val="IntenseQuoteChar"/>
    <w:uiPriority w:val="30"/>
    <w:qFormat/>
    <w:rsid w:val="000F0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6E6"/>
    <w:rPr>
      <w:i/>
      <w:iCs/>
      <w:color w:val="0F4761" w:themeColor="accent1" w:themeShade="BF"/>
    </w:rPr>
  </w:style>
  <w:style w:type="character" w:styleId="IntenseReference">
    <w:name w:val="Intense Reference"/>
    <w:basedOn w:val="DefaultParagraphFont"/>
    <w:uiPriority w:val="32"/>
    <w:qFormat/>
    <w:rsid w:val="000F06E6"/>
    <w:rPr>
      <w:b/>
      <w:bCs/>
      <w:smallCaps/>
      <w:color w:val="0F4761" w:themeColor="accent1" w:themeShade="BF"/>
      <w:spacing w:val="5"/>
    </w:rPr>
  </w:style>
  <w:style w:type="paragraph" w:styleId="NoSpacing">
    <w:name w:val="No Spacing"/>
    <w:link w:val="NoSpacingChar"/>
    <w:uiPriority w:val="1"/>
    <w:qFormat/>
    <w:rsid w:val="000F06E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F06E6"/>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Este relatório foi realizado no âmbito do projeto da UC de Computação Móvel</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F6258D876A0E442B366F68A0035CBC6" ma:contentTypeVersion="13" ma:contentTypeDescription="Criar um novo documento." ma:contentTypeScope="" ma:versionID="8e490fd8707c49717e709a1d5dd68a33">
  <xsd:schema xmlns:xsd="http://www.w3.org/2001/XMLSchema" xmlns:xs="http://www.w3.org/2001/XMLSchema" xmlns:p="http://schemas.microsoft.com/office/2006/metadata/properties" xmlns:ns3="90bf6816-cdd8-46a3-b45e-cf92dd406008" xmlns:ns4="6edae9b5-284a-4abf-aff1-62063215ab2f" targetNamespace="http://schemas.microsoft.com/office/2006/metadata/properties" ma:root="true" ma:fieldsID="3e53de9b22766fe16ee9c4ce508c17bd" ns3:_="" ns4:_="">
    <xsd:import namespace="90bf6816-cdd8-46a3-b45e-cf92dd406008"/>
    <xsd:import namespace="6edae9b5-284a-4abf-aff1-62063215ab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_activity" minOccurs="0"/>
                <xsd:element ref="ns4:MediaServiceDateTaken"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bf6816-cdd8-46a3-b45e-cf92dd406008"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SharingHintHash" ma:index="10" nillable="true" ma:displayName="Hash de Sugestão de Partilha"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dae9b5-284a-4abf-aff1-62063215ab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edae9b5-284a-4abf-aff1-62063215ab2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3B9365-01DB-4517-9983-91823A670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bf6816-cdd8-46a3-b45e-cf92dd406008"/>
    <ds:schemaRef ds:uri="6edae9b5-284a-4abf-aff1-62063215a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033A3E-A06B-4275-8C76-E7B6ABD8E35C}">
  <ds:schemaRefs>
    <ds:schemaRef ds:uri="http://schemas.microsoft.com/sharepoint/v3/contenttype/forms"/>
  </ds:schemaRefs>
</ds:datastoreItem>
</file>

<file path=customXml/itemProps4.xml><?xml version="1.0" encoding="utf-8"?>
<ds:datastoreItem xmlns:ds="http://schemas.openxmlformats.org/officeDocument/2006/customXml" ds:itemID="{C8384C34-562D-4411-9190-CF1199BD362A}">
  <ds:schemaRefs>
    <ds:schemaRef ds:uri="http://schemas.microsoft.com/office/2006/metadata/properties"/>
    <ds:schemaRef ds:uri="http://schemas.microsoft.com/office/infopath/2007/PartnerControls"/>
    <ds:schemaRef ds:uri="6edae9b5-284a-4abf-aff1-62063215ab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2066</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 Soares Cabrita</dc:creator>
  <cp:keywords/>
  <dc:description/>
  <cp:lastModifiedBy>João Pedro Soares Cabrita</cp:lastModifiedBy>
  <cp:revision>2</cp:revision>
  <dcterms:created xsi:type="dcterms:W3CDTF">2026-05-03T22:13:00Z</dcterms:created>
  <dcterms:modified xsi:type="dcterms:W3CDTF">2026-05-03T22:13:00Z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dac56e1f-f4a5-4ee2-a72d-710a64b55515</vt:lpwstr>
  </property>
  <property fmtid="{D5CDD505-2E9C-101B-9397-08002B2CF9AE}" pid="3" name="ContentTypeId">
    <vt:lpwstr>0x0101004F6258D876A0E442B366F68A0035CBC6</vt:lpwstr>
  </property>
</Properties>
</file>