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CacheShift Faculty Connections</w:t>
      </w:r>
    </w:p>
    <w:p>
      <w:pPr>
        <w:spacing w:after="240"/>
      </w:pPr>
      <w:r>
        <w:t>EC601 Sprint 1</w:t>
      </w:r>
    </w:p>
    <w:p>
      <w:r>
        <w:t>CacheShift studies how reusing cached answers changes the cost and accuracy of routing questions between cheaper and stronger language models. We identified two Boston University professors whose work could guide our evaluation and possible energy measurements.</w:t>
      </w:r>
    </w:p>
    <w:p>
      <w:pPr>
        <w:pStyle w:val="Heading1"/>
      </w:pPr>
      <w:r>
        <w:t>Ayşe Coskun</w:t>
      </w:r>
    </w:p>
    <w:p>
      <w:hyperlink r:id="rId9">
        <w:r>
          <w:rPr>
            <w:color w:val="155A8A"/>
          </w:rPr>
          <w:t>BU faculty profile</w:t>
        </w:r>
      </w:hyperlink>
      <w:r>
        <w:t xml:space="preserve">  |  Energy efficiency and LLM serving</w:t>
      </w:r>
    </w:p>
    <w:p>
      <w:r>
        <w:rPr>
          <w:b/>
        </w:rPr>
        <w:t xml:space="preserve">Relevant paper. </w:t>
      </w:r>
      <w:hyperlink r:id="rId10">
        <w:r>
          <w:rPr>
            <w:color w:val="155A8A"/>
          </w:rPr>
          <w:t>PALS: Power-Aware LLM Serving for Mixture-of-Experts Models</w:t>
        </w:r>
      </w:hyperlink>
      <w:r>
        <w:t xml:space="preserve"> (Hankendi et al., 2026 preprint; Coskun is a coauthor). The paper studies energy-efficient LLM serving by adjusting GPU power limits and settings such as batch size.</w:t>
      </w:r>
    </w:p>
    <w:p>
      <w:r>
        <w:rPr>
          <w:b/>
        </w:rPr>
        <w:t xml:space="preserve">Why she is relevant. </w:t>
      </w:r>
      <w:r>
        <w:t>Caching can reduce the number of model calls, but GPUs may still consume power between requests. Her research could help us determine whether CacheShift produces actual energy savings at different traffic levels.</w:t>
      </w:r>
    </w:p>
    <w:p>
      <w:r>
        <w:rPr>
          <w:b/>
        </w:rPr>
        <w:t xml:space="preserve">Question we would ask. </w:t>
      </w:r>
      <w:r>
        <w:t>When comparing CacheShift with and without caching, how should we account for idle GPU power so that we measure actual energy savings under both low and high traffic?</w:t>
      </w:r>
    </w:p>
    <w:p>
      <w:pPr>
        <w:pStyle w:val="Heading1"/>
      </w:pPr>
      <w:r>
        <w:t>Mark Crovella</w:t>
      </w:r>
    </w:p>
    <w:p>
      <w:hyperlink r:id="rId11">
        <w:r>
          <w:rPr>
            <w:color w:val="155A8A"/>
          </w:rPr>
          <w:t>BU faculty profile</w:t>
        </w:r>
      </w:hyperlink>
      <w:r>
        <w:t xml:space="preserve">  |  Model evaluation and selection</w:t>
      </w:r>
    </w:p>
    <w:p>
      <w:r>
        <w:rPr>
          <w:b/>
        </w:rPr>
        <w:t xml:space="preserve">Relevant paper. </w:t>
      </w:r>
      <w:hyperlink r:id="rId12">
        <w:r>
          <w:rPr>
            <w:color w:val="155A8A"/>
          </w:rPr>
          <w:t>Disentangling Text and Math in Word Problems: Evidence for the Bidimensional Structure of Large Language Models’ Reasoning</w:t>
        </w:r>
      </w:hyperlink>
      <w:r>
        <w:t xml:space="preserve"> (Calais et al., Findings of ACL, 2025; Crovella is a coauthor). It examines differences between interpreting text and solving the underlying mathematics, with implications for model selection.</w:t>
      </w:r>
    </w:p>
    <w:p>
      <w:r>
        <w:rPr>
          <w:b/>
        </w:rPr>
        <w:t xml:space="preserve">Why he is relevant. </w:t>
      </w:r>
      <w:r>
        <w:t>We need to evaluate when a cheaper model is sufficient and whether reworded questions can safely share cached answers. His work could help us design tests that account for question wording and differences in model capabilities.</w:t>
      </w:r>
    </w:p>
    <w:p>
      <w:r>
        <w:rPr>
          <w:b/>
        </w:rPr>
        <w:t xml:space="preserve">Question we would ask. </w:t>
      </w:r>
      <w:r>
        <w:t>Our replay experiments use recorded model answers. What validation would we need before assuming that a model’s answer remains correct when we reword the original question?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u.edu/cs/profiles/ayse-coskun/" TargetMode="External"/><Relationship Id="rId10" Type="http://schemas.openxmlformats.org/officeDocument/2006/relationships/hyperlink" Target="https://arxiv.org/abs/2605.21427" TargetMode="External"/><Relationship Id="rId11" Type="http://schemas.openxmlformats.org/officeDocument/2006/relationships/hyperlink" Target="https://www.bu.edu/cs/profiles/crovella/" TargetMode="External"/><Relationship Id="rId12" Type="http://schemas.openxmlformats.org/officeDocument/2006/relationships/hyperlink" Target="https://aclanthology.org/2025.findings-acl.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CacheShift Faculty Connections</dc:title>
  <dc:subject>EC601 Sprint 1 faculty research and questions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