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200"/>
      </w:pPr>
      <w:r>
        <w:rPr>
          <w:b/>
          <w:bCs/>
          <w:sz w:val="26"/>
          <w:szCs w:val="26"/>
        </w:rPr>
        <w:t xml:space="preserve">Identity &amp; Authorization Design — Collaborate</w:t>
      </w:r>
    </w:p>
    <w:p>
      <w:pPr>
        <w:spacing w:after="40" w:before="40" w:line="240" w:lineRule="auto"/>
        <w:jc w:val="left"/>
      </w:pPr>
      <w:r>
        <w:rPr>
          <w:b/>
          <w:bCs/>
          <w:sz w:val="20"/>
          <w:szCs w:val="20"/>
        </w:rPr>
        <w:t xml:space="preserve">Author:</w:t>
      </w:r>
      <w:r>
        <w:rPr>
          <w:sz w:val="20"/>
          <w:szCs w:val="20"/>
        </w:rPr>
        <w:t xml:space="preserve"> Ciro Andrés Cobos Sánchez · </w:t>
      </w:r>
      <w:r>
        <w:rPr>
          <w:b/>
          <w:bCs/>
          <w:sz w:val="20"/>
          <w:szCs w:val="20"/>
        </w:rPr>
        <w:t xml:space="preserve">Date:</w:t>
      </w:r>
      <w:r>
        <w:rPr>
          <w:sz w:val="20"/>
          <w:szCs w:val="20"/>
        </w:rPr>
        <w:t xml:space="preserve"> 2026-08-24</w:t>
      </w:r>
    </w:p>
    <w:p>
      <w:pPr>
        <w:pStyle w:val="Heading1"/>
        <w:spacing w:after="80" w:before="200"/>
      </w:pPr>
      <w:r>
        <w:rPr>
          <w:b/>
          <w:bCs/>
          <w:sz w:val="26"/>
          <w:szCs w:val="26"/>
        </w:rPr>
        <w:t xml:space="preserve">Assumptions</w:t>
      </w:r>
    </w:p>
    <w:p>
      <w:pPr>
        <w:spacing w:after="30" w:before="30" w:line="240" w:lineRule="auto"/>
        <w:ind w:left="280" w:hanging="28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An existing authorization path already serves these three use cases. It is functional but does not meet the requirements in this brief; the work is a replacement under live traffic, not a greenfield build.</w:t>
      </w:r>
    </w:p>
    <w:p>
      <w:pPr>
        <w:spacing w:after="30" w:before="30" w:line="240" w:lineRule="auto"/>
        <w:ind w:left="280" w:hanging="28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One email address maps to exactly one identity in one population. A person who needs access both as firm staff and as an external guest uses two addresses — account linking is therefore out of scope for the authorization layer.</w:t>
      </w:r>
    </w:p>
    <w:p>
      <w:pPr>
        <w:pStyle w:val="Heading1"/>
        <w:spacing w:after="80" w:before="200"/>
      </w:pPr>
      <w:r>
        <w:rPr>
          <w:b/>
          <w:bCs/>
          <w:sz w:val="26"/>
          <w:szCs w:val="26"/>
        </w:rPr>
        <w:t xml:space="preserve">S1: High-Level Architecture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Components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2"/>
        <w:gridCol w:w="6402"/>
        <w:gridCol w:w="3396"/>
      </w:tblGrid>
      <w:tr>
        <w:trPr>
          <w:tblHeader/>
        </w:trPr>
        <w:tc>
          <w:tcPr>
            <w:tcW w:type="dxa" w:w="100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b/>
                <w:bCs/>
                <w:sz w:val="17"/>
                <w:szCs w:val="17"/>
              </w:rPr>
              <w:t xml:space="preserve">Component</w:t>
            </w:r>
          </w:p>
        </w:tc>
        <w:tc>
          <w:tcPr>
            <w:tcW w:type="dxa" w:w="640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b/>
                <w:bCs/>
                <w:sz w:val="17"/>
                <w:szCs w:val="17"/>
              </w:rPr>
              <w:t xml:space="preserve">Responsibility</w:t>
            </w:r>
          </w:p>
        </w:tc>
        <w:tc>
          <w:tcPr>
            <w:tcW w:type="dxa" w:w="339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b/>
                <w:bCs/>
                <w:sz w:val="17"/>
                <w:szCs w:val="17"/>
              </w:rPr>
              <w:t xml:space="preserve">Outside of scope</w:t>
            </w:r>
          </w:p>
        </w:tc>
      </w:tr>
      <w:tr>
        <w:trPr>
          <w:tblHeader w:val="false"/>
        </w:trPr>
        <w:tc>
          <w:tcPr>
            <w:tcW w:type="dxa" w:w="100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Database</w:t>
            </w:r>
          </w:p>
        </w:tc>
        <w:tc>
          <w:tcPr>
            <w:tcW w:type="dxa" w:w="640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Source of truth for workspace roles, resource overrides and firm policy</w:t>
            </w:r>
          </w:p>
        </w:tc>
        <w:tc>
          <w:tcPr>
            <w:tcW w:type="dxa" w:w="339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Performs no evaluation; stores only</w:t>
            </w:r>
          </w:p>
        </w:tc>
      </w:tr>
      <w:tr>
        <w:trPr>
          <w:tblHeader w:val="false"/>
        </w:trPr>
        <w:tc>
          <w:tcPr>
            <w:tcW w:type="dxa" w:w="100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Redis</w:t>
            </w:r>
          </w:p>
        </w:tc>
        <w:tc>
          <w:tcPr>
            <w:tcW w:type="dxa" w:w="640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Holds each user's resolved privilege tree for the read path</w:t>
            </w:r>
          </w:p>
        </w:tc>
        <w:tc>
          <w:tcPr>
            <w:tcW w:type="dxa" w:w="339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Never authoritative; a fast copy that can be rebuilt</w:t>
            </w:r>
          </w:p>
        </w:tc>
      </w:tr>
      <w:tr>
        <w:trPr>
          <w:tblHeader w:val="false"/>
        </w:trPr>
        <w:tc>
          <w:tcPr>
            <w:tcW w:type="dxa" w:w="100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Message bus</w:t>
            </w:r>
          </w:p>
        </w:tc>
        <w:tc>
          <w:tcPr>
            <w:tcW w:type="dxa" w:w="640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Carries permission changes from the write path to Sync-API, fed by an outbox</w:t>
            </w:r>
          </w:p>
        </w:tc>
        <w:tc>
          <w:tcPr>
            <w:tcW w:type="dxa" w:w="339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Not shared with other services; carries no decisions</w:t>
            </w:r>
          </w:p>
        </w:tc>
      </w:tr>
      <w:tr>
        <w:trPr>
          <w:tblHeader w:val="false"/>
        </w:trPr>
        <w:tc>
          <w:tcPr>
            <w:tcW w:type="dxa" w:w="100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Sync-API (PDP + PIP)</w:t>
            </w:r>
          </w:p>
        </w:tc>
        <w:tc>
          <w:tcPr>
            <w:tcW w:type="dxa" w:w="640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Resolves the fine-grained decision, owns the cache, applies invalidation events, recomputes from the database on a miss</w:t>
            </w:r>
          </w:p>
        </w:tc>
        <w:tc>
          <w:tcPr>
            <w:tcW w:type="dxa" w:w="339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Not a fallback Auth-API; issues no tokens</w:t>
            </w:r>
          </w:p>
        </w:tc>
      </w:tr>
      <w:tr>
        <w:trPr>
          <w:tblHeader w:val="false"/>
        </w:trPr>
        <w:tc>
          <w:tcPr>
            <w:tcW w:type="dxa" w:w="100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Auth-API (PAP)</w:t>
            </w:r>
          </w:p>
        </w:tc>
        <w:tc>
          <w:tcPr>
            <w:tcW w:type="dxa" w:w="640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Authenticates, federates to firm IdPs, exchanges tokens, writes policy, publishes changes</w:t>
            </w:r>
          </w:p>
        </w:tc>
        <w:tc>
          <w:tcPr>
            <w:tcW w:type="dxa" w:w="339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Never reads or writes the cache</w:t>
            </w:r>
          </w:p>
        </w:tc>
      </w:tr>
    </w:tbl>
    <w:p>
      <w:pPr>
        <w:spacing w:after="60"/>
      </w:pPr>
      <w:r>
        <w:rPr>
          <w:sz w:val="8"/>
          <w:szCs w:val="8"/>
        </w:rPr>
        <w:t xml:space="preserve"/>
      </w:r>
    </w:p>
    <w:p>
      <w:pPr>
        <w:spacing w:after="40" w:before="40" w:line="240" w:lineRule="auto"/>
        <w:jc w:val="left"/>
      </w:pPr>
      <w:r>
        <w:rPr>
          <w:b/>
          <w:bCs/>
          <w:sz w:val="20"/>
          <w:szCs w:val="20"/>
        </w:rPr>
        <w:t xml:space="preserve">PEP:</w:t>
      </w:r>
      <w:r>
        <w:rPr>
          <w:sz w:val="20"/>
          <w:szCs w:val="20"/>
        </w:rPr>
        <w:t xml:space="preserve"> the downstream resource endpoints (Document Service, Financial Data API, Comments Service) enforce the decision. They validate the token's coarse scopes locally and call Sync-API for the fine-grained check. They never read the permissions database.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Key Decisions</w:t>
      </w:r>
    </w:p>
    <w:p>
      <w:pPr>
        <w:spacing w:after="30" w:before="30" w:line="240" w:lineRule="auto"/>
        <w:ind w:left="280" w:hanging="28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Tokens carry identity and coarse scopes, never fine-grained permissions. Coarse scopes say which API a caller may reach and change rarely. Fine-grained permissions change faster than any token TTL — embedded, they would survive until expiry, which breaks the seconds-level revocation requirement.</w:t>
      </w:r>
    </w:p>
    <w:p>
      <w:pPr>
        <w:spacing w:after="30" w:before="30" w:line="240" w:lineRule="auto"/>
        <w:ind w:left="280" w:hanging="28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On a cache miss with the database unreachable, the system fails closed. Users whose privilege tree is already cached keep working; users who are not cached are denied rather than granted access we cannot verify.</w:t>
      </w:r>
    </w:p>
    <w:p>
      <w:pPr>
        <w:spacing w:after="30" w:before="30" w:line="240" w:lineRule="auto"/>
        <w:ind w:left="280" w:hanging="280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 xml:space="preserve">The read path (Sync-API) is separated from the write path (Auth-API). Reads scale to tens of thousands per second; writes are rare.  Coupling them forces one scaling profile on both, and a write-path outage would take reads down with it.</w:t>
      </w:r>
    </w:p>
    <w:p>
      <w:pPr>
        <w:spacing w:after="30" w:before="30" w:line="240" w:lineRule="auto"/>
        <w:ind w:left="280" w:hanging="280"/>
      </w:pPr>
      <w:r>
        <w:rPr>
          <w:b/>
          <w:bCs/>
          <w:sz w:val="20"/>
          <w:szCs w:val="20"/>
        </w:rPr>
        <w:t xml:space="preserve">4. </w:t>
      </w:r>
      <w:r>
        <w:rPr>
          <w:sz w:val="20"/>
          <w:szCs w:val="20"/>
        </w:rPr>
        <w:t xml:space="preserve">Cache invalidation is pushed onto a bus, not driven by TTL, since small TTL will transfer load to DB.</w:t>
      </w:r>
    </w:p>
    <w:p>
      <w:pPr>
        <w:spacing w:after="30" w:before="30" w:line="240" w:lineRule="auto"/>
        <w:ind w:left="280" w:hanging="280"/>
      </w:pPr>
      <w:r>
        <w:rPr>
          <w:b/>
          <w:bCs/>
          <w:sz w:val="20"/>
          <w:szCs w:val="20"/>
        </w:rPr>
        <w:t xml:space="preserve">5. </w:t>
      </w:r>
      <w:r>
        <w:rPr>
          <w:sz w:val="20"/>
          <w:szCs w:val="20"/>
        </w:rPr>
        <w:t xml:space="preserve">Every decision records which of the three permission planes produced it. In an audit product a denial nobody can explain is indistinguishable from a bug, and the explanation has to come from the decision itself, not from a reconstruction after the fact.</w:t>
      </w:r>
    </w:p>
    <w:p>
      <w:pPr>
        <w:spacing w:after="30" w:before="30" w:line="240" w:lineRule="auto"/>
        <w:ind w:left="280" w:hanging="280"/>
      </w:pPr>
      <w:r>
        <w:rPr>
          <w:b/>
          <w:bCs/>
          <w:sz w:val="20"/>
          <w:szCs w:val="20"/>
        </w:rPr>
        <w:t xml:space="preserve">6. </w:t>
      </w:r>
      <w:r>
        <w:rPr>
          <w:sz w:val="20"/>
          <w:szCs w:val="20"/>
        </w:rPr>
        <w:t xml:space="preserve">On-behalf-of is delegation, not impersonation. The exchanged token is narrowed to what the delegating user can do, and the </w:t>
      </w:r>
      <w:r>
        <w:rPr>
          <w:rFonts w:ascii="Consolas" w:cs="Consolas" w:eastAsia="Consolas" w:hAnsi="Consolas"/>
          <w:sz w:val="18"/>
          <w:szCs w:val="18"/>
        </w:rPr>
        <w:t xml:space="preserve">act</w:t>
      </w:r>
      <w:r>
        <w:rPr>
          <w:sz w:val="20"/>
          <w:szCs w:val="20"/>
        </w:rPr>
        <w:t xml:space="preserve"> claim names the calling service: downstream authorizes against </w:t>
      </w:r>
      <w:r>
        <w:rPr>
          <w:rFonts w:ascii="Consolas" w:cs="Consolas" w:eastAsia="Consolas" w:hAnsi="Consolas"/>
          <w:sz w:val="18"/>
          <w:szCs w:val="18"/>
        </w:rPr>
        <w:t xml:space="preserve">sub</w:t>
      </w:r>
      <w:r>
        <w:rPr>
          <w:sz w:val="20"/>
          <w:szCs w:val="20"/>
        </w:rPr>
        <w:t xml:space="preserve">, and attributes against </w:t>
      </w:r>
      <w:r>
        <w:rPr>
          <w:rFonts w:ascii="Consolas" w:cs="Consolas" w:eastAsia="Consolas" w:hAnsi="Consolas"/>
          <w:sz w:val="18"/>
          <w:szCs w:val="18"/>
        </w:rPr>
        <w:t xml:space="preserve">act</w:t>
      </w:r>
      <w:r>
        <w:rPr>
          <w:sz w:val="20"/>
          <w:szCs w:val="20"/>
        </w:rPr>
        <w:t xml:space="preserve">.</w:t>
      </w:r>
    </w:p>
    <w:p>
      <w:pPr>
        <w:pStyle w:val="Heading1"/>
        <w:spacing w:after="80" w:before="200"/>
      </w:pPr>
      <w:r>
        <w:rPr>
          <w:b/>
          <w:bCs/>
          <w:sz w:val="26"/>
          <w:szCs w:val="26"/>
        </w:rPr>
        <w:t xml:space="preserve">S2: Implementation Plan</w:t>
      </w:r>
    </w:p>
    <w:p>
      <w:pPr>
        <w:spacing w:after="40" w:before="40" w:line="240" w:lineRule="auto"/>
        <w:jc w:val="left"/>
      </w:pPr>
      <w:r>
        <w:rPr>
          <w:sz w:val="20"/>
          <w:szCs w:val="20"/>
        </w:rPr>
        <w:t xml:space="preserve">Phases are ordered by the risk each one retires, not by the components they touch.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"/>
        <w:gridCol w:w="2389"/>
        <w:gridCol w:w="3153"/>
        <w:gridCol w:w="783"/>
        <w:gridCol w:w="4170"/>
      </w:tblGrid>
      <w:tr>
        <w:trPr>
          <w:tblHeader/>
        </w:trPr>
        <w:tc>
          <w:tcPr>
            <w:tcW w:type="dxa" w:w="3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b/>
                <w:bCs/>
                <w:sz w:val="17"/>
                <w:szCs w:val="17"/>
              </w:rPr>
              <w:t xml:space="preserve">Phase</w:t>
            </w:r>
          </w:p>
        </w:tc>
        <w:tc>
          <w:tcPr>
            <w:tcW w:type="dxa" w:w="238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b/>
                <w:bCs/>
                <w:sz w:val="17"/>
                <w:szCs w:val="17"/>
              </w:rPr>
              <w:t xml:space="preserve">Ships</w:t>
            </w:r>
          </w:p>
        </w:tc>
        <w:tc>
          <w:tcPr>
            <w:tcW w:type="dxa" w:w="315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b/>
                <w:bCs/>
                <w:sz w:val="17"/>
                <w:szCs w:val="17"/>
              </w:rPr>
              <w:t xml:space="preserve">Risk it retires</w:t>
            </w:r>
          </w:p>
        </w:tc>
        <w:tc>
          <w:tcPr>
            <w:tcW w:type="dxa" w:w="7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b/>
                <w:bCs/>
                <w:sz w:val="17"/>
                <w:szCs w:val="17"/>
              </w:rPr>
              <w:t xml:space="preserve">Exposure</w:t>
            </w:r>
          </w:p>
        </w:tc>
        <w:tc>
          <w:tcPr>
            <w:tcW w:type="dxa" w:w="41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b/>
                <w:bCs/>
                <w:sz w:val="17"/>
                <w:szCs w:val="17"/>
              </w:rPr>
              <w:t xml:space="preserve">Advance criterion</w:t>
            </w:r>
          </w:p>
        </w:tc>
      </w:tr>
      <w:tr>
        <w:trPr>
          <w:tblHeader w:val="false"/>
        </w:trPr>
        <w:tc>
          <w:tcPr>
            <w:tcW w:type="dxa" w:w="3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238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Decision resolver over the database: three permission planes, no cache</w:t>
            </w:r>
          </w:p>
        </w:tc>
        <w:tc>
          <w:tcPr>
            <w:tcW w:type="dxa" w:w="315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An explicit resource-level deny is masked by an inherited workspace allow</w:t>
            </w:r>
          </w:p>
        </w:tc>
        <w:tc>
          <w:tcPr>
            <w:tcW w:type="dxa" w:w="7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41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Every combination in the precedence matrix resolves as specified; explicit deny wins in all of them</w:t>
            </w:r>
          </w:p>
        </w:tc>
      </w:tr>
      <w:tr>
        <w:trPr>
          <w:tblHeader w:val="false"/>
        </w:trPr>
        <w:tc>
          <w:tcPr>
            <w:tcW w:type="dxa" w:w="3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238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Shadow evaluation against the path serving traffic today</w:t>
            </w:r>
          </w:p>
        </w:tc>
        <w:tc>
          <w:tcPr>
            <w:tcW w:type="dxa" w:w="315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The new decision disagrees with the one users get today</w:t>
            </w:r>
          </w:p>
        </w:tc>
        <w:tc>
          <w:tcPr>
            <w:tcW w:type="dxa" w:w="7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Read-only, no user effect</w:t>
            </w:r>
          </w:p>
        </w:tc>
        <w:tc>
          <w:tcPr>
            <w:tcW w:type="dxa" w:w="41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b/>
                <w:bCs/>
                <w:sz w:val="17"/>
                <w:szCs w:val="17"/>
              </w:rPr>
              <w:t xml:space="preserve">Zero divergence on denies.</w:t>
            </w:r>
            <w:r>
              <w:rPr>
                <w:sz w:val="17"/>
                <w:szCs w:val="17"/>
              </w:rPr>
              <w:t xml:space="preserve"> Allow-side divergence explained case by case, never averaged</w:t>
            </w:r>
          </w:p>
        </w:tc>
      </w:tr>
      <w:tr>
        <w:trPr>
          <w:tblHeader w:val="false"/>
        </w:trPr>
        <w:tc>
          <w:tcPr>
            <w:tcW w:type="dxa" w:w="3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238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Outbox on the write path, bus, cache invalidation consumer</w:t>
            </w:r>
          </w:p>
        </w:tc>
        <w:tc>
          <w:tcPr>
            <w:tcW w:type="dxa" w:w="315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A permission change is lost between the database and the read path</w:t>
            </w:r>
          </w:p>
        </w:tc>
        <w:tc>
          <w:tcPr>
            <w:tcW w:type="dxa" w:w="7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Still shadow</w:t>
            </w:r>
          </w:p>
        </w:tc>
        <w:tc>
          <w:tcPr>
            <w:tcW w:type="dxa" w:w="41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A revocation is visible at the decision endpoint inside the revocation-lag target</w:t>
            </w:r>
          </w:p>
        </w:tc>
      </w:tr>
      <w:tr>
        <w:trPr>
          <w:tblHeader w:val="false"/>
        </w:trPr>
        <w:tc>
          <w:tcPr>
            <w:tcW w:type="dxa" w:w="3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238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Redis on the read path, single-flight on miss</w:t>
            </w:r>
          </w:p>
        </w:tc>
        <w:tc>
          <w:tcPr>
            <w:tcW w:type="dxa" w:w="315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A cold start stampedes the database; the privilege tree does not fit at real tenant size</w:t>
            </w:r>
          </w:p>
        </w:tc>
        <w:tc>
          <w:tcPr>
            <w:tcW w:type="dxa" w:w="7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Still shadow</w:t>
            </w:r>
          </w:p>
        </w:tc>
        <w:tc>
          <w:tcPr>
            <w:tcW w:type="dxa" w:w="41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Hit ratio above target on the largest tenant's tree; a cold restart does not move database p99</w:t>
            </w:r>
          </w:p>
        </w:tc>
      </w:tr>
      <w:tr>
        <w:trPr>
          <w:tblHeader w:val="false"/>
        </w:trPr>
        <w:tc>
          <w:tcPr>
            <w:tcW w:type="dxa" w:w="3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238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Per-firm client configuration and one federated firm IdP</w:t>
            </w:r>
          </w:p>
        </w:tc>
        <w:tc>
          <w:tcPr>
            <w:tcW w:type="dxa" w:w="315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A firm's IdP authenticates a user belonging to another firm</w:t>
            </w:r>
          </w:p>
        </w:tc>
        <w:tc>
          <w:tcPr>
            <w:tcW w:type="dxa" w:w="7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Flag, opt-in firms</w:t>
            </w:r>
          </w:p>
        </w:tc>
        <w:tc>
          <w:tcPr>
            <w:tcW w:type="dxa" w:w="41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An assertion issued for firm B is rejected at firm A's endpoint</w:t>
            </w:r>
          </w:p>
        </w:tc>
      </w:tr>
      <w:tr>
        <w:trPr>
          <w:tblHeader w:val="false"/>
        </w:trPr>
        <w:tc>
          <w:tcPr>
            <w:tcW w:type="dxa" w:w="3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238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Token exchange with narrowing and the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act</w:t>
            </w:r>
            <w:r>
              <w:rPr>
                <w:sz w:val="17"/>
                <w:szCs w:val="17"/>
              </w:rPr>
              <w:t xml:space="preserve"> claim</w:t>
            </w:r>
          </w:p>
        </w:tc>
        <w:tc>
          <w:tcPr>
            <w:tcW w:type="dxa" w:w="315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A downstream call is not attributable to the delegating user</w:t>
            </w:r>
          </w:p>
        </w:tc>
        <w:tc>
          <w:tcPr>
            <w:tcW w:type="dxa" w:w="7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Flag, internal callers</w:t>
            </w:r>
          </w:p>
        </w:tc>
        <w:tc>
          <w:tcPr>
            <w:tcW w:type="dxa" w:w="41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sub</w:t>
            </w:r>
            <w:r>
              <w:rPr>
                <w:sz w:val="17"/>
                <w:szCs w:val="17"/>
              </w:rPr>
              <w:t xml:space="preserve"> and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act</w:t>
            </w:r>
            <w:r>
              <w:rPr>
                <w:sz w:val="17"/>
                <w:szCs w:val="17"/>
              </w:rPr>
              <w:t xml:space="preserve"> reach the decision log on every hop; no output token is wider than its input</w:t>
            </w:r>
          </w:p>
        </w:tc>
      </w:tr>
      <w:tr>
        <w:trPr>
          <w:tblHeader w:val="false"/>
        </w:trPr>
        <w:tc>
          <w:tcPr>
            <w:tcW w:type="dxa" w:w="3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238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Canary, cutover, legacy decommission</w:t>
            </w:r>
          </w:p>
        </w:tc>
        <w:tc>
          <w:tcPr>
            <w:tcW w:type="dxa" w:w="315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Real traffic behaves unlike shadow traffic; two authorization paths drift apart</w:t>
            </w:r>
          </w:p>
        </w:tc>
        <w:tc>
          <w:tcPr>
            <w:tcW w:type="dxa" w:w="7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5% → 100% → legacy off</w:t>
            </w:r>
          </w:p>
        </w:tc>
        <w:tc>
          <w:tcPr>
            <w:tcW w:type="dxa" w:w="41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Denies match the legacy path across the canary window; the legacy path carries no traffic for one week before removal</w:t>
            </w:r>
          </w:p>
        </w:tc>
      </w:tr>
    </w:tbl>
    <w:p>
      <w:pPr>
        <w:spacing w:after="60"/>
      </w:pPr>
      <w:r>
        <w:rPr>
          <w:sz w:val="8"/>
          <w:szCs w:val="8"/>
        </w:rPr>
        <w:t xml:space="preserve"/>
      </w:r>
    </w:p>
    <w:p>
      <w:pPr>
        <w:spacing w:after="40" w:before="40" w:line="240" w:lineRule="auto"/>
        <w:jc w:val="left"/>
      </w:pPr>
      <w:r>
        <w:rPr>
          <w:b/>
          <w:bCs/>
          <w:sz w:val="20"/>
          <w:szCs w:val="20"/>
        </w:rPr>
        <w:t xml:space="preserve">Deferred:</w:t>
      </w:r>
      <w:r>
        <w:rPr>
          <w:sz w:val="20"/>
          <w:szCs w:val="20"/>
        </w:rPr>
        <w:t xml:space="preserve"> onboarding firms beyond the first federated IdP — the risk is retired once one firm works end to end, and the rest is configuration rather than engineering. Self-service editing of per-firm client configuration is also deferred: it changes who is allowed to change authorization, which needs a review of its own.</w:t>
      </w:r>
    </w:p>
    <w:p>
      <w:pPr>
        <w:pStyle w:val="Heading1"/>
        <w:spacing w:after="80" w:before="200"/>
      </w:pPr>
      <w:r>
        <w:rPr>
          <w:b/>
          <w:bCs/>
          <w:sz w:val="26"/>
          <w:szCs w:val="26"/>
        </w:rPr>
        <w:t xml:space="preserve">S3: Testing Strategy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71"/>
        <w:gridCol w:w="5829"/>
      </w:tblGrid>
      <w:tr>
        <w:trPr>
          <w:tblHeader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b/>
                <w:bCs/>
                <w:sz w:val="17"/>
                <w:szCs w:val="17"/>
              </w:rPr>
              <w:t xml:space="preserve">Requirement</w:t>
            </w:r>
          </w:p>
        </w:tc>
        <w:tc>
          <w:tcPr>
            <w:tcW w:type="dxa" w:w="34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b/>
                <w:bCs/>
                <w:sz w:val="17"/>
                <w:szCs w:val="17"/>
              </w:rPr>
              <w:t xml:space="preserve">Failure it would represent</w:t>
            </w:r>
          </w:p>
        </w:tc>
        <w:tc>
          <w:tcPr>
            <w:tcW w:type="dxa" w:w="582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b/>
                <w:bCs/>
                <w:sz w:val="17"/>
                <w:szCs w:val="17"/>
              </w:rPr>
              <w:t xml:space="preserve">How we detect it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b/>
                <w:bCs/>
                <w:sz w:val="17"/>
                <w:szCs w:val="17"/>
              </w:rPr>
              <w:t xml:space="preserve">Login</w:t>
            </w:r>
            <w:r>
              <w:rPr>
                <w:sz w:val="17"/>
                <w:szCs w:val="17"/>
              </w:rPr>
              <w:t xml:space="preserve"> — per-firm federation</w:t>
            </w:r>
          </w:p>
        </w:tc>
        <w:tc>
          <w:tcPr>
            <w:tcW w:type="dxa" w:w="34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A firm's federated IdP authenticates a user who belongs to a different firm</w:t>
            </w:r>
          </w:p>
        </w:tc>
        <w:tc>
          <w:tcPr>
            <w:tcW w:type="dxa" w:w="582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b/>
                <w:bCs/>
                <w:sz w:val="17"/>
                <w:szCs w:val="17"/>
              </w:rPr>
              <w:t xml:space="preserve">Integration test</w:t>
            </w:r>
            <w:r>
              <w:rPr>
                <w:sz w:val="17"/>
                <w:szCs w:val="17"/>
              </w:rPr>
              <w:t xml:space="preserve"> over WebApplicationFactory, one stubbed IdP per firm: an assertion issued for firm B is rejected at firm A's endpoint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b/>
                <w:bCs/>
                <w:sz w:val="17"/>
                <w:szCs w:val="17"/>
              </w:rPr>
              <w:t xml:space="preserve">Login</w:t>
            </w:r>
            <w:r>
              <w:rPr>
                <w:sz w:val="17"/>
                <w:szCs w:val="17"/>
              </w:rPr>
              <w:t xml:space="preserve"> — two user populations</w:t>
            </w:r>
          </w:p>
        </w:tc>
        <w:tc>
          <w:tcPr>
            <w:tcW w:type="dxa" w:w="34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A user is routed to the wrong authentication path: an invited external user is sent to a firm's federated IdP, or firm staff is handled as a guest</w:t>
            </w:r>
          </w:p>
        </w:tc>
        <w:tc>
          <w:tcPr>
            <w:tcW w:type="dxa" w:w="582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b/>
                <w:bCs/>
                <w:sz w:val="17"/>
                <w:szCs w:val="17"/>
              </w:rPr>
              <w:t xml:space="preserve">Integration test</w:t>
            </w:r>
            <w:r>
              <w:rPr>
                <w:sz w:val="17"/>
                <w:szCs w:val="17"/>
              </w:rPr>
              <w:t xml:space="preserve"> over WebApplicationFactory with stubbed IdPs, data-driven over email domain → expected authentication path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b/>
                <w:bCs/>
                <w:sz w:val="17"/>
                <w:szCs w:val="17"/>
              </w:rPr>
              <w:t xml:space="preserve">Permission checking</w:t>
            </w:r>
            <w:r>
              <w:rPr>
                <w:sz w:val="17"/>
                <w:szCs w:val="17"/>
              </w:rPr>
              <w:t xml:space="preserve"> — three permission planes</w:t>
            </w:r>
          </w:p>
        </w:tc>
        <w:tc>
          <w:tcPr>
            <w:tcW w:type="dxa" w:w="34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An explicit resource-level deny is masked by an inherited workspace allow</w:t>
            </w:r>
          </w:p>
        </w:tc>
        <w:tc>
          <w:tcPr>
            <w:tcW w:type="dxa" w:w="582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b/>
                <w:bCs/>
                <w:sz w:val="17"/>
                <w:szCs w:val="17"/>
              </w:rPr>
              <w:t xml:space="preserve">Unit test</w:t>
            </w:r>
            <w:r>
              <w:rPr>
                <w:sz w:val="17"/>
                <w:szCs w:val="17"/>
              </w:rPr>
              <w:t xml:space="preserve"> over the precedence resolver — TUnit, table-driven across every (firm policy × workspace role × resource override) combination; explicit deny must win in all of them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b/>
                <w:bCs/>
                <w:sz w:val="17"/>
                <w:szCs w:val="17"/>
              </w:rPr>
              <w:t xml:space="preserve">Permission checking</w:t>
            </w:r>
            <w:r>
              <w:rPr>
                <w:sz w:val="17"/>
                <w:szCs w:val="17"/>
              </w:rPr>
              <w:t xml:space="preserve"> — revocation on long-lived sessions</w:t>
            </w:r>
          </w:p>
        </w:tc>
        <w:tc>
          <w:tcPr>
            <w:tcW w:type="dxa" w:w="34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Access survives past the target after a role is removed, or an open session has to re-authenticate before it loses access</w:t>
            </w:r>
          </w:p>
        </w:tc>
        <w:tc>
          <w:tcPr>
            <w:tcW w:type="dxa" w:w="582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b/>
                <w:bCs/>
                <w:sz w:val="17"/>
                <w:szCs w:val="17"/>
              </w:rPr>
              <w:t xml:space="preserve">Integration test</w:t>
            </w:r>
            <w:r>
              <w:rPr>
                <w:sz w:val="17"/>
                <w:szCs w:val="17"/>
              </w:rPr>
              <w:t xml:space="preserve"> over TestContainers (database, Redis, bus): revoke while a session is open, assert the next check denies.</w:t>
            </w:r>
          </w:p>
          <w:p>
            <w:pPr>
              <w:spacing w:after="20" w:before="20" w:line="220" w:lineRule="auto"/>
            </w:pPr>
            <w:r>
              <w:rPr>
                <w:b/>
                <w:bCs/>
                <w:sz w:val="17"/>
                <w:szCs w:val="17"/>
              </w:rPr>
              <w:t xml:space="preserve">Stress test</w:t>
            </w:r>
            <w:r>
              <w:rPr>
                <w:sz w:val="17"/>
                <w:szCs w:val="17"/>
              </w:rPr>
              <w:t xml:space="preserve"> over NBomber: the same revocation at the target check rate, measuring time to first deny against the p99 target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b/>
                <w:bCs/>
                <w:sz w:val="17"/>
                <w:szCs w:val="17"/>
              </w:rPr>
              <w:t xml:space="preserve">On-behalf-of</w:t>
            </w:r>
            <w:r>
              <w:rPr>
                <w:sz w:val="17"/>
                <w:szCs w:val="17"/>
              </w:rPr>
              <w:t xml:space="preserve"> — confused deputy</w:t>
            </w:r>
          </w:p>
        </w:tc>
        <w:tc>
          <w:tcPr>
            <w:tcW w:type="dxa" w:w="34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Downstream authorizes against the calling service instead of the delegating user</w:t>
            </w:r>
          </w:p>
        </w:tc>
        <w:tc>
          <w:tcPr>
            <w:tcW w:type="dxa" w:w="582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b/>
                <w:bCs/>
                <w:sz w:val="17"/>
                <w:szCs w:val="17"/>
              </w:rPr>
              <w:t xml:space="preserve">Integration test</w:t>
            </w:r>
            <w:r>
              <w:rPr>
                <w:sz w:val="17"/>
                <w:szCs w:val="17"/>
              </w:rPr>
              <w:t xml:space="preserve"> over WebApplicationFactory: an actor token carrying wider rights than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sub</w:t>
            </w:r>
            <w:r>
              <w:rPr>
                <w:sz w:val="17"/>
                <w:szCs w:val="17"/>
              </w:rPr>
              <w:t xml:space="preserve">; assert the call is denied and that the decision followed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sub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b/>
                <w:bCs/>
                <w:sz w:val="17"/>
                <w:szCs w:val="17"/>
              </w:rPr>
              <w:t xml:space="preserve">On-behalf-of</w:t>
            </w:r>
            <w:r>
              <w:rPr>
                <w:sz w:val="17"/>
                <w:szCs w:val="17"/>
              </w:rPr>
              <w:t xml:space="preserve"> — attribution for audit</w:t>
            </w:r>
          </w:p>
        </w:tc>
        <w:tc>
          <w:tcPr>
            <w:tcW w:type="dxa" w:w="34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The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act</w:t>
            </w:r>
            <w:r>
              <w:rPr>
                <w:sz w:val="17"/>
                <w:szCs w:val="17"/>
              </w:rPr>
              <w:t xml:space="preserve"> claim is dropped on a hop and the audit trail loses the actor</w:t>
            </w:r>
          </w:p>
        </w:tc>
        <w:tc>
          <w:tcPr>
            <w:tcW w:type="dxa" w:w="582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b/>
                <w:bCs/>
                <w:sz w:val="17"/>
                <w:szCs w:val="17"/>
              </w:rPr>
              <w:t xml:space="preserve">Contract test</w:t>
            </w:r>
            <w:r>
              <w:rPr>
                <w:sz w:val="17"/>
                <w:szCs w:val="17"/>
              </w:rPr>
              <w:t xml:space="preserve"> at each downstream boundary: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sub</w:t>
            </w:r>
            <w:r>
              <w:rPr>
                <w:sz w:val="17"/>
                <w:szCs w:val="17"/>
              </w:rPr>
              <w:t xml:space="preserve"> and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act</w:t>
            </w:r>
            <w:r>
              <w:rPr>
                <w:sz w:val="17"/>
                <w:szCs w:val="17"/>
              </w:rPr>
              <w:t xml:space="preserve"> must both survive the exchange and reach the decision log</w:t>
            </w:r>
          </w:p>
        </w:tc>
      </w:tr>
    </w:tbl>
    <w:p>
      <w:pPr>
        <w:spacing w:after="60"/>
      </w:pPr>
      <w:r>
        <w:rPr>
          <w:sz w:val="8"/>
          <w:szCs w:val="8"/>
        </w:rPr>
        <w:t xml:space="preserve"/>
      </w:r>
    </w:p>
    <w:p>
      <w:pPr>
        <w:spacing w:after="40" w:before="40" w:line="240" w:lineRule="auto"/>
        <w:jc w:val="left"/>
      </w:pPr>
      <w:r>
        <w:rPr>
          <w:b/>
          <w:bCs/>
          <w:sz w:val="20"/>
          <w:szCs w:val="20"/>
        </w:rPr>
        <w:t xml:space="preserve">Deferred:</w:t>
      </w:r>
      <w:r>
        <w:rPr>
          <w:sz w:val="20"/>
          <w:szCs w:val="20"/>
        </w:rPr>
        <w:t xml:space="preserve"> PKCE and signature validation come from the framework and the central IdP — we assert configuration, not the protocol; re-testing them buys coverage, not confidence. Cache-to-database reconciliation is exercised by the reconciliation job's own suite, not by the authorization strategy.</w:t>
      </w:r>
    </w:p>
    <w:p>
      <w:pPr>
        <w:pStyle w:val="Heading1"/>
        <w:spacing w:after="80" w:before="200"/>
      </w:pPr>
      <w:r>
        <w:rPr>
          <w:b/>
          <w:bCs/>
          <w:sz w:val="26"/>
          <w:szCs w:val="26"/>
        </w:rPr>
        <w:t xml:space="preserve">S4: Evaluation &amp; Observability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5"/>
        <w:gridCol w:w="739"/>
        <w:gridCol w:w="3803"/>
        <w:gridCol w:w="2053"/>
      </w:tblGrid>
      <w:tr>
        <w:trPr>
          <w:tblHeader/>
        </w:trPr>
        <w:tc>
          <w:tcPr>
            <w:tcW w:type="dxa" w:w="42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b/>
                <w:bCs/>
                <w:sz w:val="17"/>
                <w:szCs w:val="17"/>
              </w:rPr>
              <w:t xml:space="preserve">Question we need answered</w:t>
            </w:r>
          </w:p>
        </w:tc>
        <w:tc>
          <w:tcPr>
            <w:tcW w:type="dxa" w:w="73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b/>
                <w:bCs/>
                <w:sz w:val="17"/>
                <w:szCs w:val="17"/>
              </w:rPr>
              <w:t xml:space="preserve">Answered by</w:t>
            </w:r>
          </w:p>
        </w:tc>
        <w:tc>
          <w:tcPr>
            <w:tcW w:type="dxa" w:w="380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b/>
                <w:bCs/>
                <w:sz w:val="17"/>
                <w:szCs w:val="17"/>
              </w:rPr>
              <w:t xml:space="preserve">Signal</w:t>
            </w:r>
          </w:p>
        </w:tc>
        <w:tc>
          <w:tcPr>
            <w:tcW w:type="dxa" w:w="205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b/>
                <w:bCs/>
                <w:sz w:val="17"/>
                <w:szCs w:val="17"/>
              </w:rPr>
              <w:t xml:space="preserve">Target or trigger</w:t>
            </w:r>
          </w:p>
        </w:tc>
      </w:tr>
      <w:tr>
        <w:trPr>
          <w:tblHeader w:val="false"/>
        </w:trPr>
        <w:tc>
          <w:tcPr>
            <w:tcW w:type="dxa" w:w="42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Is the decision path fast enough to sit inside the request?</w:t>
            </w:r>
          </w:p>
        </w:tc>
        <w:tc>
          <w:tcPr>
            <w:tcW w:type="dxa" w:w="73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Metric</w:t>
            </w:r>
          </w:p>
        </w:tc>
        <w:tc>
          <w:tcPr>
            <w:tcW w:type="dxa" w:w="380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Decision latency at Sync-API, excluding network</w:t>
            </w:r>
          </w:p>
        </w:tc>
        <w:tc>
          <w:tcPr>
            <w:tcW w:type="dxa" w:w="205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p99 &lt; 10 ms</w:t>
            </w:r>
          </w:p>
        </w:tc>
      </w:tr>
      <w:tr>
        <w:trPr>
          <w:tblHeader w:val="false"/>
        </w:trPr>
        <w:tc>
          <w:tcPr>
            <w:tcW w:type="dxa" w:w="42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Did a revocation actually reach the read path in time?</w:t>
            </w:r>
          </w:p>
        </w:tc>
        <w:tc>
          <w:tcPr>
            <w:tcW w:type="dxa" w:w="73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Metric</w:t>
            </w:r>
          </w:p>
        </w:tc>
        <w:tc>
          <w:tcPr>
            <w:tcW w:type="dxa" w:w="380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Database commit to first deny at the decision endpoint</w:t>
            </w:r>
          </w:p>
        </w:tc>
        <w:tc>
          <w:tcPr>
            <w:tcW w:type="dxa" w:w="205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p99 &lt; 5 s</w:t>
            </w:r>
          </w:p>
        </w:tc>
      </w:tr>
      <w:tr>
        <w:trPr>
          <w:tblHeader w:val="false"/>
        </w:trPr>
        <w:tc>
          <w:tcPr>
            <w:tcW w:type="dxa" w:w="42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Is the cache carrying the load, or is the database?</w:t>
            </w:r>
          </w:p>
        </w:tc>
        <w:tc>
          <w:tcPr>
            <w:tcW w:type="dxa" w:w="73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Metric</w:t>
            </w:r>
          </w:p>
        </w:tc>
        <w:tc>
          <w:tcPr>
            <w:tcW w:type="dxa" w:w="380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Hit ratio on the read path</w:t>
            </w:r>
          </w:p>
        </w:tc>
        <w:tc>
          <w:tcPr>
            <w:tcW w:type="dxa" w:w="205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&gt; 99%</w:t>
            </w:r>
          </w:p>
        </w:tc>
      </w:tr>
      <w:tr>
        <w:trPr>
          <w:tblHeader w:val="false"/>
        </w:trPr>
        <w:tc>
          <w:tcPr>
            <w:tcW w:type="dxa" w:w="42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Why was this specific request denied?</w:t>
            </w:r>
          </w:p>
        </w:tc>
        <w:tc>
          <w:tcPr>
            <w:tcW w:type="dxa" w:w="73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Log field</w:t>
            </w:r>
          </w:p>
        </w:tc>
        <w:tc>
          <w:tcPr>
            <w:tcW w:type="dxa" w:w="380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deciding_rule</w:t>
            </w:r>
            <w:r>
              <w:rPr>
                <w:sz w:val="17"/>
                <w:szCs w:val="17"/>
              </w:rPr>
              <w:t xml:space="preserve"> — which of the three permission planes answered</w:t>
            </w:r>
          </w:p>
        </w:tc>
        <w:tc>
          <w:tcPr>
            <w:tcW w:type="dxa" w:w="205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Present on 100% of decisions</w:t>
            </w:r>
          </w:p>
        </w:tc>
      </w:tr>
      <w:tr>
        <w:trPr>
          <w:tblHeader w:val="false"/>
        </w:trPr>
        <w:tc>
          <w:tcPr>
            <w:tcW w:type="dxa" w:w="42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Who acted on whose behalf?</w:t>
            </w:r>
          </w:p>
        </w:tc>
        <w:tc>
          <w:tcPr>
            <w:tcW w:type="dxa" w:w="73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Log field</w:t>
            </w:r>
          </w:p>
        </w:tc>
        <w:tc>
          <w:tcPr>
            <w:tcW w:type="dxa" w:w="380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sub</w:t>
            </w:r>
            <w:r>
              <w:rPr>
                <w:sz w:val="17"/>
                <w:szCs w:val="17"/>
              </w:rPr>
              <w:t xml:space="preserve"> and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act</w:t>
            </w:r>
            <w:r>
              <w:rPr>
                <w:sz w:val="17"/>
                <w:szCs w:val="17"/>
              </w:rPr>
              <w:t xml:space="preserve"> on the decision line</w:t>
            </w:r>
          </w:p>
        </w:tc>
        <w:tc>
          <w:tcPr>
            <w:tcW w:type="dxa" w:w="205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Both present on every delegated call</w:t>
            </w:r>
          </w:p>
        </w:tc>
      </w:tr>
      <w:tr>
        <w:trPr>
          <w:tblHeader w:val="false"/>
        </w:trPr>
        <w:tc>
          <w:tcPr>
            <w:tcW w:type="dxa" w:w="42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Is a service dropping attribution?</w:t>
            </w:r>
          </w:p>
        </w:tc>
        <w:tc>
          <w:tcPr>
            <w:tcW w:type="dxa" w:w="73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Alert</w:t>
            </w:r>
          </w:p>
        </w:tc>
        <w:tc>
          <w:tcPr>
            <w:tcW w:type="dxa" w:w="380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Delegated calls reaching the log without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act</w:t>
            </w:r>
          </w:p>
        </w:tc>
        <w:tc>
          <w:tcPr>
            <w:tcW w:type="dxa" w:w="205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Any occurrence → page</w:t>
            </w:r>
          </w:p>
        </w:tc>
      </w:tr>
      <w:tr>
        <w:trPr>
          <w:tblHeader w:val="false"/>
        </w:trPr>
        <w:tc>
          <w:tcPr>
            <w:tcW w:type="dxa" w:w="42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Is the database about to be stampeded?</w:t>
            </w:r>
          </w:p>
        </w:tc>
        <w:tc>
          <w:tcPr>
            <w:tcW w:type="dxa" w:w="73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Alert</w:t>
            </w:r>
          </w:p>
        </w:tc>
        <w:tc>
          <w:tcPr>
            <w:tcW w:type="dxa" w:w="380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Cache hit ratio</w:t>
            </w:r>
          </w:p>
        </w:tc>
        <w:tc>
          <w:tcPr>
            <w:tcW w:type="dxa" w:w="205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Below 95% for 10 minutes → warn</w:t>
            </w:r>
          </w:p>
        </w:tc>
      </w:tr>
    </w:tbl>
    <w:p>
      <w:pPr>
        <w:spacing w:after="60"/>
      </w:pPr>
      <w:r>
        <w:rPr>
          <w:sz w:val="8"/>
          <w:szCs w:val="8"/>
        </w:rPr>
        <w:t xml:space="preserve"/>
      </w:r>
    </w:p>
    <w:p>
      <w:pPr>
        <w:spacing w:after="40" w:before="40" w:line="240" w:lineRule="auto"/>
        <w:jc w:val="left"/>
      </w:pPr>
      <w:r>
        <w:rPr>
          <w:sz w:val="20"/>
          <w:szCs w:val="20"/>
        </w:rPr>
        <w:t xml:space="preserve">Every decision emits one structured line:</w:t>
      </w:r>
    </w:p>
    <w:p>
      <w:pPr>
        <w:spacing w:after="40" w:before="40" w:line="240" w:lineRule="auto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decision_id · sub · act · resource · action · decision · deciding_rule · source (cache|database) · latency_ms</w:t>
      </w:r>
    </w:p>
    <w:p>
      <w:pPr>
        <w:pStyle w:val="Heading1"/>
        <w:spacing w:after="80" w:before="200"/>
      </w:pPr>
      <w:r>
        <w:rPr>
          <w:b/>
          <w:bCs/>
          <w:sz w:val="26"/>
          <w:szCs w:val="26"/>
        </w:rPr>
        <w:t xml:space="preserve">S5: Failure Modes and Tradeoffs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Failure Modes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0"/>
        <w:gridCol w:w="1859"/>
        <w:gridCol w:w="1507"/>
        <w:gridCol w:w="2970"/>
        <w:gridCol w:w="3284"/>
      </w:tblGrid>
      <w:tr>
        <w:trPr>
          <w:tblHeader/>
        </w:trPr>
        <w:tc>
          <w:tcPr>
            <w:tcW w:type="dxa" w:w="11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b/>
                <w:bCs/>
                <w:sz w:val="17"/>
                <w:szCs w:val="17"/>
              </w:rPr>
              <w:t xml:space="preserve">Failure</w:t>
            </w:r>
          </w:p>
        </w:tc>
        <w:tc>
          <w:tcPr>
            <w:tcW w:type="dxa" w:w="185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b/>
                <w:bCs/>
                <w:sz w:val="17"/>
                <w:szCs w:val="17"/>
              </w:rPr>
              <w:t xml:space="preserve">Blast radius</w:t>
            </w:r>
          </w:p>
        </w:tc>
        <w:tc>
          <w:tcPr>
            <w:tcW w:type="dxa" w:w="150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b/>
                <w:bCs/>
                <w:sz w:val="17"/>
                <w:szCs w:val="17"/>
              </w:rPr>
              <w:t xml:space="preserve">Detection</w:t>
            </w:r>
          </w:p>
        </w:tc>
        <w:tc>
          <w:tcPr>
            <w:tcW w:type="dxa" w:w="29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b/>
                <w:bCs/>
                <w:sz w:val="17"/>
                <w:szCs w:val="17"/>
              </w:rPr>
              <w:t xml:space="preserve">Mitigation</w:t>
            </w:r>
          </w:p>
        </w:tc>
        <w:tc>
          <w:tcPr>
            <w:tcW w:type="dxa" w:w="32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b/>
                <w:bCs/>
                <w:sz w:val="17"/>
                <w:szCs w:val="17"/>
              </w:rPr>
              <w:t xml:space="preserve">Residual risk</w:t>
            </w:r>
          </w:p>
        </w:tc>
      </w:tr>
      <w:tr>
        <w:trPr>
          <w:tblHeader w:val="false"/>
        </w:trPr>
        <w:tc>
          <w:tcPr>
            <w:tcW w:type="dxa" w:w="11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Source of truth unreachable on a cache miss</w:t>
            </w:r>
          </w:p>
        </w:tc>
        <w:tc>
          <w:tcPr>
            <w:tcW w:type="dxa" w:w="185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Users not already in the cache, across all firms</w:t>
            </w:r>
          </w:p>
        </w:tc>
        <w:tc>
          <w:tcPr>
            <w:tcW w:type="dxa" w:w="150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Query failure rate; deny rate on cache miss at the decision endpoint</w:t>
            </w:r>
          </w:p>
        </w:tc>
        <w:tc>
          <w:tcPr>
            <w:tcW w:type="dxa" w:w="29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Strict timeouts to free connections; single-flight so one miss does not become thousands of queries; fail closed</w:t>
            </w:r>
          </w:p>
        </w:tc>
        <w:tc>
          <w:tcPr>
            <w:tcW w:type="dxa" w:w="32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Uncached users are denied for the duration. </w:t>
            </w:r>
            <w:r>
              <w:rPr>
                <w:b/>
                <w:bCs/>
                <w:sz w:val="17"/>
                <w:szCs w:val="17"/>
              </w:rPr>
              <w:t xml:space="preserve">By choice</w:t>
            </w:r>
            <w:r>
              <w:rPr>
                <w:sz w:val="17"/>
                <w:szCs w:val="17"/>
              </w:rPr>
              <w:t xml:space="preserve"> — the alternative is granting access we cannot verify</w:t>
            </w:r>
          </w:p>
        </w:tc>
      </w:tr>
      <w:tr>
        <w:trPr>
          <w:tblHeader w:val="false"/>
        </w:trPr>
        <w:tc>
          <w:tcPr>
            <w:tcW w:type="dxa" w:w="11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Write path (Auth-API) unavailable</w:t>
            </w:r>
          </w:p>
        </w:tc>
        <w:tc>
          <w:tcPr>
            <w:tcW w:type="dxa" w:w="185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No new logins, no token exchange, no permission change recorded. Existing sessions and all checks keep working, because the read path does not depend on it</w:t>
            </w:r>
          </w:p>
        </w:tc>
        <w:tc>
          <w:tcPr>
            <w:tcW w:type="dxa" w:w="150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Auth error rate; outbox backlog growth</w:t>
            </w:r>
          </w:p>
        </w:tc>
        <w:tc>
          <w:tcPr>
            <w:tcW w:type="dxa" w:w="29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Retry through the outbox; surface write failures to the caller instead of reporting success</w:t>
            </w:r>
          </w:p>
        </w:tc>
        <w:tc>
          <w:tcPr>
            <w:tcW w:type="dxa" w:w="32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A revocation the operator believes landed has not. No new access is granted meanwhile</w:t>
            </w:r>
          </w:p>
        </w:tc>
      </w:tr>
      <w:tr>
        <w:trPr>
          <w:tblHeader w:val="false"/>
        </w:trPr>
        <w:tc>
          <w:tcPr>
            <w:tcW w:type="dxa" w:w="11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Cache unavailable</w:t>
            </w:r>
          </w:p>
        </w:tc>
        <w:tc>
          <w:tcPr>
            <w:tcW w:type="dxa" w:w="185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Every check falls through to the database</w:t>
            </w:r>
          </w:p>
        </w:tc>
        <w:tc>
          <w:tcPr>
            <w:tcW w:type="dxa" w:w="150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Hit ratio below 95%</w:t>
            </w:r>
          </w:p>
        </w:tc>
        <w:tc>
          <w:tcPr>
            <w:tcW w:type="dxa" w:w="29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Single-flight on miss; decisions stay correct, only slower</w:t>
            </w:r>
          </w:p>
        </w:tc>
        <w:tc>
          <w:tcPr>
            <w:tcW w:type="dxa" w:w="32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Decision latency leaves its SLO while the cache is cold. </w:t>
            </w:r>
            <w:r>
              <w:rPr>
                <w:b/>
                <w:bCs/>
                <w:sz w:val="17"/>
                <w:szCs w:val="17"/>
              </w:rPr>
              <w:t xml:space="preserve">Correctness is preserved; the p99 target is not</w:t>
            </w:r>
          </w:p>
        </w:tc>
      </w:tr>
      <w:tr>
        <w:trPr>
          <w:tblHeader w:val="false"/>
        </w:trPr>
        <w:tc>
          <w:tcPr>
            <w:tcW w:type="dxa" w:w="11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Invalidation never reaches the cache</w:t>
            </w:r>
          </w:p>
        </w:tc>
        <w:tc>
          <w:tcPr>
            <w:tcW w:type="dxa" w:w="185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Users whose permissions changed inside the window</w:t>
            </w:r>
          </w:p>
        </w:tc>
        <w:tc>
          <w:tcPr>
            <w:tcW w:type="dxa" w:w="150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Dead-letter queue growth; divergence count from the reconciliation job</w:t>
            </w:r>
          </w:p>
        </w:tc>
        <w:tc>
          <w:tcPr>
            <w:tcW w:type="dxa" w:w="29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Outbox, so the event is never lost separately from the write; on a failed cache write, delete the key rather than leave it stale; scheduled reconciliation</w:t>
            </w:r>
          </w:p>
        </w:tc>
        <w:tc>
          <w:tcPr>
            <w:tcW w:type="dxa" w:w="32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A stale privilege window until reconciliation runs. </w:t>
            </w:r>
            <w:r>
              <w:rPr>
                <w:b/>
                <w:bCs/>
                <w:sz w:val="17"/>
                <w:szCs w:val="17"/>
              </w:rPr>
              <w:t xml:space="preserve">Revocation lag leaves its SLO silently</w:t>
            </w:r>
            <w:r>
              <w:rPr>
                <w:sz w:val="17"/>
                <w:szCs w:val="17"/>
              </w:rPr>
              <w:t xml:space="preserve"> — the system does not know it is stale</w:t>
            </w:r>
          </w:p>
        </w:tc>
      </w:tr>
      <w:tr>
        <w:trPr>
          <w:tblHeader w:val="false"/>
        </w:trPr>
        <w:tc>
          <w:tcPr>
            <w:tcW w:type="dxa" w:w="11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Firm federated IdP unreachable or certificate expired</w:t>
            </w:r>
          </w:p>
        </w:tc>
        <w:tc>
          <w:tcPr>
            <w:tcW w:type="dxa" w:w="185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Every user of that firm; no other firm affected</w:t>
            </w:r>
          </w:p>
        </w:tc>
        <w:tc>
          <w:tcPr>
            <w:tcW w:type="dxa" w:w="150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Auth failure rate per firm IdP</w:t>
            </w:r>
          </w:p>
        </w:tc>
        <w:tc>
          <w:tcPr>
            <w:tcW w:type="dxa" w:w="29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Per-firm circuit breaker with an explicit error; existing sessions continue until token expiry</w:t>
            </w:r>
          </w:p>
        </w:tc>
        <w:tc>
          <w:tcPr>
            <w:tcW w:type="dxa" w:w="32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No login for that firm until their IdP recovers. </w:t>
            </w:r>
            <w:r>
              <w:rPr>
                <w:b/>
                <w:bCs/>
                <w:sz w:val="17"/>
                <w:szCs w:val="17"/>
              </w:rPr>
              <w:t xml:space="preserve">By choice</w:t>
            </w:r>
            <w:r>
              <w:rPr>
                <w:sz w:val="17"/>
                <w:szCs w:val="17"/>
              </w:rPr>
              <w:t xml:space="preserve"> — no local-credential fallback, that would be a bypass</w:t>
            </w:r>
          </w:p>
        </w:tc>
      </w:tr>
      <w:tr>
        <w:trPr>
          <w:tblHeader w:val="false"/>
        </w:trPr>
        <w:tc>
          <w:tcPr>
            <w:tcW w:type="dxa" w:w="11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OBO token used beyond the delegating user's scope</w:t>
            </w:r>
          </w:p>
        </w:tc>
        <w:tc>
          <w:tcPr>
            <w:tcW w:type="dxa" w:w="185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One downstream resource</w:t>
            </w:r>
          </w:p>
        </w:tc>
        <w:tc>
          <w:tcPr>
            <w:tcW w:type="dxa" w:w="150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Decision log entries where the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act</w:t>
            </w:r>
            <w:r>
              <w:rPr>
                <w:sz w:val="17"/>
                <w:szCs w:val="17"/>
              </w:rPr>
              <w:t xml:space="preserve"> actor and the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sub</w:t>
            </w:r>
            <w:r>
              <w:rPr>
                <w:sz w:val="17"/>
                <w:szCs w:val="17"/>
              </w:rPr>
              <w:t xml:space="preserve"> scope diverge</w:t>
            </w:r>
          </w:p>
        </w:tc>
        <w:tc>
          <w:tcPr>
            <w:tcW w:type="dxa" w:w="29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Downstream authorizes against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sub</w:t>
            </w:r>
            <w:r>
              <w:rPr>
                <w:sz w:val="17"/>
                <w:szCs w:val="17"/>
              </w:rPr>
              <w:t xml:space="preserve">, never the actor; narrowing at exchange time</w:t>
            </w:r>
          </w:p>
        </w:tc>
        <w:tc>
          <w:tcPr>
            <w:tcW w:type="dxa" w:w="32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20" w:lineRule="auto"/>
            </w:pPr>
            <w:r>
              <w:rPr>
                <w:sz w:val="17"/>
                <w:szCs w:val="17"/>
              </w:rPr>
              <w:t xml:space="preserve">Attribution depends on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act</w:t>
            </w:r>
            <w:r>
              <w:rPr>
                <w:sz w:val="17"/>
                <w:szCs w:val="17"/>
              </w:rPr>
              <w:t xml:space="preserve"> surviving every hop; a service that drops it loses the audit trail</w:t>
            </w:r>
          </w:p>
        </w:tc>
      </w:tr>
    </w:tbl>
    <w:p>
      <w:pPr>
        <w:spacing w:after="60"/>
      </w:pPr>
      <w:r>
        <w:rPr>
          <w:sz w:val="8"/>
          <w:szCs w:val="8"/>
        </w:rPr>
        <w:t xml:space="preserve"/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Tradeoffs</w:t>
      </w:r>
    </w:p>
    <w:p>
      <w:pPr>
        <w:spacing w:after="30" w:before="30" w:line="240" w:lineRule="auto"/>
        <w:ind w:left="280" w:hanging="28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Chose to cache the full permission tree over caching resolved decisions. The cost is a coarser invalidation unit — one permission change invalidates a user's whole tree, not the single decision it affected — and a larger entry per user. I'll reconsider if the privilege sources are reduced from </w:t>
      </w:r>
      <w:r>
        <w:rPr>
          <w:b/>
          <w:bCs/>
          <w:sz w:val="20"/>
          <w:szCs w:val="20"/>
        </w:rPr>
        <w:t xml:space="preserve">3 to 2</w:t>
      </w:r>
      <w:r>
        <w:rPr>
          <w:sz w:val="20"/>
          <w:szCs w:val="20"/>
        </w:rPr>
        <w:t xml:space="preserve">.</w:t>
      </w:r>
    </w:p>
    <w:p>
      <w:pPr>
        <w:spacing w:after="30" w:before="30" w:line="240" w:lineRule="auto"/>
        <w:ind w:left="280" w:hanging="28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Chose to revoke by </w:t>
      </w:r>
      <w:r>
        <w:rPr>
          <w:i/>
          <w:iCs/>
          <w:sz w:val="20"/>
          <w:szCs w:val="20"/>
        </w:rPr>
        <w:t xml:space="preserve">push (bus + outbox)</w:t>
      </w:r>
      <w:r>
        <w:rPr>
          <w:sz w:val="20"/>
          <w:szCs w:val="20"/>
        </w:rPr>
        <w:t xml:space="preserve"> over </w:t>
      </w:r>
      <w:r>
        <w:rPr>
          <w:i/>
          <w:iCs/>
          <w:sz w:val="20"/>
          <w:szCs w:val="20"/>
        </w:rPr>
        <w:t xml:space="preserve">short TTL</w:t>
      </w:r>
      <w:r>
        <w:rPr>
          <w:sz w:val="20"/>
          <w:szCs w:val="20"/>
        </w:rPr>
        <w:t xml:space="preserve">. The cost is a new point of failure, maintenance of a new service, and eventual consistency. I'll reconsider if the </w:t>
      </w:r>
      <w:r>
        <w:rPr>
          <w:b/>
          <w:bCs/>
          <w:sz w:val="20"/>
          <w:szCs w:val="20"/>
        </w:rPr>
        <w:t xml:space="preserve">within seconds</w:t>
      </w:r>
      <w:r>
        <w:rPr>
          <w:sz w:val="20"/>
          <w:szCs w:val="20"/>
        </w:rPr>
        <w:t xml:space="preserve"> revoke requirement is relaxed to </w:t>
      </w:r>
      <w:r>
        <w:rPr>
          <w:b/>
          <w:bCs/>
          <w:sz w:val="20"/>
          <w:szCs w:val="20"/>
        </w:rPr>
        <w:t xml:space="preserve">within minutes</w:t>
      </w:r>
      <w:r>
        <w:rPr>
          <w:sz w:val="20"/>
          <w:szCs w:val="20"/>
        </w:rPr>
        <w:t xml:space="preserve">.</w:t>
      </w:r>
    </w:p>
    <w:p>
      <w:pPr>
        <w:spacing w:after="30" w:before="30" w:line="240" w:lineRule="auto"/>
        <w:ind w:left="280" w:hanging="280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 xml:space="preserve">Chose </w:t>
      </w:r>
      <w:r>
        <w:rPr>
          <w:i/>
          <w:iCs/>
          <w:sz w:val="20"/>
          <w:szCs w:val="20"/>
        </w:rPr>
        <w:t xml:space="preserve">Fail-Closed with Graceful Degradation</w:t>
      </w:r>
      <w:r>
        <w:rPr>
          <w:sz w:val="20"/>
          <w:szCs w:val="20"/>
        </w:rPr>
        <w:t xml:space="preserve"> over </w:t>
      </w:r>
      <w:r>
        <w:rPr>
          <w:i/>
          <w:iCs/>
          <w:sz w:val="20"/>
          <w:szCs w:val="20"/>
        </w:rPr>
        <w:t xml:space="preserve">Fail-Open</w:t>
      </w:r>
      <w:r>
        <w:rPr>
          <w:sz w:val="20"/>
          <w:szCs w:val="20"/>
        </w:rPr>
        <w:t xml:space="preserve"> on a cache miss with the database unreachable. The cost is two-sided: legitimate users outside the cache are denied, while users already cached keep stale privileges longer. I'll reconsider if the system moves from </w:t>
      </w:r>
      <w:r>
        <w:rPr>
          <w:b/>
          <w:bCs/>
          <w:sz w:val="20"/>
          <w:szCs w:val="20"/>
        </w:rPr>
        <w:t xml:space="preserve">external and internal users</w:t>
      </w:r>
      <w:r>
        <w:rPr>
          <w:sz w:val="20"/>
          <w:szCs w:val="20"/>
        </w:rPr>
        <w:t xml:space="preserve"> to only </w:t>
      </w:r>
      <w:r>
        <w:rPr>
          <w:b/>
          <w:bCs/>
          <w:sz w:val="20"/>
          <w:szCs w:val="20"/>
        </w:rPr>
        <w:t xml:space="preserve">internal users</w:t>
      </w:r>
      <w:r>
        <w:rPr>
          <w:sz w:val="20"/>
          <w:szCs w:val="20"/>
        </w:rPr>
        <w:t xml:space="preserve">.</w:t>
      </w:r>
    </w:p>
    <w:p>
      <w:pPr>
        <w:spacing w:after="30" w:before="30" w:line="240" w:lineRule="auto"/>
        <w:ind w:left="280" w:hanging="280"/>
      </w:pPr>
      <w:r>
        <w:rPr>
          <w:b/>
          <w:bCs/>
          <w:sz w:val="20"/>
          <w:szCs w:val="20"/>
        </w:rPr>
        <w:t xml:space="preserve">4. </w:t>
      </w:r>
      <w:r>
        <w:rPr>
          <w:sz w:val="20"/>
          <w:szCs w:val="20"/>
        </w:rPr>
        <w:t xml:space="preserve">Chose the </w:t>
      </w:r>
      <w:r>
        <w:rPr>
          <w:i/>
          <w:iCs/>
          <w:sz w:val="20"/>
          <w:szCs w:val="20"/>
        </w:rPr>
        <w:t xml:space="preserve">Sync-API / Auth-API separation</w:t>
      </w:r>
      <w:r>
        <w:rPr>
          <w:sz w:val="20"/>
          <w:szCs w:val="20"/>
        </w:rPr>
        <w:t xml:space="preserve"> over a </w:t>
      </w:r>
      <w:r>
        <w:rPr>
          <w:i/>
          <w:iCs/>
          <w:sz w:val="20"/>
          <w:szCs w:val="20"/>
        </w:rPr>
        <w:t xml:space="preserve">single Auth-API handling everything</w:t>
      </w:r>
      <w:r>
        <w:rPr>
          <w:sz w:val="20"/>
          <w:szCs w:val="20"/>
        </w:rPr>
        <w:t xml:space="preserve">. The cost is a new point of failure, added guardrails, and eventual consistency. I'll reconsider if the scale of permission checks drops from </w:t>
      </w:r>
      <w:r>
        <w:rPr>
          <w:b/>
          <w:bCs/>
          <w:sz w:val="20"/>
          <w:szCs w:val="20"/>
        </w:rPr>
        <w:t xml:space="preserve">tens of thousands</w:t>
      </w:r>
      <w:r>
        <w:rPr>
          <w:sz w:val="20"/>
          <w:szCs w:val="20"/>
        </w:rPr>
        <w:t xml:space="preserve"> to just </w:t>
      </w:r>
      <w:r>
        <w:rPr>
          <w:b/>
          <w:bCs/>
          <w:sz w:val="20"/>
          <w:szCs w:val="20"/>
        </w:rPr>
        <w:t xml:space="preserve">thousands</w:t>
      </w:r>
      <w:r>
        <w:rPr>
          <w:sz w:val="20"/>
          <w:szCs w:val="20"/>
        </w:rPr>
        <w:t xml:space="preserve">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Deviations</w:t>
      </w:r>
    </w:p>
    <w:p>
      <w:pPr>
        <w:spacing w:after="40" w:before="40" w:line="240" w:lineRule="auto"/>
        <w:jc w:val="left"/>
      </w:pPr>
      <w:r>
        <w:rPr>
          <w:sz w:val="20"/>
          <w:szCs w:val="20"/>
        </w:rPr>
        <w:t xml:space="preserve">Two places where we depart from the specification, and why.</w:t>
      </w:r>
    </w:p>
    <w:p>
      <w:pPr>
        <w:spacing w:after="30" w:before="30" w:line="240" w:lineRule="auto"/>
        <w:ind w:left="280" w:hanging="28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sz w:val="20"/>
          <w:szCs w:val="20"/>
        </w:rPr>
        <w:t xml:space="preserve">Introspection (RFC 7662) is the spec's answer to "is this token still valid", and we do not call it.</w:t>
      </w:r>
      <w:r>
        <w:rPr>
          <w:sz w:val="20"/>
          <w:szCs w:val="20"/>
        </w:rPr>
        <w:t xml:space="preserve"> At tens of thousands of checks per second an introspection round trip is the database round trip the brief forbids, relocated to a different host. We validate the token locally and re-evaluate the decision instead: revocation invalidates the decision, not the token.</w:t>
      </w:r>
    </w:p>
    <w:p>
      <w:pPr>
        <w:spacing w:after="30" w:before="30" w:line="240" w:lineRule="auto"/>
        <w:ind w:left="280" w:hanging="28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sz w:val="20"/>
          <w:szCs w:val="20"/>
        </w:rPr>
        <w:t xml:space="preserve">OIDC does not specify how a user reaches the right identity provider, so we decide it and accept the consequence.</w:t>
      </w:r>
      <w:r>
        <w:rPr>
          <w:sz w:val="20"/>
          <w:szCs w:val="20"/>
        </w:rPr>
        <w:t xml:space="preserve"> Routing by email domain reveals whether an address is registered with a firm before authentication. We accept that leak rather than make every user name their firm, and we log the routing decision.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2026-08-23T23:41:32.242Z</dcterms:created>
  <dcterms:modified xsi:type="dcterms:W3CDTF">2026-08-23T23:41:32.243Z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